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E" w:rsidRDefault="00762CA6" w:rsidP="00762CA6">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4401187-E08C-457A-B517-0EA05EC1BD38" style="width:450.6pt;height:379.8pt">
            <v:imagedata r:id="rId11" o:title=""/>
          </v:shape>
        </w:pict>
      </w:r>
    </w:p>
    <w:bookmarkEnd w:id="0"/>
    <w:p w:rsidR="00B0093E" w:rsidRDefault="00B0093E">
      <w:pPr>
        <w:rPr>
          <w:noProof/>
        </w:rPr>
        <w:sectPr w:rsidR="00B0093E" w:rsidSect="00762CA6">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rsidR="00B0093E" w:rsidRDefault="00B0093E">
      <w:pPr>
        <w:rPr>
          <w:rFonts w:ascii="Times New Roman" w:hAnsi="Times New Roman" w:cs="Times New Roman"/>
          <w:b/>
          <w:bCs/>
          <w:noProof/>
          <w:sz w:val="24"/>
        </w:rPr>
      </w:pPr>
      <w:bookmarkStart w:id="1" w:name="_GoBack"/>
      <w:bookmarkEnd w:id="1"/>
    </w:p>
    <w:p w:rsidR="00B0093E" w:rsidRDefault="00762CA6">
      <w:pPr>
        <w:jc w:val="center"/>
        <w:rPr>
          <w:rFonts w:ascii="Times New Roman" w:hAnsi="Times New Roman" w:cs="Times New Roman"/>
          <w:b/>
          <w:bCs/>
          <w:noProof/>
          <w:sz w:val="24"/>
          <w:u w:val="single"/>
        </w:rPr>
      </w:pPr>
      <w:r>
        <w:rPr>
          <w:rFonts w:ascii="Times New Roman" w:hAnsi="Times New Roman"/>
          <w:b/>
          <w:bCs/>
          <w:noProof/>
          <w:sz w:val="24"/>
          <w:u w:val="single"/>
        </w:rPr>
        <w:t>LIITE</w:t>
      </w:r>
    </w:p>
    <w:p w:rsidR="00B0093E" w:rsidRDefault="00762CA6">
      <w:pPr>
        <w:spacing w:before="120" w:after="120"/>
        <w:rPr>
          <w:rFonts w:ascii="Times New Roman" w:hAnsi="Times New Roman" w:cs="Times New Roman"/>
          <w:b/>
          <w:bCs/>
          <w:noProof/>
          <w:sz w:val="24"/>
        </w:rPr>
      </w:pPr>
      <w:r>
        <w:rPr>
          <w:rFonts w:ascii="Times New Roman" w:hAnsi="Times New Roman"/>
          <w:b/>
          <w:bCs/>
          <w:noProof/>
          <w:sz w:val="24"/>
        </w:rPr>
        <w:t>OSIO 1: ELPYMIS- JA PALAUTUMISSUUNNITELMAN MUKAISET UUDISTUKSET JA INVESTOINNIT</w:t>
      </w:r>
    </w:p>
    <w:p w:rsidR="00B0093E" w:rsidRDefault="00B0093E">
      <w:pPr>
        <w:spacing w:before="120" w:after="120" w:line="240" w:lineRule="auto"/>
        <w:jc w:val="both"/>
        <w:rPr>
          <w:rFonts w:ascii="Times New Roman" w:hAnsi="Times New Roman" w:cs="Times New Roman"/>
          <w:noProof/>
          <w:sz w:val="24"/>
        </w:rPr>
      </w:pPr>
    </w:p>
    <w:p w:rsidR="00B0093E" w:rsidRDefault="00762CA6">
      <w:pPr>
        <w:numPr>
          <w:ilvl w:val="6"/>
          <w:numId w:val="7"/>
        </w:numPr>
        <w:spacing w:before="120" w:after="120" w:line="240" w:lineRule="auto"/>
        <w:ind w:left="0" w:firstLine="0"/>
        <w:jc w:val="both"/>
        <w:rPr>
          <w:rFonts w:ascii="Times New Roman" w:hAnsi="Times New Roman" w:cs="Times New Roman"/>
          <w:noProof/>
          <w:sz w:val="24"/>
        </w:rPr>
      </w:pPr>
      <w:r>
        <w:rPr>
          <w:rFonts w:ascii="Times New Roman" w:hAnsi="Times New Roman"/>
          <w:b/>
          <w:bCs/>
          <w:noProof/>
          <w:sz w:val="24"/>
        </w:rPr>
        <w:t xml:space="preserve">Uudistusten ja investointien kuvaus </w:t>
      </w:r>
    </w:p>
    <w:p w:rsidR="00B0093E" w:rsidRDefault="00B0093E">
      <w:pPr>
        <w:spacing w:before="120" w:after="120" w:line="240" w:lineRule="auto"/>
        <w:jc w:val="both"/>
        <w:rPr>
          <w:rFonts w:ascii="Times New Roman" w:hAnsi="Times New Roman" w:cs="Times New Roman"/>
          <w:b/>
          <w:noProof/>
          <w:sz w:val="24"/>
        </w:r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 xml:space="preserve">A. KOMPONENTTI </w:t>
      </w:r>
      <w:r>
        <w:rPr>
          <w:rFonts w:ascii="Times New Roman" w:hAnsi="Times New Roman"/>
          <w:b/>
          <w:bCs/>
          <w:noProof/>
          <w:sz w:val="24"/>
        </w:rPr>
        <w:t>1.1: ENERGIANTUOTANNON TEHOSTAMINEN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Tämä Kreikan elpymis- ja palautumissuunnitelman komponentti koskee uudistuksia ja investointeja, joilla lisätään uusiutuvien energialähteiden osuutta sähköjärjestelmässä ja helpotetaan Kreikan hiilestä irtautumista. Uudi</w:t>
      </w:r>
      <w:r>
        <w:rPr>
          <w:rFonts w:ascii="Times New Roman" w:hAnsi="Times New Roman"/>
          <w:noProof/>
          <w:sz w:val="24"/>
        </w:rPr>
        <w:t>stuksilla on yksinkertaistettava uusiutuvaan energiaan tehtäviä investointeja koskevia lupasääntöjä, tehostettava sähkömarkkinoita ja varmistettava tukijärjestelmien rahoituksen kestävyys. Komponenttiin sisältyy myös keskeisiä investointeja verkkoihin, jot</w:t>
      </w:r>
      <w:r>
        <w:rPr>
          <w:rFonts w:ascii="Times New Roman" w:hAnsi="Times New Roman"/>
          <w:noProof/>
          <w:sz w:val="24"/>
        </w:rPr>
        <w:t>ta voidaan saattaa päätökseen yhteenliittäminen Kykladien saarten kanssa ja tehdä sähkönjakelusta ympäristöystävällisempää ja ottaa vastaan suurempi osuus uusiutuvasta energiasta. Varastointijärjestelmillä on myös tuettava talouden hiilestä irtautumista ke</w:t>
      </w:r>
      <w:r>
        <w:rPr>
          <w:rFonts w:ascii="Times New Roman" w:hAnsi="Times New Roman"/>
          <w:noProof/>
          <w:sz w:val="24"/>
        </w:rPr>
        <w:t xml:space="preserve">räämällä uusiutuvista energialähteistä tuotetun sähkön ylijäämää. Maaperän kunnostamista on tuettava myös alueilla, joita nykyisin käytetään ruskohiilikaivoksina, mikä on askel kohti oikeudenmukaista siirtymäprosessia alueilla, joihin ruskohiilen käytöstä </w:t>
      </w:r>
      <w:r>
        <w:rPr>
          <w:rFonts w:ascii="Times New Roman" w:hAnsi="Times New Roman"/>
          <w:noProof/>
          <w:sz w:val="24"/>
        </w:rPr>
        <w:t>luopuminen vaikuttaa eniten. Tämä komponentti on kansallisen energia- ja ilmastosuunnitelman mukainen, ja sillä tuetaan julkisia ja yksityisiä investointeja koskevien maakohtaisten suositusten noudattamista (maakohtainen suositus 3 vuodelta 2020 ja maakoht</w:t>
      </w:r>
      <w:r>
        <w:rPr>
          <w:rFonts w:ascii="Times New Roman" w:hAnsi="Times New Roman"/>
          <w:noProof/>
          <w:sz w:val="24"/>
        </w:rPr>
        <w:t>ainen suositus 2 vuodelta 2019). Minkään tähän osa-alueeseen kuuluvan toimenpiteen ei odoteta aiheuttavan merkittävää haittaa asetuksen (EU) 2020/852 17 artiklassa tarkoitetuille ympäristötavoitteille, kun otetaan huomioon elpymis- ja palautumissuunnitelma</w:t>
      </w:r>
      <w:r>
        <w:rPr>
          <w:rFonts w:ascii="Times New Roman" w:hAnsi="Times New Roman"/>
          <w:noProof/>
          <w:sz w:val="24"/>
        </w:rPr>
        <w:t>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u w:val="single"/>
        </w:rPr>
        <w:t xml:space="preserve">A.1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w:t>
      </w:r>
      <w:r>
        <w:rPr>
          <w:rFonts w:ascii="Times New Roman" w:hAnsi="Times New Roman"/>
          <w:b/>
          <w:bCs/>
          <w:noProof/>
          <w:sz w:val="24"/>
        </w:rPr>
        <w:t xml:space="preserve">nnit: </w:t>
      </w:r>
      <w:r>
        <w:rPr>
          <w:rFonts w:ascii="Times New Roman" w:hAnsi="Times New Roman"/>
          <w:noProof/>
          <w:sz w:val="24"/>
        </w:rPr>
        <w:t>Tuki varastointijärjestelmien asentamiselle uusiutuvan energian tehokkaamman käytön hyväksi (toimenpiteen tunniste: 16926)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Investoinnilla myönnetään julkisia avustuksia enintään 1380 MW:n energianvarastointikapasiteetin asentamiseen </w:t>
      </w:r>
      <w:r>
        <w:rPr>
          <w:rFonts w:ascii="Times New Roman" w:hAnsi="Times New Roman"/>
          <w:noProof/>
          <w:sz w:val="24"/>
        </w:rPr>
        <w:t>sähköjärjestelmään. Näiden investointien on mahdollistettava kansallisen energia- ja ilmastosuunnitelman tavoitteiden saavuttamiseksi tarvittavan uuden uusiutuviin energialähteisiin liittyvän kapasiteetin integrointi järjestelmään. Lisäksi tällä toimella l</w:t>
      </w:r>
      <w:r>
        <w:rPr>
          <w:rFonts w:ascii="Times New Roman" w:hAnsi="Times New Roman"/>
          <w:noProof/>
          <w:sz w:val="24"/>
        </w:rPr>
        <w:t>ievennetään verkon ylikuormitusta, lisätään sähköjärjestelmän joustavuutta ja tasehallintamarkkinoiden likviditeettiä, parannetaan verkon riittävyyttä, mahdollistetaan energiatehokkuus, edistetään sähkön hinnanmuodostuksen avoimuutta ja alennetaan energiak</w:t>
      </w:r>
      <w:r>
        <w:rPr>
          <w:rFonts w:ascii="Times New Roman" w:hAnsi="Times New Roman"/>
          <w:noProof/>
          <w:sz w:val="24"/>
        </w:rPr>
        <w:t>ustannuksia.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Investoinnit: </w:t>
      </w:r>
      <w:r>
        <w:rPr>
          <w:rFonts w:ascii="Times New Roman" w:hAnsi="Times New Roman"/>
          <w:noProof/>
          <w:sz w:val="24"/>
        </w:rPr>
        <w:t>Eniten kärsineiden alueiden (oikeudenmukaisen siirtymän alueet) elvytystoimet (toimenpiteen tunniste: 16871)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lastRenderedPageBreak/>
        <w:t>Investointi muodostuu avustuksista, joilla rahoit</w:t>
      </w:r>
      <w:r>
        <w:rPr>
          <w:rFonts w:ascii="Times New Roman" w:hAnsi="Times New Roman"/>
          <w:noProof/>
          <w:sz w:val="24"/>
        </w:rPr>
        <w:t>etaan maaperän kunnostamista Länsi-Makedonian ja Megalopolisin entisten ruskohiilikaivosten alueilla. Toimenpiteellä on puututtava oikeudenmukaisen siirtymän alueisiin ympäristöön liittyvillä ja taloudellisilla toimenpiteillä, kuten maaperän kunnostamisell</w:t>
      </w:r>
      <w:r>
        <w:rPr>
          <w:rFonts w:ascii="Times New Roman" w:hAnsi="Times New Roman"/>
          <w:noProof/>
          <w:sz w:val="24"/>
        </w:rPr>
        <w:t>a, maiseman ja ympäristön ennallistamistoimenpiteiden uudelleenkehittämisellä ja täytäntöönpanolla, maankäytön mukauttamisella ja toiminnan organisoitujen reseptorien perustamisella. Tämän investoinnin toteuttamista hallinnoi Kreikan perustama erillisyhtiö</w:t>
      </w:r>
      <w:r>
        <w:rPr>
          <w:rFonts w:ascii="Times New Roman" w:hAnsi="Times New Roman"/>
          <w:noProof/>
          <w:sz w:val="24"/>
        </w:rPr>
        <w:t>. Erillisyhtiöstä tulee siirrettyjen maantieteellisten alueiden uusi omistaja ja maanrakentaja. Erityishankeväline vastaa puhdistus-, kunnostus-, kunnostus- ja parannustöiden rahoittamisesta ja toteuttamisesta. Investointi on määrä toteuttaa viimeistään 31</w:t>
      </w:r>
      <w:r>
        <w:rPr>
          <w:rFonts w:ascii="Times New Roman" w:hAnsi="Times New Roman"/>
          <w:noProof/>
          <w:sz w:val="24"/>
        </w:rPr>
        <w:t xml:space="preserve">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Toimet saarten sähköverkkojen yhteenliittämiseksi ja sähköverkon parantamiseksi (toimenpiteen tunniste: 16870)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Investointiin sisältyy Kykladien saarten sähköverkkojen yhteenliitäntä (vaihe D) sekä Korintin ja Koumoun</w:t>
      </w:r>
      <w:r>
        <w:rPr>
          <w:rFonts w:ascii="Times New Roman" w:hAnsi="Times New Roman"/>
          <w:noProof/>
          <w:sz w:val="24"/>
        </w:rPr>
        <w:t>dourosin suurjännitekeskukset yhdistävä ilmajohto ja siihen liittyvät hankkeet. Hankkeilla parannetaan energiajärjestelmän varmuutta ja lisätään samalla uusiutuviin energialähteisiin perustuvan sähköntuotannon mahdollisuuksia saarilla ja Peloponnesoksella.</w:t>
      </w:r>
      <w:r>
        <w:rPr>
          <w:rFonts w:ascii="Times New Roman" w:hAnsi="Times New Roman"/>
          <w:noProof/>
          <w:sz w:val="24"/>
        </w:rPr>
        <w:t xml:space="preserve"> Niiden on määrä alentaa energiakustannuksia ja johtaa uusiin investointeihin ja työpaikkoihin energiaintensiivisillä talouden aloilla.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Investoinnit: </w:t>
      </w:r>
      <w:r>
        <w:rPr>
          <w:rFonts w:ascii="Times New Roman" w:hAnsi="Times New Roman"/>
          <w:noProof/>
          <w:sz w:val="24"/>
        </w:rPr>
        <w:t>Kreikan sähkönjakeluverkko-operaatt</w:t>
      </w:r>
      <w:r>
        <w:rPr>
          <w:rFonts w:ascii="Times New Roman" w:hAnsi="Times New Roman"/>
          <w:noProof/>
          <w:sz w:val="24"/>
        </w:rPr>
        <w:t>orin (Hellenic Electricity Distribution Network Operator, HEDNO) verkon päivitykset, joilla pyritään parantamaan selviytymiskykyä ja suojelemaan ympäristöä (toimenpiteen tunniste: 16901)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muodostuu sähkönjakeluverkon maanalaisesta ja uudelleenre</w:t>
      </w:r>
      <w:r>
        <w:rPr>
          <w:rFonts w:ascii="Times New Roman" w:hAnsi="Times New Roman"/>
          <w:noProof/>
          <w:sz w:val="24"/>
        </w:rPr>
        <w:t xml:space="preserve">itityksestä kulttuurin tai matkailun kannalta erityisen tärkeissä asutuskeskuksissa sekä kaupunkien keskustoissa siten, että etusijalle asetetaan alueet, joilla infrastruktuuri on altis äärimmäisille sääoloille. Sen on parannettava jakeluverkon sietokykyä </w:t>
      </w:r>
      <w:r>
        <w:rPr>
          <w:rFonts w:ascii="Times New Roman" w:hAnsi="Times New Roman"/>
          <w:noProof/>
          <w:sz w:val="24"/>
        </w:rPr>
        <w:t>ja edistettävä ympäristönsuojelua.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Kreikan sähkönjakeluverkko-operaattorin (HEDNO) ilmajohtoverkon päivittäminen metsäalueilla (toimenpiteen tunniste: 16900)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w:t>
      </w:r>
      <w:r>
        <w:rPr>
          <w:rFonts w:ascii="Times New Roman" w:hAnsi="Times New Roman"/>
          <w:noProof/>
          <w:sz w:val="24"/>
        </w:rPr>
        <w:t>oostuu sähkönjakeluverkon paljaiden johtimien korvaamisesta (katettujen johtimien tai kierretyn kaapelin avulla), eristyspäällysten asentamisesta sekä metsäalueiden kautta kulkevan sähkönjakeluverkon linjojen vetämisestä maan alle tai siirtämisestä muualle</w:t>
      </w:r>
      <w:r>
        <w:rPr>
          <w:rFonts w:ascii="Times New Roman" w:hAnsi="Times New Roman"/>
          <w:noProof/>
          <w:sz w:val="24"/>
        </w:rPr>
        <w:t>. Hankkeella parannetaan verkon sietokykyä ja luotettavuutta (energian laatua mittaavat indikaattorit SAIDI, SAIFI) ja suojellaan ympäristöä (metsät, luonnonvaraiset eläimet ja kasvit).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Kreikan sähkönjakeluverkko-operaattorin (HEDNO) suur- tai keskijännitteisten sähköasemien asennetun kapasiteetin lisäys uutta uusiutuvien energialähteiden yhteyttä varten (toimenpiteen tunniste: 16899)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on määrä lisätä verkon n</w:t>
      </w:r>
      <w:r>
        <w:rPr>
          <w:rFonts w:ascii="Times New Roman" w:hAnsi="Times New Roman"/>
          <w:noProof/>
          <w:sz w:val="24"/>
        </w:rPr>
        <w:t>ykyisten sähköasemien kapasiteettia puuttua jakeluverkon ylikuormitukseen, joka nykyisellään estää lisäinvestoinnit uusiutuvaan energiaan.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Uusiutuvia energialähteitä ja sähkön</w:t>
      </w:r>
      <w:r>
        <w:rPr>
          <w:rFonts w:ascii="Times New Roman" w:hAnsi="Times New Roman"/>
          <w:noProof/>
          <w:sz w:val="24"/>
        </w:rPr>
        <w:t xml:space="preserve"> ja lämmön yhteistuotannon tilin tulojen uudelleenjärjestely ja parantaminen (toimenpiteen tunniste: 16865)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muodostuu seuraavista: a) uusiutuvien energialähteiden tuottajien nykyisen korvausrakenteen uudelleenjärjestely perustamalla uusia uusiutuv</w:t>
      </w:r>
      <w:r>
        <w:rPr>
          <w:rFonts w:ascii="Times New Roman" w:hAnsi="Times New Roman"/>
          <w:noProof/>
          <w:sz w:val="24"/>
        </w:rPr>
        <w:t xml:space="preserve">ia energialähteitä käyttäviä yksiköitä (otettu käyttöön 1 päivänä tammikuuta 2021 jälkeen) varten uusi uusiutuvia energialähteitä ja sähkön ja lämmön yhteistuotannon tili, joka korvaa nykyisen tilin, jota täydennetään uusilla mekanismeilla, joilla taataan </w:t>
      </w:r>
      <w:r>
        <w:rPr>
          <w:rFonts w:ascii="Times New Roman" w:hAnsi="Times New Roman"/>
          <w:noProof/>
          <w:sz w:val="24"/>
        </w:rPr>
        <w:t>sekä nykyisten että uusien uusiutuvia energialähteitä ja sähkön ja lämmön yhteistuotannon tilien taloudellinen elinkelpoisuus ja b) alkuperätakuujärjestelmän käyttöönotto, poikkeuksellisen ”covid-19-tullin” käyttöönotto uusiutuvien energialähteiden tuottaj</w:t>
      </w:r>
      <w:r>
        <w:rPr>
          <w:rFonts w:ascii="Times New Roman" w:hAnsi="Times New Roman"/>
          <w:noProof/>
          <w:sz w:val="24"/>
        </w:rPr>
        <w:t>ille ja toimittajille sekä pysyvä ”hiilivero” dieselpolttoaineelle. Toimenpiteillä on varmistettava nykyisen uusiutuviin energialähteisiin perustuvan kapasiteetin elinkelpoisuus ja helpotettava uusiutuviin energialähteisiin liittyvien uusien hankkeiden rah</w:t>
      </w:r>
      <w:r>
        <w:rPr>
          <w:rFonts w:ascii="Times New Roman" w:hAnsi="Times New Roman"/>
          <w:noProof/>
          <w:sz w:val="24"/>
        </w:rPr>
        <w:t>oittamista, sillä mahdolliset odottamattomat sisään- ja ulosvirtaukset, jotka johtavat kielteiseen vaikutukseen uusiutuvien energialähteiden tileihin, on katettava säännöllisillä maksuilla, jotka siirretään asiakkaille. Uudistus, johon sisältyy muun muassa</w:t>
      </w:r>
      <w:r>
        <w:rPr>
          <w:rFonts w:ascii="Times New Roman" w:hAnsi="Times New Roman"/>
          <w:noProof/>
          <w:sz w:val="24"/>
        </w:rPr>
        <w:t xml:space="preserve"> 3 gigawatin lisäys uusiutuviin energialähteisiin perustuvan sähköntuotannon kapasiteettiin,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Virtaviivaistetaan uuden sähkömarkkinamallin tehokasta toimintaa ja uusien uusiutuviin energial</w:t>
      </w:r>
      <w:r>
        <w:rPr>
          <w:rFonts w:ascii="Times New Roman" w:hAnsi="Times New Roman"/>
          <w:noProof/>
          <w:sz w:val="24"/>
        </w:rPr>
        <w:t>ähteisiin perustuvien laitosten kehittämistä kansallisten energia- ja ilmastosuunnitelmien tavoitteiden saavuttamiseksi panemalla täytäntöön seurantamekanismi, osallistumalla kysyntäjoustoon ja uudistamalla laajasti uusien uusiutuvien energialähteiden lupa</w:t>
      </w:r>
      <w:r>
        <w:rPr>
          <w:rFonts w:ascii="Times New Roman" w:hAnsi="Times New Roman"/>
          <w:noProof/>
          <w:sz w:val="24"/>
        </w:rPr>
        <w:t>menettelyä (toimenpiteen tunniste: 16860)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Uudistuksessa virtaviivaistetaan uusiutuvien energialähteiden lupakehystä, mukaan lukien menettelyjen yksinkertaistaminen ja digitalisointi, lyhyet ja sitovat hallinnolliset vastausajat ja vastuuvelvollisuusmenette</w:t>
      </w:r>
      <w:r>
        <w:rPr>
          <w:rFonts w:ascii="Times New Roman" w:hAnsi="Times New Roman"/>
          <w:noProof/>
          <w:sz w:val="24"/>
        </w:rPr>
        <w:t>lyt tarpeettomien viivästysten varalta, tarvittavien asiakirjojen ja menettelyjen vähentäminen sekä uusi erityinen kehys avomerellä toimiville uusiutuvia energialähteitä käyttäville avomerellä sijaitseville laitoksille. Tavoitteena on nopeuttaa uusiutuvien</w:t>
      </w:r>
      <w:r>
        <w:rPr>
          <w:rFonts w:ascii="Times New Roman" w:hAnsi="Times New Roman"/>
          <w:noProof/>
          <w:sz w:val="24"/>
        </w:rPr>
        <w:t xml:space="preserve"> energialähteiden asennetun kapasiteetin kaksinkertaistamista, jotta ruskohiilestä voitaisiin luopua vaiheittain Kreikassa.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perustetaan myös markkinoiden seurantajärjestelmä kansalliselle sääntelyviranomaiselle ja kysyntäjouston osallistumise</w:t>
      </w:r>
      <w:r>
        <w:rPr>
          <w:rFonts w:ascii="Times New Roman" w:hAnsi="Times New Roman"/>
          <w:noProof/>
          <w:sz w:val="24"/>
        </w:rPr>
        <w:t xml:space="preserve">lle tasehallintamarkkinoille.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määrä toteuttaa viimeistään 30 päivänä kesäkuuta 2022.</w:t>
      </w: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8"/>
          <w:headerReference w:type="default" r:id="rId19"/>
          <w:footerReference w:type="even" r:id="rId20"/>
          <w:footerReference w:type="default" r:id="rId21"/>
          <w:headerReference w:type="first" r:id="rId22"/>
          <w:footerReference w:type="first" r:id="rId23"/>
          <w:pgSz w:w="11907" w:h="16839"/>
          <w:pgMar w:top="1134" w:right="1418" w:bottom="1134" w:left="1418" w:header="709" w:footer="709" w:gutter="0"/>
          <w:pgNumType w:start="1"/>
          <w:cols w:space="720"/>
          <w:docGrid w:linePitch="360"/>
        </w:sectPr>
      </w:pPr>
    </w:p>
    <w:p w:rsidR="00B0093E" w:rsidRDefault="00762CA6">
      <w:pPr>
        <w:keepNext/>
        <w:keepLines/>
        <w:spacing w:before="240" w:after="0" w:line="240" w:lineRule="auto"/>
        <w:jc w:val="both"/>
        <w:outlineLvl w:val="4"/>
        <w:rPr>
          <w:rFonts w:ascii="Cambria" w:eastAsia="Times New Roman" w:hAnsi="Cambria"/>
          <w:noProof/>
          <w:color w:val="365F91"/>
          <w:sz w:val="24"/>
        </w:rPr>
      </w:pPr>
      <w:r>
        <w:rPr>
          <w:rFonts w:ascii="Times New Roman" w:hAnsi="Times New Roman"/>
          <w:b/>
          <w:bCs/>
          <w:noProof/>
          <w:sz w:val="24"/>
          <w:u w:val="single"/>
        </w:rPr>
        <w:t xml:space="preserve">A.2 </w:t>
      </w:r>
      <w:r>
        <w:rPr>
          <w:rFonts w:ascii="Times New Roman" w:hAnsi="Times New Roman"/>
          <w:b/>
          <w:noProof/>
          <w:sz w:val="24"/>
          <w:u w:val="single"/>
        </w:rPr>
        <w:tab/>
      </w:r>
      <w:r>
        <w:rPr>
          <w:rFonts w:ascii="Times New Roman" w:hAnsi="Times New Roman"/>
          <w:b/>
          <w:bCs/>
          <w:noProof/>
          <w:sz w:val="24"/>
          <w:u w:val="single"/>
        </w:rPr>
        <w:t xml:space="preserve">Seurantaa ja täytäntöönpanoa koskevat välitavoitteet, tavoitteet, indikaattorit ja </w:t>
      </w:r>
      <w:r>
        <w:rPr>
          <w:rFonts w:ascii="Times New Roman" w:hAnsi="Times New Roman"/>
          <w:b/>
          <w:bCs/>
          <w:noProof/>
          <w:sz w:val="24"/>
          <w:u w:val="single"/>
        </w:rPr>
        <w:t>aikataulu – rahoitustuki, jota ei makseta takaisin</w:t>
      </w:r>
    </w:p>
    <w:p w:rsidR="00B0093E" w:rsidRDefault="00762CA6">
      <w:pPr>
        <w:keepNext/>
        <w:keepLines/>
        <w:spacing w:before="240" w:after="0" w:line="240" w:lineRule="auto"/>
        <w:jc w:val="both"/>
        <w:outlineLvl w:val="4"/>
        <w:rPr>
          <w:rFonts w:ascii="Cambria" w:eastAsia="Times New Roman" w:hAnsi="Cambria"/>
          <w:noProof/>
          <w:color w:val="365F91"/>
          <w:sz w:val="24"/>
        </w:rPr>
      </w:pPr>
      <w:r>
        <w:rPr>
          <w:rFonts w:ascii="Cambria" w:hAnsi="Cambria"/>
          <w:noProof/>
          <w:color w:val="365F91"/>
          <w:sz w:val="24"/>
        </w:rPr>
        <w:t>Suurin investointi 1: Toimenpiteet saarten sähköverkkojen yhteenliittämiseksi ja sähköverkon parantamiseksi</w:t>
      </w:r>
    </w:p>
    <w:tbl>
      <w:tblPr>
        <w:tblpPr w:leftFromText="181" w:rightFromText="181" w:vertAnchor="text" w:tblpY="1"/>
        <w:tblOverlap w:val="never"/>
        <w:tblW w:w="15842" w:type="dxa"/>
        <w:tblLayout w:type="fixed"/>
        <w:tblLook w:val="04A0" w:firstRow="1" w:lastRow="0" w:firstColumn="1" w:lastColumn="0" w:noHBand="0" w:noVBand="1"/>
      </w:tblPr>
      <w:tblGrid>
        <w:gridCol w:w="1134"/>
        <w:gridCol w:w="2078"/>
        <w:gridCol w:w="1007"/>
        <w:gridCol w:w="1134"/>
        <w:gridCol w:w="1744"/>
        <w:gridCol w:w="920"/>
        <w:gridCol w:w="24"/>
        <w:gridCol w:w="659"/>
        <w:gridCol w:w="666"/>
        <w:gridCol w:w="921"/>
        <w:gridCol w:w="10"/>
        <w:gridCol w:w="911"/>
        <w:gridCol w:w="4634"/>
      </w:tblGrid>
      <w:tr w:rsidR="00B0093E">
        <w:trPr>
          <w:trHeight w:val="1125"/>
          <w:tblHeader/>
        </w:trPr>
        <w:tc>
          <w:tcPr>
            <w:tcW w:w="1134"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Numero</w:t>
            </w:r>
          </w:p>
          <w:p w:rsidR="00B0093E" w:rsidRDefault="00B0093E">
            <w:pPr>
              <w:spacing w:before="120" w:after="120" w:line="240" w:lineRule="auto"/>
              <w:jc w:val="center"/>
              <w:rPr>
                <w:rFonts w:ascii="Times New Roman" w:hAnsi="Times New Roman" w:cs="Times New Roman"/>
                <w:noProof/>
                <w:sz w:val="24"/>
              </w:rPr>
            </w:pPr>
          </w:p>
        </w:tc>
        <w:tc>
          <w:tcPr>
            <w:tcW w:w="207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Toimenpide (uudistus tai investointi)</w:t>
            </w:r>
          </w:p>
        </w:tc>
        <w:tc>
          <w:tcPr>
            <w:tcW w:w="100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Välitavoite/tavoite</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Nimi</w:t>
            </w:r>
          </w:p>
        </w:tc>
        <w:tc>
          <w:tcPr>
            <w:tcW w:w="1744"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 xml:space="preserve">Laadulliset indikaattorit </w:t>
            </w:r>
            <w:r>
              <w:rPr>
                <w:rFonts w:ascii="Times New Roman" w:hAnsi="Times New Roman"/>
                <w:b/>
                <w:bCs/>
                <w:noProof/>
                <w:sz w:val="18"/>
                <w:szCs w:val="18"/>
              </w:rPr>
              <w:t xml:space="preserve">  (välitavoitteiden osalta)</w:t>
            </w:r>
          </w:p>
        </w:tc>
        <w:tc>
          <w:tcPr>
            <w:tcW w:w="2269" w:type="dxa"/>
            <w:gridSpan w:val="4"/>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Määrälliset indikaattorit   (tavoitteiden osalta)</w:t>
            </w:r>
          </w:p>
        </w:tc>
        <w:tc>
          <w:tcPr>
            <w:tcW w:w="1842"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Alustava toteutusaikataulu</w:t>
            </w:r>
          </w:p>
        </w:tc>
        <w:tc>
          <w:tcPr>
            <w:tcW w:w="46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Kunkin välitavoitteen ja tavoitteen kuvaus</w:t>
            </w:r>
          </w:p>
          <w:p w:rsidR="00B0093E" w:rsidRDefault="00B0093E">
            <w:pPr>
              <w:spacing w:before="120" w:after="120" w:line="240" w:lineRule="auto"/>
              <w:jc w:val="center"/>
              <w:rPr>
                <w:rFonts w:ascii="Times New Roman" w:hAnsi="Times New Roman" w:cs="Times New Roman"/>
                <w:noProof/>
                <w:sz w:val="24"/>
              </w:rPr>
            </w:pPr>
          </w:p>
        </w:tc>
      </w:tr>
      <w:tr w:rsidR="00B0093E">
        <w:trPr>
          <w:trHeight w:val="848"/>
          <w:tblHeader/>
        </w:trPr>
        <w:tc>
          <w:tcPr>
            <w:tcW w:w="1134" w:type="dxa"/>
            <w:vMerge/>
            <w:tcBorders>
              <w:left w:val="single" w:sz="4" w:space="0" w:color="auto"/>
              <w:bottom w:val="single" w:sz="4" w:space="0" w:color="000000"/>
              <w:right w:val="single" w:sz="4" w:space="0" w:color="auto"/>
            </w:tcBorders>
            <w:shd w:val="clear" w:color="auto" w:fill="BDD7EE"/>
            <w:vAlign w:val="center"/>
          </w:tcPr>
          <w:p w:rsidR="00B0093E" w:rsidRDefault="00B0093E">
            <w:pPr>
              <w:spacing w:before="120" w:after="120" w:line="240" w:lineRule="auto"/>
              <w:jc w:val="center"/>
              <w:rPr>
                <w:rFonts w:ascii="Times New Roman" w:eastAsia="Times New Roman" w:hAnsi="Times New Roman" w:cs="Times New Roman"/>
                <w:b/>
                <w:bCs/>
                <w:noProof/>
                <w:sz w:val="18"/>
                <w:szCs w:val="18"/>
                <w:lang w:eastAsia="en-GB"/>
              </w:rPr>
            </w:pPr>
          </w:p>
        </w:tc>
        <w:tc>
          <w:tcPr>
            <w:tcW w:w="2078" w:type="dxa"/>
            <w:tcBorders>
              <w:top w:val="single" w:sz="4" w:space="0" w:color="auto"/>
              <w:left w:val="single" w:sz="4" w:space="0" w:color="auto"/>
              <w:bottom w:val="single" w:sz="4" w:space="0" w:color="auto"/>
              <w:right w:val="single" w:sz="4" w:space="0" w:color="auto"/>
            </w:tcBorders>
            <w:shd w:val="clear" w:color="auto" w:fill="BDD7EE"/>
            <w:vAlign w:val="center"/>
          </w:tcPr>
          <w:p w:rsidR="00B0093E" w:rsidRDefault="00B0093E">
            <w:pPr>
              <w:spacing w:before="120" w:after="120" w:line="240" w:lineRule="auto"/>
              <w:jc w:val="center"/>
              <w:rPr>
                <w:rFonts w:ascii="Times New Roman" w:eastAsia="Times New Roman" w:hAnsi="Times New Roman" w:cs="Times New Roman"/>
                <w:b/>
                <w:bCs/>
                <w:noProof/>
                <w:sz w:val="18"/>
                <w:szCs w:val="18"/>
                <w:lang w:eastAsia="en-GB"/>
              </w:rPr>
            </w:pPr>
          </w:p>
        </w:tc>
        <w:tc>
          <w:tcPr>
            <w:tcW w:w="1007" w:type="dxa"/>
            <w:tcBorders>
              <w:top w:val="single" w:sz="4" w:space="0" w:color="auto"/>
              <w:left w:val="single" w:sz="4" w:space="0" w:color="auto"/>
              <w:bottom w:val="single" w:sz="4" w:space="0" w:color="auto"/>
              <w:right w:val="single" w:sz="4" w:space="0" w:color="auto"/>
            </w:tcBorders>
            <w:shd w:val="clear" w:color="auto" w:fill="BDD7EE"/>
            <w:vAlign w:val="center"/>
          </w:tcPr>
          <w:p w:rsidR="00B0093E" w:rsidRDefault="00B0093E">
            <w:pPr>
              <w:spacing w:before="120" w:after="120" w:line="240" w:lineRule="auto"/>
              <w:jc w:val="center"/>
              <w:rPr>
                <w:rFonts w:ascii="Times New Roman" w:eastAsia="Times New Roman" w:hAnsi="Times New Roman" w:cs="Times New Roman"/>
                <w:b/>
                <w:bCs/>
                <w:noProof/>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BDD7EE"/>
            <w:vAlign w:val="center"/>
          </w:tcPr>
          <w:p w:rsidR="00B0093E" w:rsidRDefault="00B0093E">
            <w:pPr>
              <w:spacing w:before="120" w:after="120" w:line="240" w:lineRule="auto"/>
              <w:jc w:val="center"/>
              <w:rPr>
                <w:rFonts w:ascii="Times New Roman" w:eastAsia="Times New Roman" w:hAnsi="Times New Roman" w:cs="Times New Roman"/>
                <w:b/>
                <w:bCs/>
                <w:noProof/>
                <w:sz w:val="18"/>
                <w:szCs w:val="18"/>
                <w:lang w:eastAsia="en-GB"/>
              </w:rPr>
            </w:pPr>
          </w:p>
        </w:tc>
        <w:tc>
          <w:tcPr>
            <w:tcW w:w="1744" w:type="dxa"/>
            <w:tcBorders>
              <w:top w:val="single" w:sz="4" w:space="0" w:color="auto"/>
              <w:left w:val="single" w:sz="4" w:space="0" w:color="auto"/>
              <w:bottom w:val="single" w:sz="4" w:space="0" w:color="auto"/>
              <w:right w:val="single" w:sz="4" w:space="0" w:color="auto"/>
            </w:tcBorders>
            <w:shd w:val="clear" w:color="auto" w:fill="BDD7EE"/>
            <w:vAlign w:val="center"/>
          </w:tcPr>
          <w:p w:rsidR="00B0093E" w:rsidRDefault="00B0093E">
            <w:pPr>
              <w:spacing w:before="120" w:after="120" w:line="240" w:lineRule="auto"/>
              <w:jc w:val="center"/>
              <w:rPr>
                <w:rFonts w:ascii="Times New Roman" w:eastAsia="Times New Roman" w:hAnsi="Times New Roman" w:cs="Times New Roman"/>
                <w:b/>
                <w:bCs/>
                <w:noProof/>
                <w:sz w:val="18"/>
                <w:szCs w:val="18"/>
                <w:lang w:eastAsia="en-GB"/>
              </w:rPr>
            </w:pPr>
          </w:p>
        </w:tc>
        <w:tc>
          <w:tcPr>
            <w:tcW w:w="944" w:type="dxa"/>
            <w:gridSpan w:val="2"/>
            <w:tcBorders>
              <w:top w:val="single" w:sz="4" w:space="0" w:color="auto"/>
              <w:left w:val="nil"/>
              <w:bottom w:val="single" w:sz="4" w:space="0" w:color="auto"/>
              <w:right w:val="single" w:sz="4" w:space="0" w:color="auto"/>
            </w:tcBorders>
            <w:shd w:val="clear" w:color="auto" w:fill="BDD7EE"/>
            <w:vAlign w:val="center"/>
          </w:tcPr>
          <w:p w:rsidR="00B0093E" w:rsidRDefault="00762CA6">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659" w:type="dxa"/>
            <w:tcBorders>
              <w:top w:val="single" w:sz="4" w:space="0" w:color="auto"/>
              <w:left w:val="nil"/>
              <w:bottom w:val="single" w:sz="4" w:space="0" w:color="auto"/>
              <w:right w:val="single" w:sz="4" w:space="0" w:color="auto"/>
            </w:tcBorders>
            <w:shd w:val="clear" w:color="auto" w:fill="BDD7EE"/>
            <w:vAlign w:val="center"/>
          </w:tcPr>
          <w:p w:rsidR="00B0093E" w:rsidRDefault="00762CA6">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Perustaso</w:t>
            </w:r>
          </w:p>
        </w:tc>
        <w:tc>
          <w:tcPr>
            <w:tcW w:w="666" w:type="dxa"/>
            <w:tcBorders>
              <w:top w:val="single" w:sz="4" w:space="0" w:color="auto"/>
              <w:left w:val="nil"/>
              <w:bottom w:val="single" w:sz="4" w:space="0" w:color="auto"/>
              <w:right w:val="single" w:sz="4" w:space="0" w:color="auto"/>
            </w:tcBorders>
            <w:shd w:val="clear" w:color="auto" w:fill="BDD7EE"/>
            <w:vAlign w:val="center"/>
          </w:tcPr>
          <w:p w:rsidR="00B0093E" w:rsidRDefault="00762CA6">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Pää-mää-rä</w:t>
            </w:r>
          </w:p>
        </w:tc>
        <w:tc>
          <w:tcPr>
            <w:tcW w:w="921" w:type="dxa"/>
            <w:tcBorders>
              <w:top w:val="single" w:sz="4" w:space="0" w:color="auto"/>
              <w:left w:val="nil"/>
              <w:bottom w:val="single" w:sz="4" w:space="0" w:color="auto"/>
              <w:right w:val="single" w:sz="4" w:space="0" w:color="auto"/>
            </w:tcBorders>
            <w:shd w:val="clear" w:color="auto" w:fill="BDD7EE"/>
            <w:vAlign w:val="center"/>
          </w:tcPr>
          <w:p w:rsidR="00B0093E" w:rsidRDefault="00762CA6">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921" w:type="dxa"/>
            <w:gridSpan w:val="2"/>
            <w:tcBorders>
              <w:top w:val="single" w:sz="4" w:space="0" w:color="auto"/>
              <w:left w:val="nil"/>
              <w:bottom w:val="single" w:sz="4" w:space="0" w:color="auto"/>
              <w:right w:val="single" w:sz="4" w:space="0" w:color="auto"/>
            </w:tcBorders>
            <w:shd w:val="clear" w:color="auto" w:fill="BDD7EE"/>
            <w:vAlign w:val="center"/>
          </w:tcPr>
          <w:p w:rsidR="00B0093E" w:rsidRDefault="00762CA6">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634" w:type="dxa"/>
            <w:vMerge/>
            <w:tcBorders>
              <w:left w:val="single" w:sz="4" w:space="0" w:color="auto"/>
              <w:bottom w:val="single" w:sz="4" w:space="0" w:color="auto"/>
              <w:right w:val="single" w:sz="4" w:space="0" w:color="auto"/>
            </w:tcBorders>
            <w:shd w:val="clear" w:color="auto" w:fill="BDD7EE"/>
            <w:vAlign w:val="center"/>
          </w:tcPr>
          <w:p w:rsidR="00B0093E" w:rsidRDefault="00B0093E">
            <w:pPr>
              <w:spacing w:before="120" w:after="120" w:line="240" w:lineRule="auto"/>
              <w:jc w:val="center"/>
              <w:rPr>
                <w:rFonts w:ascii="Times New Roman" w:eastAsia="Times New Roman" w:hAnsi="Times New Roman" w:cs="Times New Roman"/>
                <w:b/>
                <w:bCs/>
                <w:noProof/>
                <w:sz w:val="18"/>
                <w:szCs w:val="18"/>
                <w:lang w:eastAsia="en-GB"/>
              </w:rPr>
            </w:pPr>
          </w:p>
        </w:tc>
      </w:tr>
      <w:tr w:rsidR="00B0093E">
        <w:tc>
          <w:tcPr>
            <w:tcW w:w="1134"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1</w:t>
            </w:r>
          </w:p>
        </w:tc>
        <w:tc>
          <w:tcPr>
            <w:tcW w:w="20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1 - 1.1. Energiantuotannon tehostaminen – 16870_Toimenpiteet saarten sähköverkkojen yhteenliittämiseksi ja sähköverkon parantamiseksi</w:t>
            </w:r>
          </w:p>
        </w:tc>
        <w:tc>
          <w:tcPr>
            <w:tcW w:w="100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ascii="Times New Roman" w:eastAsia="Times New Roman" w:hAnsi="Times New Roman" w:cs="Times New Roman"/>
                <w:noProof/>
                <w:sz w:val="18"/>
                <w:szCs w:val="18"/>
              </w:rPr>
            </w:pPr>
            <w:r>
              <w:rPr>
                <w:noProof/>
                <w:color w:val="006100"/>
                <w:sz w:val="18"/>
                <w:szCs w:val="18"/>
              </w:rPr>
              <w:t>Saarten yhteenliittäminen – sopimusten myöntä-minen</w:t>
            </w:r>
          </w:p>
        </w:tc>
        <w:tc>
          <w:tcPr>
            <w:tcW w:w="174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120" w:line="240" w:lineRule="auto"/>
              <w:rPr>
                <w:rFonts w:ascii="Times New Roman" w:eastAsia="Times New Roman" w:hAnsi="Times New Roman" w:cs="Times New Roman"/>
                <w:noProof/>
                <w:sz w:val="18"/>
                <w:szCs w:val="18"/>
              </w:rPr>
            </w:pPr>
            <w:r>
              <w:rPr>
                <w:noProof/>
                <w:color w:val="006100"/>
                <w:sz w:val="18"/>
                <w:szCs w:val="18"/>
              </w:rPr>
              <w:t>Ilmoitus kaikkien hankintasopimusten tekemisestä</w:t>
            </w:r>
          </w:p>
        </w:tc>
        <w:tc>
          <w:tcPr>
            <w:tcW w:w="92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ascii="Times New Roman" w:eastAsia="Times New Roman" w:hAnsi="Times New Roman" w:cs="Times New Roman"/>
                <w:noProof/>
                <w:sz w:val="18"/>
                <w:szCs w:val="18"/>
                <w:lang w:eastAsia="en-GB"/>
              </w:rPr>
            </w:pPr>
          </w:p>
        </w:tc>
        <w:tc>
          <w:tcPr>
            <w:tcW w:w="683" w:type="dxa"/>
            <w:gridSpan w:val="2"/>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ascii="Times New Roman" w:eastAsia="Times New Roman" w:hAnsi="Times New Roman" w:cs="Times New Roman"/>
                <w:noProof/>
                <w:sz w:val="18"/>
                <w:szCs w:val="18"/>
                <w:lang w:eastAsia="en-GB"/>
              </w:rPr>
            </w:pPr>
          </w:p>
        </w:tc>
        <w:tc>
          <w:tcPr>
            <w:tcW w:w="6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ascii="Times New Roman" w:eastAsia="Times New Roman" w:hAnsi="Times New Roman" w:cs="Times New Roman"/>
                <w:noProof/>
                <w:sz w:val="18"/>
                <w:szCs w:val="18"/>
                <w:lang w:eastAsia="en-GB"/>
              </w:rPr>
            </w:pPr>
          </w:p>
        </w:tc>
        <w:tc>
          <w:tcPr>
            <w:tcW w:w="931" w:type="dxa"/>
            <w:gridSpan w:val="2"/>
            <w:tcBorders>
              <w:top w:val="nil"/>
              <w:left w:val="nil"/>
              <w:bottom w:val="single" w:sz="4" w:space="0" w:color="auto"/>
              <w:right w:val="single" w:sz="4" w:space="0" w:color="auto"/>
            </w:tcBorders>
            <w:shd w:val="clear" w:color="auto" w:fill="C6EFCE"/>
            <w:noWrap/>
          </w:tcPr>
          <w:p w:rsidR="00B0093E" w:rsidRDefault="00762CA6">
            <w:pPr>
              <w:spacing w:after="120" w:line="240" w:lineRule="auto"/>
              <w:rPr>
                <w:rFonts w:eastAsia="Times New Roman"/>
                <w:noProof/>
                <w:color w:val="006100"/>
                <w:sz w:val="18"/>
                <w:szCs w:val="18"/>
              </w:rPr>
            </w:pPr>
            <w:r>
              <w:rPr>
                <w:noProof/>
                <w:color w:val="006100"/>
                <w:sz w:val="18"/>
                <w:szCs w:val="18"/>
              </w:rPr>
              <w:t>Q2:</w:t>
            </w:r>
          </w:p>
        </w:tc>
        <w:tc>
          <w:tcPr>
            <w:tcW w:w="911" w:type="dxa"/>
            <w:tcBorders>
              <w:top w:val="nil"/>
              <w:left w:val="nil"/>
              <w:bottom w:val="single" w:sz="4" w:space="0" w:color="auto"/>
              <w:right w:val="single" w:sz="4" w:space="0" w:color="auto"/>
            </w:tcBorders>
            <w:shd w:val="clear" w:color="auto" w:fill="C6EFCE"/>
            <w:noWrap/>
          </w:tcPr>
          <w:p w:rsidR="00B0093E" w:rsidRDefault="00762CA6">
            <w:pPr>
              <w:spacing w:after="120" w:line="240" w:lineRule="auto"/>
              <w:rPr>
                <w:rFonts w:eastAsia="Times New Roman"/>
                <w:noProof/>
                <w:color w:val="006100"/>
                <w:sz w:val="18"/>
                <w:szCs w:val="18"/>
              </w:rPr>
            </w:pPr>
            <w:r>
              <w:rPr>
                <w:noProof/>
                <w:color w:val="006100"/>
                <w:sz w:val="18"/>
                <w:szCs w:val="18"/>
              </w:rPr>
              <w:t>2023:</w:t>
            </w:r>
          </w:p>
        </w:tc>
        <w:tc>
          <w:tcPr>
            <w:tcW w:w="46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siitä, että riippumaton siirtoverkonhaltija on tehnyt kaikki hankintasopimukset kaikkien seuraavien laitteiden asentamiseksi:</w:t>
            </w:r>
          </w:p>
          <w:p w:rsidR="00B0093E" w:rsidRDefault="00762CA6">
            <w:pPr>
              <w:spacing w:after="0" w:line="240" w:lineRule="auto"/>
              <w:rPr>
                <w:rFonts w:eastAsia="Times New Roman" w:cs="Calibri"/>
                <w:noProof/>
                <w:color w:val="006100"/>
                <w:sz w:val="18"/>
                <w:szCs w:val="18"/>
              </w:rPr>
            </w:pPr>
            <w:r>
              <w:rPr>
                <w:noProof/>
                <w:color w:val="006100"/>
                <w:sz w:val="18"/>
                <w:szCs w:val="18"/>
              </w:rPr>
              <w:t>1) Naxos–Thera-kaapeliyhteys;</w:t>
            </w:r>
          </w:p>
          <w:p w:rsidR="00B0093E" w:rsidRDefault="00762CA6">
            <w:pPr>
              <w:spacing w:after="0" w:line="240" w:lineRule="auto"/>
              <w:rPr>
                <w:rFonts w:eastAsia="Times New Roman" w:cs="Calibri"/>
                <w:noProof/>
                <w:color w:val="006100"/>
                <w:sz w:val="18"/>
                <w:szCs w:val="18"/>
              </w:rPr>
            </w:pPr>
            <w:r>
              <w:rPr>
                <w:noProof/>
                <w:color w:val="006100"/>
                <w:sz w:val="18"/>
                <w:szCs w:val="18"/>
              </w:rPr>
              <w:t>2) Koumoundoros–Korintti-suurjännitekaapeli (osat 1 ja 2); ja</w:t>
            </w:r>
          </w:p>
          <w:p w:rsidR="00B0093E" w:rsidRDefault="00762CA6">
            <w:pPr>
              <w:spacing w:after="0" w:line="240" w:lineRule="auto"/>
              <w:rPr>
                <w:rFonts w:ascii="Times New Roman" w:eastAsia="Times New Roman" w:hAnsi="Times New Roman" w:cs="Times New Roman"/>
                <w:noProof/>
                <w:sz w:val="18"/>
                <w:szCs w:val="18"/>
              </w:rPr>
            </w:pPr>
            <w:r>
              <w:rPr>
                <w:noProof/>
                <w:color w:val="006100"/>
                <w:sz w:val="18"/>
                <w:szCs w:val="18"/>
              </w:rPr>
              <w:t xml:space="preserve">3) sähköasemat Milos, </w:t>
            </w:r>
            <w:r>
              <w:rPr>
                <w:noProof/>
                <w:color w:val="006100"/>
                <w:sz w:val="18"/>
                <w:szCs w:val="18"/>
              </w:rPr>
              <w:t>Folegandros, Serifos sekä kaapeliyhteydet Lavrio–Serifos, Serifos–Milos, Milos–Folegandros, Folegandros–Thera.</w:t>
            </w:r>
          </w:p>
        </w:tc>
      </w:tr>
      <w:tr w:rsidR="00B0093E">
        <w:tc>
          <w:tcPr>
            <w:tcW w:w="1134"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w:t>
            </w:r>
          </w:p>
        </w:tc>
        <w:tc>
          <w:tcPr>
            <w:tcW w:w="2078" w:type="dxa"/>
            <w:tcBorders>
              <w:top w:val="nil"/>
              <w:left w:val="nil"/>
              <w:bottom w:val="single" w:sz="4" w:space="0" w:color="auto"/>
              <w:right w:val="single" w:sz="4" w:space="0" w:color="auto"/>
            </w:tcBorders>
            <w:shd w:val="clear" w:color="auto" w:fill="C6EFCE"/>
            <w:noWrap/>
          </w:tcPr>
          <w:p w:rsidR="00B0093E" w:rsidRDefault="00762CA6">
            <w:pPr>
              <w:spacing w:after="120" w:line="240" w:lineRule="auto"/>
              <w:rPr>
                <w:rFonts w:ascii="Times New Roman" w:hAnsi="Times New Roman" w:cs="Times New Roman"/>
                <w:noProof/>
                <w:sz w:val="24"/>
              </w:rPr>
            </w:pPr>
            <w:r>
              <w:rPr>
                <w:noProof/>
                <w:color w:val="006100"/>
                <w:sz w:val="18"/>
                <w:szCs w:val="18"/>
              </w:rPr>
              <w:t>1 - 1.1. Energiantuotannon tehostaminen – 16870_Toimenpiteet saarten sähköverkkojen yhteenliittämiseksi ja sähköverkon parantamiseksi</w:t>
            </w:r>
          </w:p>
        </w:tc>
        <w:tc>
          <w:tcPr>
            <w:tcW w:w="1007" w:type="dxa"/>
            <w:tcBorders>
              <w:top w:val="nil"/>
              <w:left w:val="nil"/>
              <w:bottom w:val="single" w:sz="4" w:space="0" w:color="auto"/>
              <w:right w:val="single" w:sz="4" w:space="0" w:color="auto"/>
            </w:tcBorders>
            <w:shd w:val="clear" w:color="auto" w:fill="C6EFCE"/>
            <w:noWrap/>
          </w:tcPr>
          <w:p w:rsidR="00B0093E" w:rsidRDefault="00762CA6">
            <w:pPr>
              <w:spacing w:after="120" w:line="240" w:lineRule="auto"/>
              <w:rPr>
                <w:rFonts w:ascii="Times New Roman" w:hAnsi="Times New Roman" w:cs="Times New Roman"/>
                <w:noProof/>
                <w:sz w:val="24"/>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Saarten yhteenliittäminen – töiden edistyminen</w:t>
            </w:r>
          </w:p>
        </w:tc>
        <w:tc>
          <w:tcPr>
            <w:tcW w:w="1744" w:type="dxa"/>
            <w:tcBorders>
              <w:top w:val="nil"/>
              <w:left w:val="nil"/>
              <w:bottom w:val="single" w:sz="4" w:space="0" w:color="auto"/>
              <w:right w:val="single" w:sz="4" w:space="0" w:color="auto"/>
            </w:tcBorders>
            <w:shd w:val="clear" w:color="auto" w:fill="C6EFCE"/>
            <w:noWrap/>
          </w:tcPr>
          <w:p w:rsidR="00B0093E" w:rsidRDefault="00762CA6">
            <w:pPr>
              <w:spacing w:after="120" w:line="240" w:lineRule="auto"/>
              <w:rPr>
                <w:rFonts w:ascii="Times New Roman" w:hAnsi="Times New Roman" w:cs="Times New Roman"/>
                <w:noProof/>
                <w:sz w:val="24"/>
              </w:rPr>
            </w:pPr>
            <w:r>
              <w:rPr>
                <w:noProof/>
                <w:color w:val="006100"/>
                <w:sz w:val="18"/>
                <w:szCs w:val="18"/>
              </w:rPr>
              <w:t>Vahvistus siitä, että riippumaton siirtoverkonhaltija hyväksyy kaapeleiden asennustyöt, testien hyväksynnän ja todistuksen Koumoundouros–Korintti-suurjännitekaapelin 50 prosentin valmistumisen edis</w:t>
            </w:r>
            <w:r>
              <w:rPr>
                <w:noProof/>
                <w:color w:val="006100"/>
                <w:sz w:val="18"/>
                <w:szCs w:val="18"/>
              </w:rPr>
              <w:t>tymisestä (osat 1 ja 2)</w:t>
            </w:r>
          </w:p>
        </w:tc>
        <w:tc>
          <w:tcPr>
            <w:tcW w:w="92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83" w:type="dxa"/>
            <w:gridSpan w:val="2"/>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31" w:type="dxa"/>
            <w:gridSpan w:val="2"/>
            <w:tcBorders>
              <w:top w:val="nil"/>
              <w:left w:val="nil"/>
              <w:bottom w:val="single" w:sz="4" w:space="0" w:color="auto"/>
              <w:right w:val="single" w:sz="4" w:space="0" w:color="auto"/>
            </w:tcBorders>
            <w:shd w:val="clear" w:color="auto" w:fill="C6EFCE"/>
            <w:noWrap/>
          </w:tcPr>
          <w:p w:rsidR="00B0093E" w:rsidRDefault="00762CA6">
            <w:pPr>
              <w:spacing w:after="120" w:line="240" w:lineRule="auto"/>
              <w:rPr>
                <w:rFonts w:ascii="Times New Roman" w:hAnsi="Times New Roman" w:cs="Times New Roman"/>
                <w:noProof/>
                <w:sz w:val="24"/>
              </w:rPr>
            </w:pPr>
            <w:r>
              <w:rPr>
                <w:noProof/>
                <w:color w:val="006100"/>
                <w:sz w:val="18"/>
                <w:szCs w:val="18"/>
              </w:rPr>
              <w:t>Q2:</w:t>
            </w:r>
          </w:p>
        </w:tc>
        <w:tc>
          <w:tcPr>
            <w:tcW w:w="911" w:type="dxa"/>
            <w:tcBorders>
              <w:top w:val="nil"/>
              <w:left w:val="nil"/>
              <w:bottom w:val="single" w:sz="4" w:space="0" w:color="auto"/>
              <w:right w:val="single" w:sz="4" w:space="0" w:color="auto"/>
            </w:tcBorders>
            <w:shd w:val="clear" w:color="auto" w:fill="C6EFCE"/>
            <w:noWrap/>
          </w:tcPr>
          <w:p w:rsidR="00B0093E" w:rsidRDefault="00762CA6">
            <w:pPr>
              <w:spacing w:after="120" w:line="240" w:lineRule="auto"/>
              <w:rPr>
                <w:rFonts w:ascii="Times New Roman" w:hAnsi="Times New Roman" w:cs="Times New Roman"/>
                <w:noProof/>
                <w:sz w:val="24"/>
              </w:rPr>
            </w:pPr>
            <w:r>
              <w:rPr>
                <w:noProof/>
                <w:color w:val="006100"/>
                <w:sz w:val="18"/>
                <w:szCs w:val="18"/>
              </w:rPr>
              <w:t>2025:</w:t>
            </w:r>
          </w:p>
        </w:tc>
        <w:tc>
          <w:tcPr>
            <w:tcW w:w="4634" w:type="dxa"/>
            <w:tcBorders>
              <w:top w:val="nil"/>
              <w:left w:val="nil"/>
              <w:bottom w:val="single" w:sz="4" w:space="0" w:color="auto"/>
              <w:right w:val="single" w:sz="4" w:space="0" w:color="auto"/>
            </w:tcBorders>
            <w:shd w:val="clear" w:color="auto" w:fill="C6EFCE"/>
            <w:noWrap/>
          </w:tcPr>
          <w:p w:rsidR="00B0093E" w:rsidRDefault="00762CA6">
            <w:pPr>
              <w:spacing w:after="120" w:line="240" w:lineRule="auto"/>
              <w:rPr>
                <w:rFonts w:eastAsia="Times New Roman" w:cs="Calibri"/>
                <w:noProof/>
                <w:color w:val="006100"/>
                <w:sz w:val="18"/>
                <w:szCs w:val="18"/>
              </w:rPr>
            </w:pPr>
            <w:r>
              <w:rPr>
                <w:noProof/>
                <w:color w:val="006100"/>
                <w:sz w:val="18"/>
                <w:szCs w:val="18"/>
              </w:rPr>
              <w:t>Onnistunut kaapeliasennus ja Naxos–Theran testaus;</w:t>
            </w:r>
          </w:p>
          <w:p w:rsidR="00B0093E" w:rsidRDefault="00762CA6">
            <w:pPr>
              <w:spacing w:after="120" w:line="240" w:lineRule="auto"/>
              <w:rPr>
                <w:rFonts w:ascii="Times New Roman" w:hAnsi="Times New Roman" w:cs="Times New Roman"/>
                <w:noProof/>
                <w:sz w:val="24"/>
              </w:rPr>
            </w:pPr>
            <w:r>
              <w:rPr>
                <w:noProof/>
                <w:color w:val="006100"/>
                <w:sz w:val="18"/>
                <w:szCs w:val="18"/>
              </w:rPr>
              <w:t>50 prosenttia Koumoundouros–Korintti-suurjännitekaapelista (osat 1 ja 2) on saatu päätökseen.</w:t>
            </w:r>
          </w:p>
        </w:tc>
      </w:tr>
      <w:tr w:rsidR="00B0093E">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rsidR="00B0093E" w:rsidRDefault="00762CA6">
            <w:pPr>
              <w:spacing w:before="120" w:after="120" w:line="240" w:lineRule="auto"/>
              <w:rPr>
                <w:rFonts w:ascii="Times New Roman" w:hAnsi="Times New Roman" w:cs="Times New Roman"/>
                <w:noProof/>
                <w:sz w:val="24"/>
              </w:rPr>
            </w:pPr>
            <w:r>
              <w:rPr>
                <w:noProof/>
                <w:color w:val="006100"/>
                <w:sz w:val="18"/>
                <w:szCs w:val="18"/>
              </w:rPr>
              <w:t> 3</w:t>
            </w:r>
          </w:p>
        </w:tc>
        <w:tc>
          <w:tcPr>
            <w:tcW w:w="2078"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 xml:space="preserve"> 1 - 1.1. Energiantuotannon tehostaminen – 16870_Toimenpiteet saarten </w:t>
            </w:r>
            <w:r>
              <w:rPr>
                <w:noProof/>
                <w:color w:val="006100"/>
                <w:sz w:val="18"/>
                <w:szCs w:val="18"/>
              </w:rPr>
              <w:t>sähköverkkojen yhteenliittämiseksi ja sähköverkon parantamiseksi</w:t>
            </w:r>
          </w:p>
        </w:tc>
        <w:tc>
          <w:tcPr>
            <w:tcW w:w="1007"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 Välitavoite</w:t>
            </w:r>
          </w:p>
        </w:tc>
        <w:tc>
          <w:tcPr>
            <w:tcW w:w="1134"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Saarten yhteenliittäminen – loppuun saattaminen</w:t>
            </w:r>
          </w:p>
        </w:tc>
        <w:tc>
          <w:tcPr>
            <w:tcW w:w="1744"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Riippumattoman siirtoverkonhaltijan varmentaman toiminnan onnistunut käynnistäminen/sähköistys; menestyksekästä koekäyttöä koskevi</w:t>
            </w:r>
            <w:r>
              <w:rPr>
                <w:noProof/>
                <w:color w:val="006100"/>
                <w:sz w:val="18"/>
                <w:szCs w:val="18"/>
              </w:rPr>
              <w:t>en todistusten antaminen</w:t>
            </w:r>
          </w:p>
        </w:tc>
        <w:tc>
          <w:tcPr>
            <w:tcW w:w="920"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 </w:t>
            </w:r>
          </w:p>
        </w:tc>
        <w:tc>
          <w:tcPr>
            <w:tcW w:w="683" w:type="dxa"/>
            <w:gridSpan w:val="2"/>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 </w:t>
            </w:r>
          </w:p>
        </w:tc>
        <w:tc>
          <w:tcPr>
            <w:tcW w:w="666"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 </w:t>
            </w:r>
          </w:p>
        </w:tc>
        <w:tc>
          <w:tcPr>
            <w:tcW w:w="931" w:type="dxa"/>
            <w:gridSpan w:val="2"/>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 Q4:</w:t>
            </w:r>
          </w:p>
        </w:tc>
        <w:tc>
          <w:tcPr>
            <w:tcW w:w="911"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rFonts w:ascii="Times New Roman" w:hAnsi="Times New Roman" w:cs="Times New Roman"/>
                <w:noProof/>
                <w:sz w:val="24"/>
              </w:rPr>
            </w:pPr>
            <w:r>
              <w:rPr>
                <w:noProof/>
                <w:color w:val="006100"/>
                <w:sz w:val="18"/>
                <w:szCs w:val="18"/>
              </w:rPr>
              <w:t>2025: </w:t>
            </w:r>
          </w:p>
        </w:tc>
        <w:tc>
          <w:tcPr>
            <w:tcW w:w="4634"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120" w:line="240" w:lineRule="auto"/>
              <w:rPr>
                <w:noProof/>
                <w:color w:val="006100"/>
                <w:sz w:val="18"/>
                <w:szCs w:val="18"/>
              </w:rPr>
            </w:pPr>
            <w:r>
              <w:rPr>
                <w:noProof/>
                <w:color w:val="006100"/>
                <w:sz w:val="18"/>
                <w:szCs w:val="18"/>
              </w:rPr>
              <w:t xml:space="preserve">Kaikkien kolmen osahankkeen (Naxos–Thera-yhteys, Koumoundoros–Korintti-suurjännitekaapeli, sähköasemat ja muut yhteydet) valmistuminen, onnistunut liittäminen Kreikan sähköliikennejärjestelmään ja toiminnan </w:t>
            </w:r>
            <w:r>
              <w:rPr>
                <w:noProof/>
                <w:color w:val="006100"/>
                <w:sz w:val="18"/>
                <w:szCs w:val="18"/>
              </w:rPr>
              <w:t>aloittaminen.</w:t>
            </w:r>
          </w:p>
        </w:tc>
      </w:tr>
    </w:tbl>
    <w:p w:rsidR="00B0093E" w:rsidRDefault="00762CA6">
      <w:pPr>
        <w:keepNext/>
        <w:keepLines/>
        <w:spacing w:before="240" w:after="240" w:line="240" w:lineRule="auto"/>
        <w:jc w:val="both"/>
        <w:outlineLvl w:val="4"/>
        <w:rPr>
          <w:rFonts w:ascii="Cambria" w:eastAsia="Times New Roman" w:hAnsi="Cambria"/>
          <w:noProof/>
          <w:color w:val="365F91"/>
          <w:sz w:val="24"/>
        </w:rPr>
      </w:pPr>
      <w:r>
        <w:rPr>
          <w:rFonts w:ascii="Cambria" w:hAnsi="Cambria"/>
          <w:noProof/>
          <w:color w:val="365F91"/>
          <w:sz w:val="24"/>
        </w:rPr>
        <w:t xml:space="preserve">Keskeinen uudistus 1: Uusiutuvista energialähteistä tuotetun sähkön ja lämmön yhteistuotantoa koskevan tilin tulojen uudelleenjärjestely ja lisääminen – Uuden sähkömarkkinamallin tehokas toiminta ja uusien uusiutuvia energialähteitä </w:t>
      </w:r>
      <w:r>
        <w:rPr>
          <w:rFonts w:ascii="Cambria" w:hAnsi="Cambria"/>
          <w:noProof/>
          <w:color w:val="365F91"/>
          <w:sz w:val="24"/>
        </w:rPr>
        <w:t>hyödyntävien laitosten kehittäminen kansallisten energia- ja ilmastosuunnitelmien tavoitteiden saavuttamiseksi ottamalla käyttöön seurantamekanismi, osallistumalla kysyntäjoustoon ja uudistamalla laajasti uusien uusiutuvien energialähteiden lupamenettelyä</w:t>
      </w:r>
    </w:p>
    <w:tbl>
      <w:tblPr>
        <w:tblpPr w:leftFromText="180" w:rightFromText="180" w:vertAnchor="text" w:tblpX="113" w:tblpY="1"/>
        <w:tblOverlap w:val="never"/>
        <w:tblW w:w="15615" w:type="dxa"/>
        <w:tblLook w:val="04A0" w:firstRow="1" w:lastRow="0" w:firstColumn="1" w:lastColumn="0" w:noHBand="0" w:noVBand="1"/>
      </w:tblPr>
      <w:tblGrid>
        <w:gridCol w:w="1043"/>
        <w:gridCol w:w="2035"/>
        <w:gridCol w:w="1626"/>
        <w:gridCol w:w="1813"/>
        <w:gridCol w:w="2138"/>
        <w:gridCol w:w="1457"/>
        <w:gridCol w:w="994"/>
        <w:gridCol w:w="1006"/>
        <w:gridCol w:w="1387"/>
        <w:gridCol w:w="956"/>
        <w:gridCol w:w="4156"/>
      </w:tblGrid>
      <w:tr w:rsidR="00B0093E">
        <w:trPr>
          <w:trHeight w:val="558"/>
          <w:tblHeader/>
        </w:trPr>
        <w:tc>
          <w:tcPr>
            <w:tcW w:w="1043"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Numero</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Toimenpide (uudistus tai investointi)</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Välitavoite/tavoite</w:t>
            </w:r>
          </w:p>
        </w:tc>
        <w:tc>
          <w:tcPr>
            <w:tcW w:w="1234" w:type="dxa"/>
            <w:vMerge w:val="restart"/>
            <w:tcBorders>
              <w:top w:val="single" w:sz="4" w:space="0" w:color="auto"/>
              <w:left w:val="nil"/>
              <w:bottom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Nimi</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Laadulliset indikaattorit   (välitavoitteiden osalta)</w:t>
            </w:r>
          </w:p>
        </w:tc>
        <w:tc>
          <w:tcPr>
            <w:tcW w:w="2890" w:type="dxa"/>
            <w:gridSpan w:val="3"/>
            <w:tcBorders>
              <w:top w:val="single" w:sz="4" w:space="0" w:color="auto"/>
              <w:left w:val="nil"/>
              <w:bottom w:val="single" w:sz="4" w:space="0" w:color="auto"/>
              <w:right w:val="single" w:sz="4" w:space="0" w:color="auto"/>
            </w:tcBorders>
            <w:shd w:val="clear" w:color="auto" w:fill="B8CCE4"/>
            <w:noWrap/>
            <w:vAlign w:val="center"/>
          </w:tcPr>
          <w:p w:rsidR="00B0093E" w:rsidRDefault="00762CA6">
            <w:pPr>
              <w:spacing w:after="0" w:line="240" w:lineRule="auto"/>
              <w:jc w:val="center"/>
              <w:rPr>
                <w:rFonts w:eastAsia="Times New Roman" w:cs="Calibri"/>
                <w:noProof/>
                <w:color w:val="006100"/>
                <w:sz w:val="18"/>
                <w:szCs w:val="18"/>
              </w:rPr>
            </w:pPr>
            <w:r>
              <w:rPr>
                <w:rFonts w:ascii="Times New Roman" w:hAnsi="Times New Roman"/>
                <w:b/>
                <w:bCs/>
                <w:noProof/>
                <w:sz w:val="18"/>
                <w:szCs w:val="18"/>
              </w:rPr>
              <w:t>Määrälliset indikaattorit (tavoitteiden osalta)</w:t>
            </w:r>
          </w:p>
        </w:tc>
        <w:tc>
          <w:tcPr>
            <w:tcW w:w="1912" w:type="dxa"/>
            <w:gridSpan w:val="2"/>
            <w:tcBorders>
              <w:top w:val="single" w:sz="4" w:space="0" w:color="auto"/>
              <w:left w:val="nil"/>
              <w:bottom w:val="single" w:sz="4" w:space="0" w:color="auto"/>
              <w:right w:val="single" w:sz="4" w:space="0" w:color="auto"/>
            </w:tcBorders>
            <w:shd w:val="clear" w:color="auto" w:fill="B8CCE4"/>
            <w:noWrap/>
          </w:tcPr>
          <w:p w:rsidR="00B0093E" w:rsidRDefault="00762CA6">
            <w:pPr>
              <w:spacing w:after="0" w:line="240" w:lineRule="auto"/>
              <w:jc w:val="center"/>
              <w:rPr>
                <w:rFonts w:eastAsia="Times New Roman" w:cs="Calibri"/>
                <w:noProof/>
                <w:color w:val="006100"/>
                <w:sz w:val="18"/>
                <w:szCs w:val="18"/>
              </w:rPr>
            </w:pPr>
            <w:r>
              <w:rPr>
                <w:rFonts w:ascii="Times New Roman" w:hAnsi="Times New Roman"/>
                <w:b/>
                <w:bCs/>
                <w:noProof/>
                <w:sz w:val="18"/>
                <w:szCs w:val="18"/>
              </w:rPr>
              <w:t>Alustava toteutusaikataulu</w:t>
            </w:r>
          </w:p>
        </w:tc>
        <w:tc>
          <w:tcPr>
            <w:tcW w:w="4156" w:type="dxa"/>
            <w:vMerge w:val="restart"/>
            <w:tcBorders>
              <w:top w:val="single" w:sz="4" w:space="0" w:color="auto"/>
              <w:left w:val="nil"/>
              <w:bottom w:val="single" w:sz="4" w:space="0" w:color="auto"/>
              <w:right w:val="single" w:sz="4" w:space="0" w:color="auto"/>
            </w:tcBorders>
            <w:shd w:val="clear" w:color="auto" w:fill="B8CCE4"/>
            <w:noWrap/>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Kunkin välitavoitteen ja tavoitteen kuvaus</w:t>
            </w:r>
          </w:p>
        </w:tc>
      </w:tr>
      <w:tr w:rsidR="00B0093E">
        <w:trPr>
          <w:trHeight w:val="557"/>
        </w:trPr>
        <w:tc>
          <w:tcPr>
            <w:tcW w:w="1043"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952"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42"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34" w:type="dxa"/>
            <w:vMerge/>
            <w:tcBorders>
              <w:top w:val="single" w:sz="4" w:space="0" w:color="auto"/>
              <w:left w:val="nil"/>
              <w:bottom w:val="single" w:sz="4" w:space="0" w:color="auto"/>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86"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48" w:type="dxa"/>
            <w:tcBorders>
              <w:top w:val="single" w:sz="4" w:space="0" w:color="auto"/>
              <w:left w:val="nil"/>
              <w:bottom w:val="single" w:sz="4" w:space="0" w:color="auto"/>
              <w:right w:val="single" w:sz="4" w:space="0" w:color="auto"/>
            </w:tcBorders>
            <w:shd w:val="clear" w:color="auto" w:fill="B8CCE4"/>
            <w:noWrap/>
            <w:vAlign w:val="center"/>
          </w:tcPr>
          <w:p w:rsidR="00B0093E" w:rsidRDefault="00762CA6">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94" w:type="dxa"/>
            <w:tcBorders>
              <w:top w:val="single" w:sz="4" w:space="0" w:color="auto"/>
              <w:left w:val="nil"/>
              <w:bottom w:val="single" w:sz="4" w:space="0" w:color="auto"/>
              <w:right w:val="single" w:sz="4" w:space="0" w:color="auto"/>
            </w:tcBorders>
            <w:shd w:val="clear" w:color="auto" w:fill="B8CCE4"/>
            <w:vAlign w:val="center"/>
          </w:tcPr>
          <w:p w:rsidR="00B0093E" w:rsidRDefault="00762CA6">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Perustaso</w:t>
            </w:r>
          </w:p>
        </w:tc>
        <w:tc>
          <w:tcPr>
            <w:tcW w:w="648" w:type="dxa"/>
            <w:tcBorders>
              <w:top w:val="single" w:sz="4" w:space="0" w:color="auto"/>
              <w:left w:val="nil"/>
              <w:bottom w:val="single" w:sz="4" w:space="0" w:color="auto"/>
              <w:right w:val="single" w:sz="4" w:space="0" w:color="auto"/>
            </w:tcBorders>
            <w:shd w:val="clear" w:color="auto" w:fill="B8CCE4"/>
            <w:vAlign w:val="center"/>
          </w:tcPr>
          <w:p w:rsidR="00B0093E" w:rsidRDefault="00762CA6">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Päämäärä</w:t>
            </w:r>
          </w:p>
        </w:tc>
        <w:tc>
          <w:tcPr>
            <w:tcW w:w="956" w:type="dxa"/>
            <w:tcBorders>
              <w:top w:val="single" w:sz="4" w:space="0" w:color="auto"/>
              <w:left w:val="nil"/>
              <w:bottom w:val="single" w:sz="4" w:space="0" w:color="auto"/>
              <w:right w:val="single" w:sz="4" w:space="0" w:color="auto"/>
            </w:tcBorders>
            <w:shd w:val="clear" w:color="auto" w:fill="B8CCE4"/>
            <w:noWrap/>
          </w:tcPr>
          <w:p w:rsidR="00B0093E" w:rsidRDefault="00762CA6">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956" w:type="dxa"/>
            <w:tcBorders>
              <w:top w:val="single" w:sz="4" w:space="0" w:color="auto"/>
              <w:left w:val="nil"/>
              <w:bottom w:val="single" w:sz="4" w:space="0" w:color="auto"/>
              <w:right w:val="single" w:sz="4" w:space="0" w:color="auto"/>
            </w:tcBorders>
            <w:shd w:val="clear" w:color="auto" w:fill="B8CCE4"/>
          </w:tcPr>
          <w:p w:rsidR="00B0093E" w:rsidRDefault="00762CA6">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156" w:type="dxa"/>
            <w:vMerge/>
            <w:tcBorders>
              <w:top w:val="single" w:sz="4" w:space="0" w:color="auto"/>
              <w:left w:val="nil"/>
              <w:bottom w:val="single" w:sz="4" w:space="0" w:color="auto"/>
              <w:right w:val="single" w:sz="4" w:space="0" w:color="auto"/>
            </w:tcBorders>
            <w:shd w:val="clear" w:color="auto" w:fill="B8CCE4"/>
            <w:noWrap/>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c>
          <w:tcPr>
            <w:tcW w:w="1043"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w:t>
            </w:r>
          </w:p>
        </w:tc>
        <w:tc>
          <w:tcPr>
            <w:tcW w:w="19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1 - 1.1. Energiantuotannon tehostaminen – 16865_ Uusiutuvien energialähteiden yhteistuotantotilin tulojen uudelleenjärjestely ja parantaminen</w:t>
            </w:r>
          </w:p>
        </w:tc>
        <w:tc>
          <w:tcPr>
            <w:tcW w:w="11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Uusiutuvien energialähteiden tili – lainsäädäntö, j</w:t>
            </w:r>
            <w:r>
              <w:rPr>
                <w:noProof/>
                <w:color w:val="006100"/>
                <w:sz w:val="18"/>
                <w:szCs w:val="18"/>
              </w:rPr>
              <w:t>olla muutetaan asetusta (EU) N:o 4001/2011; ministeriöiden, kansallisen sääntelyviranomaisen (RAE) ja uusiutuvien energialähteiden ja alkuperätakuiden hallinnoijan (DAPEEP) kaikkien asiaankuuluvien päätösten, myös sääntöjen, voimaantulo.</w:t>
            </w:r>
          </w:p>
        </w:tc>
        <w:tc>
          <w:tcPr>
            <w:tcW w:w="128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Lainsäädännön ja a</w:t>
            </w:r>
            <w:r>
              <w:rPr>
                <w:noProof/>
                <w:color w:val="006100"/>
                <w:sz w:val="18"/>
                <w:szCs w:val="18"/>
              </w:rPr>
              <w:t>siaankuuluvien täytäntöönpanopäätösten voimaantulo.</w:t>
            </w:r>
          </w:p>
        </w:tc>
        <w:tc>
          <w:tcPr>
            <w:tcW w:w="124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4"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4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1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Uusien uusiutuvien energialähteiden tilin perustaminen 1 päivästä tammikuuta 2021 alkaen käyttöön otettujen yksiköiden osalta, mukaan lukien lainsäädännön muutos, ministeriön päätös ja sää</w:t>
            </w:r>
            <w:r>
              <w:rPr>
                <w:noProof/>
                <w:color w:val="006100"/>
                <w:sz w:val="18"/>
                <w:szCs w:val="18"/>
              </w:rPr>
              <w:t>ntelypäätökset (säännöt). Uusi uusiutuvien energialähteiden tili sisältää mekanismeja, joilla varmistetaan sen taloudellinen elinkelpoisuus, myös odottamattomien epätasapainojen tapauksessa.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2) Sellaisen alkuperätakuiden kauppajärjestelmän voimaantulo, jo</w:t>
            </w:r>
            <w:r>
              <w:rPr>
                <w:noProof/>
                <w:color w:val="006100"/>
                <w:sz w:val="18"/>
                <w:szCs w:val="18"/>
              </w:rPr>
              <w:t>nka ansiosta kuluttajat voivat vapaaehtoisesti tukea uusiutuvista energialähteistä tuotettua sähköä.</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Alkuperätakuujärjestelmän on sisällettävä: </w:t>
            </w:r>
          </w:p>
          <w:p w:rsidR="00B0093E" w:rsidRDefault="00762CA6">
            <w:pPr>
              <w:numPr>
                <w:ilvl w:val="0"/>
                <w:numId w:val="27"/>
              </w:numPr>
              <w:spacing w:before="120" w:after="0" w:line="259" w:lineRule="auto"/>
              <w:contextualSpacing/>
              <w:jc w:val="both"/>
              <w:rPr>
                <w:rFonts w:eastAsia="Times New Roman" w:cs="Calibri"/>
                <w:noProof/>
                <w:color w:val="006100"/>
                <w:sz w:val="18"/>
                <w:szCs w:val="18"/>
              </w:rPr>
            </w:pPr>
            <w:r>
              <w:rPr>
                <w:noProof/>
                <w:color w:val="006100"/>
                <w:sz w:val="18"/>
                <w:szCs w:val="18"/>
              </w:rPr>
              <w:t>uusiutuvien energialähteiden syöttötariffien liikkeeseenlasku-/huutokauppajärjestelmän hyväksyminen</w:t>
            </w:r>
          </w:p>
          <w:p w:rsidR="00B0093E" w:rsidRDefault="00762CA6">
            <w:pPr>
              <w:numPr>
                <w:ilvl w:val="0"/>
                <w:numId w:val="27"/>
              </w:numPr>
              <w:spacing w:before="120" w:after="0" w:line="259" w:lineRule="auto"/>
              <w:contextualSpacing/>
              <w:jc w:val="both"/>
              <w:rPr>
                <w:rFonts w:eastAsia="Times New Roman" w:cs="Calibri"/>
                <w:noProof/>
                <w:color w:val="006100"/>
                <w:sz w:val="18"/>
                <w:szCs w:val="18"/>
              </w:rPr>
            </w:pPr>
            <w:r>
              <w:rPr>
                <w:noProof/>
                <w:color w:val="006100"/>
                <w:sz w:val="18"/>
                <w:szCs w:val="18"/>
              </w:rPr>
              <w:t>”Vihreiden”</w:t>
            </w:r>
            <w:r>
              <w:rPr>
                <w:noProof/>
                <w:color w:val="006100"/>
                <w:sz w:val="18"/>
                <w:szCs w:val="18"/>
              </w:rPr>
              <w:t xml:space="preserve"> vähittäistuotteiden akkreditointi</w:t>
            </w:r>
          </w:p>
          <w:p w:rsidR="00B0093E" w:rsidRDefault="00762CA6">
            <w:pPr>
              <w:numPr>
                <w:ilvl w:val="0"/>
                <w:numId w:val="27"/>
              </w:numPr>
              <w:spacing w:before="120" w:after="0" w:line="259" w:lineRule="auto"/>
              <w:contextualSpacing/>
              <w:jc w:val="both"/>
              <w:rPr>
                <w:rFonts w:eastAsia="Times New Roman" w:cs="Calibri"/>
                <w:noProof/>
                <w:color w:val="006100"/>
                <w:sz w:val="18"/>
                <w:szCs w:val="18"/>
              </w:rPr>
            </w:pPr>
            <w:r>
              <w:rPr>
                <w:noProof/>
                <w:color w:val="006100"/>
                <w:sz w:val="18"/>
                <w:szCs w:val="18"/>
              </w:rPr>
              <w:t>”Vihreän liiketoiminnan” standardien akkreditointi.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w:t>
            </w:r>
          </w:p>
        </w:tc>
      </w:tr>
      <w:tr w:rsidR="00B0093E">
        <w:tc>
          <w:tcPr>
            <w:tcW w:w="1043"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w:t>
            </w:r>
          </w:p>
        </w:tc>
        <w:tc>
          <w:tcPr>
            <w:tcW w:w="19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16860_Virtaviivaistetaan uuden sähkömarkkinamallin tehokasta toimintaa ja uusien uusiutuvia energialähteitä käyttävien </w:t>
            </w:r>
            <w:r>
              <w:rPr>
                <w:noProof/>
                <w:color w:val="006100"/>
                <w:sz w:val="18"/>
                <w:szCs w:val="18"/>
              </w:rPr>
              <w:t>laitosten kehittämistä kansallisten energia- ja ilmastosuunnitelmien tavoitteiden saavuttamiseksi ottamalla käyttöön seurantamekanismi, osallistumalla kysyntäjoustoon ja uudistamalla laajasti uusien uusiutuvien energialähteiden lupamenettelyä.</w:t>
            </w:r>
          </w:p>
        </w:tc>
        <w:tc>
          <w:tcPr>
            <w:tcW w:w="11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Välitavoite</w:t>
            </w:r>
          </w:p>
        </w:tc>
        <w:tc>
          <w:tcPr>
            <w:tcW w:w="12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Uusiutuvien energialähteiden tili – markkinauudistukset ja lupamenettelyn yksinkertaistaminen</w:t>
            </w:r>
          </w:p>
        </w:tc>
        <w:tc>
          <w:tcPr>
            <w:tcW w:w="128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Kaiken asiaa koskevan lainsäädännön voimaantulo, mukaan lukien ministeriöiden päätökset sekä kansallisten sääntelyviranomaisten ja uusiutuvien energialähteiden ja</w:t>
            </w:r>
            <w:r>
              <w:rPr>
                <w:noProof/>
                <w:color w:val="006100"/>
                <w:sz w:val="18"/>
                <w:szCs w:val="18"/>
              </w:rPr>
              <w:t xml:space="preserve"> alkuperätakuiden hallinnoijan sääntelykehys</w:t>
            </w:r>
          </w:p>
        </w:tc>
        <w:tc>
          <w:tcPr>
            <w:tcW w:w="124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4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1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markkinoiden seuranta- ja valvontamekanismin perustaminen ja täysimääräinen toiminta sekä kysyntäpuolen vastatoimien täysimääräinen osallistuminen tasehallintamarkkinoille.</w:t>
            </w:r>
          </w:p>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2) Uusiutuvia energial</w:t>
            </w:r>
            <w:r>
              <w:rPr>
                <w:noProof/>
                <w:color w:val="006100"/>
                <w:sz w:val="18"/>
                <w:szCs w:val="18"/>
              </w:rPr>
              <w:t>ähteitä koskevien lupien yksinkertaistamista koskevan uudistuksen loppuun saattaminen, mukaan lukien menettelyjen yksinkertaistaminen ja digitalisointi, lyhyet ja sitovat hallinnolliset vastausajat ja vastuuvelvollisuusmenettelyt tarpeettomien viivästysten</w:t>
            </w:r>
            <w:r>
              <w:rPr>
                <w:noProof/>
                <w:color w:val="006100"/>
                <w:sz w:val="18"/>
                <w:szCs w:val="18"/>
              </w:rPr>
              <w:t xml:space="preserve"> varalta, tarvittavien asiakirjojen ja menettelyjen vähentäminen sekä uusi erityinen kehys uusiutuvia energialähteitä käyttäville avomerellä sijaitseville laitoksille.</w:t>
            </w:r>
          </w:p>
        </w:tc>
      </w:tr>
      <w:tr w:rsidR="00B0093E">
        <w:tc>
          <w:tcPr>
            <w:tcW w:w="1043"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w:t>
            </w:r>
          </w:p>
        </w:tc>
        <w:tc>
          <w:tcPr>
            <w:tcW w:w="19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16865_ Uusiutuvien energialähteiden </w:t>
            </w:r>
            <w:r>
              <w:rPr>
                <w:noProof/>
                <w:color w:val="006100"/>
                <w:sz w:val="18"/>
                <w:szCs w:val="18"/>
              </w:rPr>
              <w:t>yhteistuotantotilin tulojen uudelleenjärjestely ja parantaminen</w:t>
            </w:r>
          </w:p>
        </w:tc>
        <w:tc>
          <w:tcPr>
            <w:tcW w:w="11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Uusiutuvien energialähteiden tili – kapasiteetin lisäystavoite 1</w:t>
            </w:r>
          </w:p>
        </w:tc>
        <w:tc>
          <w:tcPr>
            <w:tcW w:w="128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4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Uusiutuvien energialähteiden uusi kapasiteetti (GW) otettu käyttöön</w:t>
            </w:r>
          </w:p>
        </w:tc>
        <w:tc>
          <w:tcPr>
            <w:tcW w:w="9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64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w:t>
            </w:r>
          </w:p>
        </w:tc>
        <w:tc>
          <w:tcPr>
            <w:tcW w:w="9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1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Uusi uusiutuviin energialähteisiin </w:t>
            </w:r>
            <w:r>
              <w:rPr>
                <w:noProof/>
                <w:color w:val="006100"/>
                <w:sz w:val="18"/>
                <w:szCs w:val="18"/>
              </w:rPr>
              <w:t>liittyvä kapasiteetti on asennettu ja toiminnassa</w:t>
            </w:r>
          </w:p>
        </w:tc>
      </w:tr>
      <w:tr w:rsidR="00B0093E">
        <w:tc>
          <w:tcPr>
            <w:tcW w:w="1043"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7</w:t>
            </w:r>
          </w:p>
        </w:tc>
        <w:tc>
          <w:tcPr>
            <w:tcW w:w="19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1 - 1.1. Energiantuotannon tehostaminen – 16865_ Uusiutuvien energialähteiden yhteistuotantotilin tulojen uudelleenjärjestely ja parantaminen</w:t>
            </w:r>
          </w:p>
        </w:tc>
        <w:tc>
          <w:tcPr>
            <w:tcW w:w="114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Tavoite</w:t>
            </w:r>
          </w:p>
        </w:tc>
        <w:tc>
          <w:tcPr>
            <w:tcW w:w="123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Uusiutuvien energialähteiden tili – kapasiteetin </w:t>
            </w:r>
            <w:r>
              <w:rPr>
                <w:noProof/>
                <w:color w:val="006100"/>
                <w:sz w:val="18"/>
                <w:szCs w:val="18"/>
              </w:rPr>
              <w:t>lisäystavoite 2</w:t>
            </w:r>
          </w:p>
        </w:tc>
        <w:tc>
          <w:tcPr>
            <w:tcW w:w="128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124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Uusiutuvien energialähteiden uusi kapasiteetti (GW) otettu käyttöön</w:t>
            </w:r>
          </w:p>
        </w:tc>
        <w:tc>
          <w:tcPr>
            <w:tcW w:w="99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1</w:t>
            </w:r>
          </w:p>
        </w:tc>
        <w:tc>
          <w:tcPr>
            <w:tcW w:w="64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2</w:t>
            </w:r>
          </w:p>
        </w:tc>
        <w:tc>
          <w:tcPr>
            <w:tcW w:w="9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1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Uusi uusiutuviin energialähteisiin liittyvä kapasiteetti on asennettu ja toiminnassa</w:t>
            </w:r>
          </w:p>
        </w:tc>
      </w:tr>
      <w:tr w:rsidR="00B0093E">
        <w:tc>
          <w:tcPr>
            <w:tcW w:w="1043"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8</w:t>
            </w:r>
          </w:p>
        </w:tc>
        <w:tc>
          <w:tcPr>
            <w:tcW w:w="19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16865_ Uusiutuvien </w:t>
            </w:r>
            <w:r>
              <w:rPr>
                <w:noProof/>
                <w:color w:val="006100"/>
                <w:sz w:val="18"/>
                <w:szCs w:val="18"/>
              </w:rPr>
              <w:t>energialähteiden yhteistuotantotilin tulojen uudelleenjärjestely ja parantaminen</w:t>
            </w:r>
          </w:p>
        </w:tc>
        <w:tc>
          <w:tcPr>
            <w:tcW w:w="114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Tavoite</w:t>
            </w:r>
          </w:p>
        </w:tc>
        <w:tc>
          <w:tcPr>
            <w:tcW w:w="123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Uusiutuvien energialähteiden tili – kapasiteetin lisäystavoite 3 </w:t>
            </w:r>
          </w:p>
        </w:tc>
        <w:tc>
          <w:tcPr>
            <w:tcW w:w="128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124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Uusiutuvien energialähteiden uusi kapasiteetti (GW) otettu käyttöön</w:t>
            </w:r>
          </w:p>
        </w:tc>
        <w:tc>
          <w:tcPr>
            <w:tcW w:w="99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2</w:t>
            </w:r>
          </w:p>
        </w:tc>
        <w:tc>
          <w:tcPr>
            <w:tcW w:w="64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3</w:t>
            </w:r>
          </w:p>
        </w:tc>
        <w:tc>
          <w:tcPr>
            <w:tcW w:w="9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1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Uusi uusiutuviin</w:t>
            </w:r>
            <w:r>
              <w:rPr>
                <w:noProof/>
                <w:color w:val="006100"/>
                <w:sz w:val="18"/>
                <w:szCs w:val="18"/>
              </w:rPr>
              <w:t xml:space="preserve"> energialähteisiin liittyvä kapasiteetti on asennettu ja toiminnassa</w:t>
            </w:r>
          </w:p>
        </w:tc>
      </w:tr>
    </w:tbl>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1: Energiantuotannon tehostaminen</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Tähän ryhmään kuuluvat seuraavat toimenpiteet:</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Tuki varastointijärjestelmien asentamiselle uusiutuvien energialähteiden tehokkaamman käytön </w:t>
      </w:r>
      <w:r>
        <w:rPr>
          <w:rFonts w:ascii="Times New Roman" w:hAnsi="Times New Roman"/>
          <w:noProof/>
          <w:sz w:val="24"/>
        </w:rPr>
        <w:t>hyväksi (tunniste: 16926)</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Eniten kärsineiden alueiden (oikeudenmukaisen siirtymän alueet) elvytystoimet (toimenpiteen tunniste: 16871)</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HEDNO-verkon päivitykset, joilla pyritään parantamaan häiriönsietokykyä ja suojelemaan ympäristöä (tunniste: 16901)</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HEDNO-ilmajohtoverkon kunnostaminen metsäalueilla (tunniste: 16900)</w:t>
      </w:r>
    </w:p>
    <w:p w:rsidR="00B0093E" w:rsidRDefault="00762CA6">
      <w:pPr>
        <w:spacing w:before="120" w:after="120" w:line="240" w:lineRule="auto"/>
        <w:ind w:left="720" w:hanging="720"/>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Kreikan sähkönjakeluverkko-operaattorin (HEDNO) suur- tai keskijännitteisten sähköasemien asennetun kapasiteetin lisäys uusiutuvia energialähteitä koskevan uuden yhteyden osalta (tunnis</w:t>
      </w:r>
      <w:r>
        <w:rPr>
          <w:rFonts w:ascii="Times New Roman" w:hAnsi="Times New Roman"/>
          <w:noProof/>
          <w:sz w:val="24"/>
        </w:rPr>
        <w:t>te: 16899)</w:t>
      </w:r>
    </w:p>
    <w:tbl>
      <w:tblPr>
        <w:tblW w:w="15502" w:type="dxa"/>
        <w:tblInd w:w="113" w:type="dxa"/>
        <w:tblLook w:val="04A0" w:firstRow="1" w:lastRow="0" w:firstColumn="1" w:lastColumn="0" w:noHBand="0" w:noVBand="1"/>
      </w:tblPr>
      <w:tblGrid>
        <w:gridCol w:w="954"/>
        <w:gridCol w:w="1634"/>
        <w:gridCol w:w="1368"/>
        <w:gridCol w:w="1556"/>
        <w:gridCol w:w="2072"/>
        <w:gridCol w:w="1499"/>
        <w:gridCol w:w="829"/>
        <w:gridCol w:w="622"/>
        <w:gridCol w:w="793"/>
        <w:gridCol w:w="628"/>
        <w:gridCol w:w="3547"/>
      </w:tblGrid>
      <w:tr w:rsidR="00B0093E">
        <w:trPr>
          <w:trHeight w:val="927"/>
          <w:tblHeader/>
        </w:trPr>
        <w:tc>
          <w:tcPr>
            <w:tcW w:w="112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74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205"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845"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642"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2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rPr>
        <w:tc>
          <w:tcPr>
            <w:tcW w:w="1120"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4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05"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05"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2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13"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2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2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29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c>
          <w:tcPr>
            <w:tcW w:w="1120"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w:t>
            </w:r>
          </w:p>
        </w:tc>
        <w:tc>
          <w:tcPr>
            <w:tcW w:w="17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1 - 1.1. Energiantuotannon tehostaminen – 16871_Elvytystoimet eniten kärsineillä alueilla (oikeudenmukaisen siirtymän alueet)</w:t>
            </w:r>
          </w:p>
        </w:tc>
        <w:tc>
          <w:tcPr>
            <w:tcW w:w="10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Maaperän kunnostaminen – puitelaki</w:t>
            </w:r>
          </w:p>
        </w:tc>
        <w:tc>
          <w:tcPr>
            <w:tcW w:w="155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Voimaantulo</w:t>
            </w:r>
          </w:p>
        </w:tc>
        <w:tc>
          <w:tcPr>
            <w:tcW w:w="12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Puiteohjelmaa koskevan sopimusoikeud</w:t>
            </w:r>
            <w:r>
              <w:rPr>
                <w:noProof/>
                <w:color w:val="006100"/>
                <w:sz w:val="18"/>
                <w:szCs w:val="18"/>
              </w:rPr>
              <w:t>en hyväksyminen ja voimaantulo, jossa määritellään maantieteellinen alue, joka siirretään valtion voimalaitokselta valtiolle, hanketutkimusten sisältö, vastuunjako kaikkien osapuolten kesken, hallintojärjestelyt, toteutusaikataulu ja talousarvio.</w:t>
            </w:r>
          </w:p>
        </w:tc>
      </w:tr>
      <w:tr w:rsidR="00B0093E">
        <w:tc>
          <w:tcPr>
            <w:tcW w:w="1120"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w:t>
            </w:r>
          </w:p>
        </w:tc>
        <w:tc>
          <w:tcPr>
            <w:tcW w:w="17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w:t>
            </w:r>
            <w:r>
              <w:rPr>
                <w:noProof/>
                <w:color w:val="006100"/>
                <w:sz w:val="18"/>
                <w:szCs w:val="18"/>
              </w:rPr>
              <w:t>1.1. Energiantuotannon tehostaminen – 16871_Elvytystoimet eniten kärsineillä alueilla (oikeudenmukaisen siirtymän alueet)</w:t>
            </w:r>
          </w:p>
        </w:tc>
        <w:tc>
          <w:tcPr>
            <w:tcW w:w="10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Maaperän kunnostaminen – kaupunkisuunnitelmat</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Ympäristöministeriö varmentaa kaikkien erityisten kaupunkisuunnitelmien hyvä</w:t>
            </w:r>
            <w:r>
              <w:rPr>
                <w:noProof/>
                <w:color w:val="006100"/>
                <w:sz w:val="18"/>
                <w:szCs w:val="18"/>
              </w:rPr>
              <w:t>ksymisen;</w:t>
            </w:r>
          </w:p>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12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Kaikkien kuntien on hyväksyttävä erityiset kaupunkisuunnitelmat. Suunnitelmissa on määritettävä sallittu maankäyttö, yleiset rakennusehdot ja -rajoitukset sekä muut vaadittavat toimenpiteet, t</w:t>
            </w:r>
            <w:r>
              <w:rPr>
                <w:noProof/>
                <w:color w:val="006100"/>
                <w:sz w:val="18"/>
                <w:szCs w:val="18"/>
              </w:rPr>
              <w:t>ermit tai rajoitukset.</w:t>
            </w:r>
          </w:p>
          <w:p w:rsidR="00B0093E" w:rsidRDefault="00762CA6">
            <w:pPr>
              <w:spacing w:after="0" w:line="240" w:lineRule="auto"/>
              <w:rPr>
                <w:rFonts w:eastAsia="Times New Roman" w:cs="Calibri"/>
                <w:noProof/>
                <w:color w:val="006100"/>
                <w:sz w:val="18"/>
                <w:szCs w:val="18"/>
              </w:rPr>
            </w:pPr>
            <w:r>
              <w:rPr>
                <w:noProof/>
                <w:color w:val="006100"/>
                <w:sz w:val="18"/>
                <w:szCs w:val="18"/>
              </w:rPr>
              <w:t>Ilmoitus maaperän kunnostamista koskevien sopimusten tekemisestä Länsi-Makedoniassa ja Megalopolisissa.</w:t>
            </w:r>
          </w:p>
        </w:tc>
      </w:tr>
      <w:tr w:rsidR="00B0093E">
        <w:tc>
          <w:tcPr>
            <w:tcW w:w="1120"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w:t>
            </w:r>
          </w:p>
        </w:tc>
        <w:tc>
          <w:tcPr>
            <w:tcW w:w="17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16926_tuki varastointijärjestelmien asentamiselle uusiutuvien energialähteiden </w:t>
            </w:r>
            <w:r>
              <w:rPr>
                <w:noProof/>
                <w:color w:val="006100"/>
                <w:sz w:val="18"/>
                <w:szCs w:val="18"/>
              </w:rPr>
              <w:t>tehokkaamman käytön hyväksi</w:t>
            </w:r>
          </w:p>
        </w:tc>
        <w:tc>
          <w:tcPr>
            <w:tcW w:w="10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Varastointi – sopimukset</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kaikkien hankintasopimusten tekemisestä</w:t>
            </w:r>
          </w:p>
        </w:tc>
        <w:tc>
          <w:tcPr>
            <w:tcW w:w="12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 xml:space="preserve">Ilmoitus valittuja hankkeita koskevien hankintasopimusten tekemisestä (yksittäisellä menettelyllä valitun pitkäkestoisen </w:t>
            </w:r>
            <w:r>
              <w:rPr>
                <w:noProof/>
                <w:color w:val="006100"/>
                <w:sz w:val="18"/>
                <w:szCs w:val="18"/>
              </w:rPr>
              <w:t>Amfilohiaan sijoittuvan, pumppuvoimaan perustuvan vesivoiman varastoinnin lisäksi) kokonaiskapasiteetiltaan 700 MW:n (ja vähintään 500 MW:n) osalta.</w:t>
            </w:r>
          </w:p>
        </w:tc>
      </w:tr>
      <w:tr w:rsidR="00B0093E">
        <w:tc>
          <w:tcPr>
            <w:tcW w:w="1120"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w:t>
            </w:r>
          </w:p>
        </w:tc>
        <w:tc>
          <w:tcPr>
            <w:tcW w:w="17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16901_HEDNOn verkon parannukset, joilla pyritään parantamaan </w:t>
            </w:r>
            <w:r>
              <w:rPr>
                <w:noProof/>
                <w:color w:val="006100"/>
                <w:sz w:val="18"/>
                <w:szCs w:val="18"/>
              </w:rPr>
              <w:t>sietokykyä ja ympäristönsuojelua</w:t>
            </w:r>
          </w:p>
        </w:tc>
        <w:tc>
          <w:tcPr>
            <w:tcW w:w="10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HEDNO – sopimukset 1</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kaikkien hankintasopimusten tekemisestä</w:t>
            </w:r>
          </w:p>
        </w:tc>
        <w:tc>
          <w:tcPr>
            <w:tcW w:w="12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kaikkien sellaisten sopimusten tekemisestä, jotka liittyvät HEDNO-hankkeisiin, jotka koskevat selviytymiskyvyn </w:t>
            </w:r>
            <w:r>
              <w:rPr>
                <w:noProof/>
                <w:color w:val="006100"/>
                <w:sz w:val="18"/>
                <w:szCs w:val="18"/>
              </w:rPr>
              <w:t>parantamista ja ympäristöä, uusiutuvien energialähteiden tehokkaamman käytön hyväksi ja verkon luotettavuuden ja sietokyvyn parantamiseksi ympäristöä suojellen.</w:t>
            </w:r>
          </w:p>
        </w:tc>
      </w:tr>
      <w:tr w:rsidR="00B0093E">
        <w:tc>
          <w:tcPr>
            <w:tcW w:w="1120"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w:t>
            </w:r>
          </w:p>
        </w:tc>
        <w:tc>
          <w:tcPr>
            <w:tcW w:w="17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16900_HEDNO-ilmajohtoverkon kunnostaminen </w:t>
            </w:r>
            <w:r>
              <w:rPr>
                <w:noProof/>
                <w:color w:val="006100"/>
                <w:sz w:val="18"/>
                <w:szCs w:val="18"/>
              </w:rPr>
              <w:t>metsäalueilla</w:t>
            </w:r>
          </w:p>
        </w:tc>
        <w:tc>
          <w:tcPr>
            <w:tcW w:w="10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HEDNO – sopimukset 2</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kaikkien hankintasopimusten tekemisestä</w:t>
            </w:r>
          </w:p>
        </w:tc>
        <w:tc>
          <w:tcPr>
            <w:tcW w:w="12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kaikkien ilmajohtoverkkoja koskeviin HEDNO-hankkeisiin liittyvien sopimusten tekemisestä metsäalueilla, jotta mahdollistetaan uusiutuvan </w:t>
            </w:r>
            <w:r>
              <w:rPr>
                <w:noProof/>
                <w:color w:val="006100"/>
                <w:sz w:val="18"/>
                <w:szCs w:val="18"/>
              </w:rPr>
              <w:t>energian tehokkaampi käyttö ja parannetaan verkon luotettavuutta ja sietokykyä ympäristöä suojellen.</w:t>
            </w:r>
          </w:p>
        </w:tc>
      </w:tr>
      <w:tr w:rsidR="00B0093E">
        <w:tc>
          <w:tcPr>
            <w:tcW w:w="1120"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w:t>
            </w:r>
          </w:p>
        </w:tc>
        <w:tc>
          <w:tcPr>
            <w:tcW w:w="17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16899_HEDNOn suur- tai keskijännitteisten sähköasemien asennetun kapasiteetin lisäys uutta uusiutuvien </w:t>
            </w:r>
            <w:r>
              <w:rPr>
                <w:noProof/>
                <w:color w:val="006100"/>
                <w:sz w:val="18"/>
                <w:szCs w:val="18"/>
              </w:rPr>
              <w:t>energialähteiden yhteyttä varten</w:t>
            </w:r>
          </w:p>
        </w:tc>
        <w:tc>
          <w:tcPr>
            <w:tcW w:w="10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HEDNO – sopimukset 3</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kaikkien hankintasopimusten tekemisestä</w:t>
            </w:r>
          </w:p>
        </w:tc>
        <w:tc>
          <w:tcPr>
            <w:tcW w:w="12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kaikista HEDNO-hankkeisiin liittyvistä sopimuksista, jotka koskevat suur- tai keskijännitteisten sähköasemien </w:t>
            </w:r>
            <w:r>
              <w:rPr>
                <w:noProof/>
                <w:color w:val="006100"/>
                <w:sz w:val="18"/>
                <w:szCs w:val="18"/>
              </w:rPr>
              <w:t>kapasiteetin lisäämistä uusiutuvan energian tehokkaamman käytön hyväksi ja verkon luotettavuuden ja sietokyvyn parantamiseksi ympäristöä suojellen.</w:t>
            </w:r>
          </w:p>
          <w:p w:rsidR="00B0093E" w:rsidRDefault="00B0093E">
            <w:pPr>
              <w:spacing w:after="0" w:line="240" w:lineRule="auto"/>
              <w:rPr>
                <w:rFonts w:eastAsia="Times New Roman" w:cs="Calibri"/>
                <w:noProof/>
                <w:color w:val="006100"/>
                <w:sz w:val="18"/>
                <w:szCs w:val="18"/>
                <w:lang w:eastAsia="en-GB"/>
              </w:rPr>
            </w:pPr>
          </w:p>
        </w:tc>
      </w:tr>
      <w:tr w:rsidR="00B0093E">
        <w:tc>
          <w:tcPr>
            <w:tcW w:w="1120"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w:t>
            </w:r>
          </w:p>
        </w:tc>
        <w:tc>
          <w:tcPr>
            <w:tcW w:w="17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16871_Elvytystoimet eniten kärsineillä alueilla </w:t>
            </w:r>
            <w:r>
              <w:rPr>
                <w:noProof/>
                <w:color w:val="006100"/>
                <w:sz w:val="18"/>
                <w:szCs w:val="18"/>
              </w:rPr>
              <w:t>(oikeudenmukaisen siirtymän alueet)</w:t>
            </w:r>
          </w:p>
        </w:tc>
        <w:tc>
          <w:tcPr>
            <w:tcW w:w="10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tc>
        <w:tc>
          <w:tcPr>
            <w:tcW w:w="12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Maaperän kunnostaminen – valmistuminen</w:t>
            </w:r>
          </w:p>
        </w:tc>
        <w:tc>
          <w:tcPr>
            <w:tcW w:w="1553"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jc w:val="both"/>
              <w:rPr>
                <w:rFonts w:eastAsia="Times New Roman" w:cs="Calibri"/>
                <w:noProof/>
                <w:color w:val="006100"/>
                <w:sz w:val="18"/>
                <w:szCs w:val="18"/>
                <w:lang w:eastAsia="en-GB"/>
              </w:rPr>
            </w:pPr>
          </w:p>
        </w:tc>
        <w:tc>
          <w:tcPr>
            <w:tcW w:w="12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Maaperän kunnostaminen (ha) saatettu päätökseen ja on ympäristöministeriön sertifioima</w:t>
            </w:r>
          </w:p>
        </w:tc>
        <w:tc>
          <w:tcPr>
            <w:tcW w:w="9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15 000</w:t>
            </w:r>
          </w:p>
        </w:tc>
        <w:tc>
          <w:tcPr>
            <w:tcW w:w="9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Maanparannushankkeiden loppuun saattaminen (15 000 ha) </w:t>
            </w:r>
            <w:r>
              <w:rPr>
                <w:noProof/>
                <w:color w:val="006100"/>
                <w:sz w:val="18"/>
                <w:szCs w:val="18"/>
              </w:rPr>
              <w:t>Länsi-Makedoniassa ja Megalopolisissa</w:t>
            </w:r>
          </w:p>
          <w:p w:rsidR="00B0093E" w:rsidRDefault="00B0093E">
            <w:pPr>
              <w:spacing w:after="0" w:line="240" w:lineRule="auto"/>
              <w:rPr>
                <w:rFonts w:eastAsia="Times New Roman" w:cs="Calibri"/>
                <w:noProof/>
                <w:color w:val="006100"/>
                <w:sz w:val="18"/>
                <w:szCs w:val="18"/>
                <w:lang w:eastAsia="en-GB"/>
              </w:rPr>
            </w:pPr>
          </w:p>
        </w:tc>
      </w:tr>
      <w:tr w:rsidR="00B0093E">
        <w:tc>
          <w:tcPr>
            <w:tcW w:w="1120"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w:t>
            </w:r>
          </w:p>
        </w:tc>
        <w:tc>
          <w:tcPr>
            <w:tcW w:w="174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1 - 1.1. Energiantuotannon tehostaminen – 16926_tuki varastointijärjestelmien asentamiselle uusiutuvien energialähteiden tehokkaamman käytön hyväksi</w:t>
            </w:r>
          </w:p>
        </w:tc>
        <w:tc>
          <w:tcPr>
            <w:tcW w:w="10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Energian varastointi – loppuun saattaminen</w:t>
            </w:r>
          </w:p>
        </w:tc>
        <w:tc>
          <w:tcPr>
            <w:tcW w:w="155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Riippumaton siirtoverkonhaltija sertifioi enintään 1380 MW:n energianvarastointihankkeiden käyttöönoton</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Kaikkien riippumattoman siirtoverkonhaltijan sertifioimien, enintään 1380 MW:n energianvarastointihankkeiden käyttöönotto (mukaan lukien Amfi</w:t>
            </w:r>
            <w:r>
              <w:rPr>
                <w:noProof/>
                <w:color w:val="006100"/>
                <w:sz w:val="18"/>
                <w:szCs w:val="18"/>
              </w:rPr>
              <w:t xml:space="preserve">lohia). </w:t>
            </w:r>
          </w:p>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tc>
      </w:tr>
      <w:tr w:rsidR="00B0093E">
        <w:tc>
          <w:tcPr>
            <w:tcW w:w="1120"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w:t>
            </w:r>
          </w:p>
        </w:tc>
        <w:tc>
          <w:tcPr>
            <w:tcW w:w="174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1 - 1.1. Energiantuotannon tehostaminen – 16901_HEDNO-verkon parannukset, joilla pyritään parantamaan sietokykyä ja ympäristönsuojelua</w:t>
            </w:r>
          </w:p>
        </w:tc>
        <w:tc>
          <w:tcPr>
            <w:tcW w:w="10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HEDNO – loppuun saattaminen 1</w:t>
            </w:r>
          </w:p>
        </w:tc>
        <w:tc>
          <w:tcPr>
            <w:tcW w:w="155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HEDNO toimittaa todisteet siitä, että hanke on saatettu </w:t>
            </w:r>
            <w:r>
              <w:rPr>
                <w:noProof/>
                <w:color w:val="006100"/>
                <w:sz w:val="18"/>
                <w:szCs w:val="18"/>
              </w:rPr>
              <w:t>päätökseen kaikkien sellaisten toimien osalta, jotka liittyvät sietokyvyn ja ympäristön parantamiseen sekä käyttöönottotodistuksiin</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Sietokykyä ja ympäristöä koskeviin verkon parannuksiin liittyvät toimet on saatettu päätökseen ja ovat käytössä. </w:t>
            </w:r>
          </w:p>
        </w:tc>
      </w:tr>
      <w:tr w:rsidR="00B0093E">
        <w:tc>
          <w:tcPr>
            <w:tcW w:w="1120"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18</w:t>
            </w:r>
          </w:p>
        </w:tc>
        <w:tc>
          <w:tcPr>
            <w:tcW w:w="174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1 - 1.1. Energiantuotannon tehostaminen – 16900_HEDNO-ilmajohtoverkon kunnostaminen metsäalueilla</w:t>
            </w:r>
          </w:p>
        </w:tc>
        <w:tc>
          <w:tcPr>
            <w:tcW w:w="10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HEDNO -täydennys 2</w:t>
            </w:r>
          </w:p>
        </w:tc>
        <w:tc>
          <w:tcPr>
            <w:tcW w:w="155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HEDNOn on määrä toimittaa todisteet siitä, että hanke on saatettu päätökseen kaikkien sellaisten toimien osalta, jotka </w:t>
            </w:r>
            <w:r>
              <w:rPr>
                <w:noProof/>
                <w:color w:val="006100"/>
                <w:sz w:val="18"/>
                <w:szCs w:val="18"/>
              </w:rPr>
              <w:t>liittyvät metsäalueiden ilmajohtoverkon parannuksiin sekä käyttöönottotodistuksiin</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Metsäalueiden ilmajohtoverkon parannuksiin liittyvät toimet on saatettu päätökseen ja ovat käytössä.</w:t>
            </w:r>
          </w:p>
        </w:tc>
      </w:tr>
      <w:tr w:rsidR="00B0093E">
        <w:tc>
          <w:tcPr>
            <w:tcW w:w="1120"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w:t>
            </w:r>
          </w:p>
        </w:tc>
        <w:tc>
          <w:tcPr>
            <w:tcW w:w="174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1 - 1.1. Energiantuotannon tehostaminen – 16899_HEDNOn </w:t>
            </w:r>
            <w:r>
              <w:rPr>
                <w:noProof/>
                <w:color w:val="006100"/>
                <w:sz w:val="18"/>
                <w:szCs w:val="18"/>
              </w:rPr>
              <w:t>suur- tai keskijännitteisten sähköasemien asennetun kapasiteetin lisäys uutta uusiutuvien energialähteiden yhteyttä varten</w:t>
            </w:r>
          </w:p>
        </w:tc>
        <w:tc>
          <w:tcPr>
            <w:tcW w:w="10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HEDNO – loppuun saattaminen 3</w:t>
            </w:r>
          </w:p>
        </w:tc>
        <w:tc>
          <w:tcPr>
            <w:tcW w:w="155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HEDNO toimittaa näyttöä siitä, että hanke on saatettu päätökseen kaikkien sellaisten toimie</w:t>
            </w:r>
            <w:r>
              <w:rPr>
                <w:noProof/>
                <w:color w:val="006100"/>
                <w:sz w:val="18"/>
                <w:szCs w:val="18"/>
              </w:rPr>
              <w:t>n osalta, jotka liittyvät suur- tai keskijännitteisten sähköasemien kapasiteetin lisäämiseen ja käyttöönottotodistuksiin</w:t>
            </w:r>
          </w:p>
        </w:tc>
        <w:tc>
          <w:tcPr>
            <w:tcW w:w="120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Suur- tai keskijännitteisten sähköasemien kapasiteetin lisäämiseen liittyvät toimet on saatettu päätökseen ja ovat käytössä.</w:t>
            </w:r>
          </w:p>
        </w:tc>
      </w:tr>
    </w:tbl>
    <w:p w:rsidR="00B0093E" w:rsidRDefault="00B0093E">
      <w:pPr>
        <w:spacing w:before="120" w:after="120" w:line="240" w:lineRule="auto"/>
        <w:rPr>
          <w:rFonts w:ascii="Times New Roman" w:hAnsi="Times New Roman" w:cs="Times New Roman"/>
          <w:noProof/>
          <w:sz w:val="24"/>
        </w:rPr>
        <w:sectPr w:rsidR="00B0093E">
          <w:headerReference w:type="even" r:id="rId24"/>
          <w:headerReference w:type="default" r:id="rId25"/>
          <w:footerReference w:type="even" r:id="rId26"/>
          <w:footerReference w:type="default" r:id="rId27"/>
          <w:headerReference w:type="first" r:id="rId28"/>
          <w:footerReference w:type="first" r:id="rId29"/>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B. KOMPONENTTI 1.2: UUDISTAMINEN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Vihreään pilariin kuuluvan Kreikan elpymis- ja palautumissuunnitelman kunnostuskomponentilla on lisättävä energiatehokkuutta, edistettävä talouskasvua, luotava </w:t>
      </w:r>
      <w:r>
        <w:rPr>
          <w:rFonts w:ascii="Times New Roman" w:hAnsi="Times New Roman"/>
          <w:noProof/>
          <w:sz w:val="24"/>
        </w:rPr>
        <w:t>työllistymismahdollisuuksia ja edistettävä sosiaalista palautumiskykyä. Siihen kuuluvat kohdennetut uudistukset ja investoinnit hiilidioksidipäästöjen vähentämiseksi, tuki kaupunkialueiden ilmastoneutraaliuden saavuttamiseen sekä kaupunkien ja niiden raken</w:t>
      </w:r>
      <w:r>
        <w:rPr>
          <w:rFonts w:ascii="Times New Roman" w:hAnsi="Times New Roman"/>
          <w:noProof/>
          <w:sz w:val="24"/>
        </w:rPr>
        <w:t>nuskannan ilmastokestävyyden parantaminen. Komponentti tarjoaa rakennusten peruskorjauksia ja energiaparannuksia koskevia kannustimia, joilla on keskeinen merkitys kaupunkialueiden elvyttämisessä ja energiaköyhyyden lieventämisessä ja joilla edistetään Kre</w:t>
      </w:r>
      <w:r>
        <w:rPr>
          <w:rFonts w:ascii="Times New Roman" w:hAnsi="Times New Roman"/>
          <w:noProof/>
          <w:sz w:val="24"/>
        </w:rPr>
        <w:t>ikan kansallisessa energia- ja ilmastosuunnitelmassa asetettujen tavoitteiden saavuttamista. Komponentilla tuetaan vuonna 2020 annettua maakohtaista suositusta 3 ja vuonna 2019 annettua maakohtaista suositusta nro 2 julkisista ja yksityisistä investoinneis</w:t>
      </w:r>
      <w:r>
        <w:rPr>
          <w:rFonts w:ascii="Times New Roman" w:hAnsi="Times New Roman"/>
          <w:noProof/>
          <w:sz w:val="24"/>
        </w:rPr>
        <w:t>ta. Minkään tähän osa-alueeseen kuuluvan toimenpiteen ei odoteta aiheuttavan merkittävää haittaa asetuksen (EU) 2020/852 17 artiklassa tarkoitetuille ympäristötavoitteille, kun otetaan huomioon elpymis- ja palautumissuunnitelmassa esitettyjen toimenpiteide</w:t>
      </w:r>
      <w:r>
        <w:rPr>
          <w:rFonts w:ascii="Times New Roman" w:hAnsi="Times New Roman"/>
          <w:noProof/>
          <w:sz w:val="24"/>
        </w:rPr>
        <w:t>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B.1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Energiaköyhyyttä koskeva toimintasuunnitelma (toimenpiteen tunniste: 16920)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Uudistuksessa hyväksytään toimintasuunnitelma energiaköyhyyden haasteeseen vastaamiseksi. Vuonna 2019 noin 18 prosenttia koko väestöstä ei pystynyt lämmittämään asuntojaan, kun ta</w:t>
      </w:r>
      <w:r>
        <w:rPr>
          <w:rFonts w:ascii="Times New Roman" w:hAnsi="Times New Roman"/>
          <w:noProof/>
          <w:sz w:val="24"/>
        </w:rPr>
        <w:t>loudellisesti heikossa asemassa olevan väestön osajoukossa vastaava luku oli noin 34 prosenttia (Eurostat, EU-SILC-tutkimus). Strategiassa on hahmoteltava kohdennettuja politiikkatoimia asuinrakennusten energiatehokkuuden parantamiseksi taloudellisesti hei</w:t>
      </w:r>
      <w:r>
        <w:rPr>
          <w:rFonts w:ascii="Times New Roman" w:hAnsi="Times New Roman"/>
          <w:noProof/>
          <w:sz w:val="24"/>
        </w:rPr>
        <w:t>kossa asemassa olevien kotitalouksien keskuudessa. Uudistus on määrä toteuttaa viimeistään 30 päivänä syyskuuta 2021.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Asuinrakennusten energiaperuskorjaus (toimenpiteen tunniste: 16872)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on parannettava asuinrakennusten energiat</w:t>
      </w:r>
      <w:r>
        <w:rPr>
          <w:rFonts w:ascii="Times New Roman" w:hAnsi="Times New Roman"/>
          <w:noProof/>
          <w:sz w:val="24"/>
        </w:rPr>
        <w:t>ehokkuutta. Siihen kuuluvat peruskorjaukset, joilla on saatava aikaan merkittäviä primäärienergian säästöjä ja edistettävä siten asiaankuuluvien kansallisten energia- ja ilmastosuunnitelmien tavoitteiden saavuttamista. Sillä parannetaan energian loppukulut</w:t>
      </w:r>
      <w:r>
        <w:rPr>
          <w:rFonts w:ascii="Times New Roman" w:hAnsi="Times New Roman"/>
          <w:noProof/>
          <w:sz w:val="24"/>
        </w:rPr>
        <w:t>uksen digitalisointia energianhallintajärjestelmien avulla ja edistetään sähköisen liikkuvuuden infrastruktuurin, kuten sähköajoneuvojen latausasemien, käyttöönottoa. Siitä myönnetään myös korvamerkittyjä varoja, jotka kohdennetaan energiaköyhiin asuntoihi</w:t>
      </w:r>
      <w:r>
        <w:rPr>
          <w:rFonts w:ascii="Times New Roman" w:hAnsi="Times New Roman"/>
          <w:noProof/>
          <w:sz w:val="24"/>
        </w:rPr>
        <w:t>n, ja luodaan näin yhteys uudistukseen, jolla pyritään laatimaan energiaköyhyyttä koskeva toimintasuunnitelma. Minkään tähän osa-alueeseen kuuluvan toimenpiteen ei odoteta aiheuttavan merkittävää haittaa asetuksen (EU) 2020/852 17 artiklassa tarkoitetuille</w:t>
      </w:r>
      <w:r>
        <w:rPr>
          <w:rFonts w:ascii="Times New Roman" w:hAnsi="Times New Roman"/>
          <w:noProof/>
          <w:sz w:val="24"/>
        </w:rPr>
        <w:t xml:space="preserve"> ympäristötavoitteille, kun otetaan huomioon elpymis- ja palautumissuunnitelmassa esitettyjen toimenpiteen kuvaus ja lieventävät toimet ”ei merkittävää haittaa -periaatteen” teknisten ohjeiden (2021/C58/01) mukaisesti. Toimenpiteessä edellytetään erityises</w:t>
      </w:r>
      <w:r>
        <w:rPr>
          <w:rFonts w:ascii="Times New Roman" w:hAnsi="Times New Roman"/>
          <w:noProof/>
          <w:sz w:val="24"/>
        </w:rPr>
        <w:t>ti, että rakennustyöt suorittavien talouden toimijoiden on varmistettava, että vähintään 70 prosenttia (painoprosentteina) rakennustyömaalla tuotetusta vaarattomasta rakennus- ja purkujätteestä (lukuun ottamatta luokkaan 17 05 04 kuuluvaa luonnosta peräisi</w:t>
      </w:r>
      <w:r>
        <w:rPr>
          <w:rFonts w:ascii="Times New Roman" w:hAnsi="Times New Roman"/>
          <w:noProof/>
          <w:sz w:val="24"/>
        </w:rPr>
        <w:t>n olevaa ainesta, joka sisältyy Euroopan jäteluetteloon, joka on perustettu 3 päivänä toukokuuta 2000 tehdyllä päätöksellä 2000/532/EY jätteistä annetun neuvoston direktiivin 75/442/ETY 1 artiklan a alakohdan mukaisen jäteluettelon laatimisesta tehdyn komi</w:t>
      </w:r>
      <w:r>
        <w:rPr>
          <w:rFonts w:ascii="Times New Roman" w:hAnsi="Times New Roman"/>
          <w:noProof/>
          <w:sz w:val="24"/>
        </w:rPr>
        <w:t>ssion päätöksen 94/3/EY ja vaarallisista jätteistä annetun neuvoston direktiivin 91/689/ETY 1 artiklan 4 kohdan mukaisen vaarallisten jätteiden luettelon laatimisesta tehdyn neuvoston päätöksen 94/904/EY korvaamisesta (tiedoksiannettu numerolla K(2000) 114</w:t>
      </w:r>
      <w:r>
        <w:rPr>
          <w:rFonts w:ascii="Times New Roman" w:hAnsi="Times New Roman"/>
          <w:noProof/>
          <w:sz w:val="24"/>
        </w:rPr>
        <w:t>7)) valmistellaan uudelleenkäyttöön, kierrätykseen ja muuhun materiaalien hyödyntämiseen, mukaan lukien maantäyttötoimet, joissa käytetään jätettä korvaamaan muita materiaaleja, jätehierarkian ja EU:n rakennus- ja purkujätteen käsittely- ja kierrätysmallin</w:t>
      </w:r>
      <w:r>
        <w:rPr>
          <w:rFonts w:ascii="Times New Roman" w:hAnsi="Times New Roman"/>
          <w:noProof/>
          <w:sz w:val="24"/>
        </w:rPr>
        <w:t xml:space="preserve"> mukaisesti.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Asuinalueilla ja rakennuskannassa toteutettavat toimet (toimenpiteen tunniste: 16873)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 koostuu seuraavista: 1) ilmastonmuutokseen sopeutumiseen ja </w:t>
      </w:r>
      <w:r>
        <w:rPr>
          <w:rFonts w:ascii="Times New Roman" w:hAnsi="Times New Roman"/>
          <w:noProof/>
          <w:sz w:val="24"/>
        </w:rPr>
        <w:t>ilmastonmuutoksen hillitsemiseen liittyvät toimet 16 kaupunki- ja rannikkoalueella, kuten merkittävien kaupunkimaamerkkien suojelu ja kaupunkien ilmastoneutraaliuden edistäminen; 2) Ateenan sydämessä sijaitsevan Votanikosin/Elaionasin entisen teollisuusalu</w:t>
      </w:r>
      <w:r>
        <w:rPr>
          <w:rFonts w:ascii="Times New Roman" w:hAnsi="Times New Roman"/>
          <w:noProof/>
          <w:sz w:val="24"/>
        </w:rPr>
        <w:t>een elvyttäminen; 3) merenkuolin parantaminen siten, että se on pyöräilijöiden ja jalankulkijoiden saatavilla Ateenan rannikolla (Ateena Riviera); ja 4) muut strategiset toimet, jotka on valittu avoimella ehdotuspyynnöllä kunnille ja jotka edistävät ilmast</w:t>
      </w:r>
      <w:r>
        <w:rPr>
          <w:rFonts w:ascii="Times New Roman" w:hAnsi="Times New Roman"/>
          <w:noProof/>
          <w:sz w:val="24"/>
        </w:rPr>
        <w:t>onmuutokseen sopeutumista, primaarienergian säästöjä ja kasvihuonekaasupäästöjen vähentämistä. Minkään tähän osa-alueeseen kuuluvan toimenpiteen ei odoteta aiheuttavan merkittävää haittaa asetuksen (EU) 2020/852 17 artiklassa tarkoitetuille ympäristötavoit</w:t>
      </w:r>
      <w:r>
        <w:rPr>
          <w:rFonts w:ascii="Times New Roman" w:hAnsi="Times New Roman"/>
          <w:noProof/>
          <w:sz w:val="24"/>
        </w:rPr>
        <w:t>teille, kun otetaan huomioon elpymis- ja palautumissuunnitelmassa esitettyjen toimenpiteen kuvaus ja lieventävät toimet ”ei merkittävää haittaa -periaatteen” teknisten ohjeiden (2021/C58/01) mukaisesti. Toimenpiteessä edellytetään erityisesti, että rakennu</w:t>
      </w:r>
      <w:r>
        <w:rPr>
          <w:rFonts w:ascii="Times New Roman" w:hAnsi="Times New Roman"/>
          <w:noProof/>
          <w:sz w:val="24"/>
        </w:rPr>
        <w:t>styöt suorittavien talouden toimijoiden on varmistettava, että vähintään 70 prosenttia (painoprosentteina) rakennustyömaalla tuotetusta vaarattomasta rakennus- ja purkujätteestä (lukuun ottamatta luokkaan 17 05 04 kuuluvaa luonnosta peräisin olevaa ainesta</w:t>
      </w:r>
      <w:r>
        <w:rPr>
          <w:rFonts w:ascii="Times New Roman" w:hAnsi="Times New Roman"/>
          <w:noProof/>
          <w:sz w:val="24"/>
        </w:rPr>
        <w:t xml:space="preserve">, joka sisältyy Euroopan jäteluetteloon, joka on perustettu 3 päivänä toukokuuta 2000 tehdyllä päätöksellä 2000/532/EY jätteistä annetun neuvoston direktiivin 75/442/ETY 1 artiklan a alakohdan mukaisen jäteluettelon laatimisesta tehdyn komission päätöksen </w:t>
      </w:r>
      <w:r>
        <w:rPr>
          <w:rFonts w:ascii="Times New Roman" w:hAnsi="Times New Roman"/>
          <w:noProof/>
          <w:sz w:val="24"/>
        </w:rPr>
        <w:t>94/3/EY ja vaarallisista jätteistä annetun neuvoston direktiivin 91/689/ETY 1 artiklan 4 kohdan mukaisen vaarallisten jätteiden luettelon laatimisesta tehdyn neuvoston päätöksen 94/904/EY korvaamisesta (tiedoksiannettu numerolla K(2000) 1147)) valmistellaa</w:t>
      </w:r>
      <w:r>
        <w:rPr>
          <w:rFonts w:ascii="Times New Roman" w:hAnsi="Times New Roman"/>
          <w:noProof/>
          <w:sz w:val="24"/>
        </w:rPr>
        <w:t>n uudelleenkäyttöön, kierrätykseen ja muuhun materiaalien hyödyntämiseen, mukaan lukien maantäyttötoimet, joissa käytetään jätettä korvaamaan muita materiaaleja, jätehierarkian ja EU:n rakennus- ja purkujätteen käsittely- ja kierrätysmallin mukaisesti. Inv</w:t>
      </w:r>
      <w:r>
        <w:rPr>
          <w:rFonts w:ascii="Times New Roman" w:hAnsi="Times New Roman"/>
          <w:noProof/>
          <w:sz w:val="24"/>
        </w:rPr>
        <w:t>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Energia ja yrittäjyys (toimenpiteen tunniste: 16874)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Investoinnilla annetaan taloudellista tukea yksityisille yrityksille niiden rakennusten ja prosessien energiatehokkuutta </w:t>
      </w:r>
      <w:r>
        <w:rPr>
          <w:rFonts w:ascii="Times New Roman" w:hAnsi="Times New Roman"/>
          <w:noProof/>
          <w:sz w:val="24"/>
        </w:rPr>
        <w:t>parantaviin peruskorjauksiin. Siihen kuuluu kaksi alaohjelmaa: a) energiatehokkuusparannukset palvelu- ja sekundaarialalla keskisuurille, suurille ja erittäin suurille yrityksille ja b) energiatehokkaiden laitteiden asentaminen hyvin pieniin yrityksiin. Tä</w:t>
      </w:r>
      <w:r>
        <w:rPr>
          <w:rFonts w:ascii="Times New Roman" w:hAnsi="Times New Roman"/>
          <w:noProof/>
          <w:sz w:val="24"/>
        </w:rPr>
        <w:t>llä toimenpiteellä lisätään rakennusten ja prosessien energiatehokkuutta kansallisessa energia- ja ilmastosuunnitelmassa asetettujen tavoitteiden mukaisesti ja vähennetään kasvihuonekaasupäästöjä, koska siinä asennetaan energiatehokkaita laitteita ja järje</w:t>
      </w:r>
      <w:r>
        <w:rPr>
          <w:rFonts w:ascii="Times New Roman" w:hAnsi="Times New Roman"/>
          <w:noProof/>
          <w:sz w:val="24"/>
        </w:rPr>
        <w:t xml:space="preserve">stelmiä energian säästämiseksi tuotteiden tuotantoon, varastointiin, jakeluun ja yritysten toimintaan.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Sen varmistamiseksi, että toimenpide on ”ei merkittävää haittaa” -periaatteen teknisten ohjeiden (2021/C58/01) mukainen, hanke-ehdotuspyyntöjä koskeviin</w:t>
      </w:r>
      <w:r>
        <w:rPr>
          <w:rFonts w:ascii="Times New Roman" w:hAnsi="Times New Roman"/>
          <w:noProof/>
          <w:sz w:val="24"/>
        </w:rPr>
        <w:t xml:space="preserve"> 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i) fossiilisiin polttoaineisiin liittyvät toimet, mukaan lukien tuotantoketjun loppupään käyttö</w:t>
      </w:r>
      <w:r>
        <w:rPr>
          <w:rFonts w:ascii="Times New Roman" w:hAnsi="Times New Roman" w:cs="Times New Roman"/>
          <w:noProof/>
          <w:sz w:val="24"/>
          <w:vertAlign w:val="superscript"/>
        </w:rPr>
        <w:footnoteReference w:id="2"/>
      </w:r>
      <w:r>
        <w:rPr>
          <w:rFonts w:ascii="Times New Roman" w:hAnsi="Times New Roman"/>
          <w:noProof/>
          <w:sz w:val="24"/>
        </w:rPr>
        <w:t>; EU:n päästökauppajärjestelmän mukaiset toimet, joilla saavutetaan ennustetut kasv</w:t>
      </w:r>
      <w:r>
        <w:rPr>
          <w:rFonts w:ascii="Times New Roman" w:hAnsi="Times New Roman"/>
          <w:noProof/>
          <w:sz w:val="24"/>
        </w:rPr>
        <w:t>ihuonekaasupäästöt, jotka eivät alita asiaankuuluvia vertailuarvoja</w:t>
      </w:r>
      <w:r>
        <w:rPr>
          <w:rFonts w:ascii="Times New Roman" w:hAnsi="Times New Roman" w:cs="Times New Roman"/>
          <w:noProof/>
          <w:sz w:val="24"/>
          <w:vertAlign w:val="superscript"/>
        </w:rPr>
        <w:footnoteReference w:id="3"/>
      </w:r>
      <w:r>
        <w:rPr>
          <w:rFonts w:ascii="Times New Roman" w:hAnsi="Times New Roman"/>
          <w:noProof/>
          <w:sz w:val="24"/>
        </w:rPr>
        <w:t>; iii) jätteiden kaatopaikkoja, polttolaitoksia</w:t>
      </w:r>
      <w:r>
        <w:rPr>
          <w:rFonts w:ascii="Times New Roman" w:hAnsi="Times New Roman" w:cs="Times New Roman"/>
          <w:noProof/>
          <w:sz w:val="24"/>
          <w:vertAlign w:val="superscript"/>
        </w:rPr>
        <w:footnoteReference w:id="4"/>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5"/>
      </w:r>
      <w:r>
        <w:rPr>
          <w:rFonts w:ascii="Times New Roman" w:hAnsi="Times New Roman"/>
          <w:noProof/>
          <w:sz w:val="24"/>
        </w:rPr>
        <w:t xml:space="preserve"> koskevat toimet; ja iv) toiminnot, joissa jätteiden pitkän aikavälin loppukäsittely voi aiheut</w:t>
      </w:r>
      <w:r>
        <w:rPr>
          <w:rFonts w:ascii="Times New Roman" w:hAnsi="Times New Roman"/>
          <w:noProof/>
          <w:sz w:val="24"/>
        </w:rPr>
        <w:t xml:space="preserve">taa haittaa ympäristölle. Tehtävänkuvauksessa on lisäksi edellytettävä, että voidaan valita ainoastaan toimia, jotka ovat asiaa koskevan EU:n ja kansallisen ympäristölainsäädännön mukaisia. Investoinnin on myös oltava ”ei merkittävää haittaa” -periaatteen </w:t>
      </w:r>
      <w:r>
        <w:rPr>
          <w:rFonts w:ascii="Times New Roman" w:hAnsi="Times New Roman"/>
          <w:noProof/>
          <w:sz w:val="24"/>
        </w:rPr>
        <w:t>teknisten ohjeiden mukainen rakennusjätteen kierrätystä koskevien kiertotalouden periaatteiden osalta ja noudattaa energiatehokkuudesta annettua direktiiviä (2010/31/EU).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w:t>
      </w:r>
      <w:r>
        <w:rPr>
          <w:rFonts w:ascii="Times New Roman" w:hAnsi="Times New Roman"/>
          <w:noProof/>
          <w:sz w:val="24"/>
        </w:rPr>
        <w:t>Julkisen sektorin rakennusten energiatehokkuuden parantaminen (toimenpiteen tunniste: 16876)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julkisen sektorin rakennusten kunnostamisen niiden energiatehokkuuden parantamiseksi ottamalla mukaan energiaa säästäviä yrityksiä (ESCO). Inv</w:t>
      </w:r>
      <w:r>
        <w:rPr>
          <w:rFonts w:ascii="Times New Roman" w:hAnsi="Times New Roman"/>
          <w:noProof/>
          <w:sz w:val="24"/>
        </w:rPr>
        <w:t>estointi sisältää myös katuvalaistusinfrastruktuurin energiaparannukset. Investoinnilla edistetään kansallisessa energia- ja ilmastosuunnitelmassa asetettujen energiatehokkuustavoitteiden saavuttamista ja kasvihuonekaasupäästöjen vähentämistä. Minkään tähä</w:t>
      </w:r>
      <w:r>
        <w:rPr>
          <w:rFonts w:ascii="Times New Roman" w:hAnsi="Times New Roman"/>
          <w:noProof/>
          <w:sz w:val="24"/>
        </w:rPr>
        <w:t>n osa-alueeseen kuuluvan toimenpiteen ei odoteta aiheuttavan merkittävää haittaa asetuksen (EU) 2020/852 17 artiklassa tarkoitetuille ympäristötavoitteille, kun otetaan huomioon elpymis- ja palautumissuunnitelmassa esitettyjen toimenpiteen kuvaus ja lieven</w:t>
      </w:r>
      <w:r>
        <w:rPr>
          <w:rFonts w:ascii="Times New Roman" w:hAnsi="Times New Roman"/>
          <w:noProof/>
          <w:sz w:val="24"/>
        </w:rPr>
        <w:t xml:space="preserve">tävät toimet ”ei merkittävää haittaa -periaatteen” teknisten ohjeiden (2021/C58/01) mukaisesti. Toimenpiteessä edellytetään erityisesti, että rakennustyöt suorittavien talouden toimijoiden on varmistettava, että vähintään 70 prosenttia (painoprosentteina) </w:t>
      </w:r>
      <w:r>
        <w:rPr>
          <w:rFonts w:ascii="Times New Roman" w:hAnsi="Times New Roman"/>
          <w:noProof/>
          <w:sz w:val="24"/>
        </w:rPr>
        <w:t xml:space="preserve">rakennustyömaalla tuotetusta vaarattomasta rakennus- ja purkujätteestä (lukuun ottamatta luokkaan 17 05 04 kuuluvaa luonnosta peräisin olevaa ainesta, joka sisältyy Euroopan jäteluetteloon, joka on perustettu 3 päivänä toukokuuta 2000 tehdyllä päätöksellä </w:t>
      </w:r>
      <w:r>
        <w:rPr>
          <w:rFonts w:ascii="Times New Roman" w:hAnsi="Times New Roman"/>
          <w:noProof/>
          <w:sz w:val="24"/>
        </w:rPr>
        <w:t>2000/532/EY jätteistä annetun neuvoston direktiivin 75/442/ETY 1 artiklan a alakohdan mukaisen jäteluettelon laatimisesta tehdyn komission päätöksen 94/3/EY ja vaarallisista jätteistä annetun neuvoston direktiivin 91/689/ETY 1 artiklan 4 kohdan mukaisen va</w:t>
      </w:r>
      <w:r>
        <w:rPr>
          <w:rFonts w:ascii="Times New Roman" w:hAnsi="Times New Roman"/>
          <w:noProof/>
          <w:sz w:val="24"/>
        </w:rPr>
        <w:t>arallisten jätteiden luettelon laatimisesta tehdyn neuvoston päätöksen 94/904/EY korvaamisesta (tiedoksiannettu numerolla K(2000) 1147)) valmistellaan uudelleenkäyttöön, kierrätykseen ja muuhun materiaalien hyödyntämiseen, mukaan lukien maantäyttötoimet, j</w:t>
      </w:r>
      <w:r>
        <w:rPr>
          <w:rFonts w:ascii="Times New Roman" w:hAnsi="Times New Roman"/>
          <w:noProof/>
          <w:sz w:val="24"/>
        </w:rPr>
        <w:t>oissa käytetään jätettä korvaamaan muita materiaaleja, jätehierarkian ja EU:n rakennus- ja purkujätteen käsittely- ja kierrätysmallin mukaisesti.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Infrastruktuurin kehittäm</w:t>
      </w:r>
      <w:r>
        <w:rPr>
          <w:rFonts w:ascii="Times New Roman" w:hAnsi="Times New Roman"/>
          <w:noProof/>
          <w:sz w:val="24"/>
        </w:rPr>
        <w:t>inen ja rakennusten kunnostus entisessä kuninkaallisessa kiinteistössä Tatoissa (toimenpiteen tunniste: 16875)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rakennusten kunnostamisen ja niiden energiatehokkuuden ja infrastruktuuriverkostojen parantamisen Tatoin alueella sekä kävel</w:t>
      </w:r>
      <w:r>
        <w:rPr>
          <w:rFonts w:ascii="Times New Roman" w:hAnsi="Times New Roman"/>
          <w:noProof/>
          <w:sz w:val="24"/>
        </w:rPr>
        <w:t>y- ja pyöräilyreittien luomisen sen läheisyyteen. Hankkeella luodaan Attikan asukkaille vihreä, kunnostettu ja vapaasti käytettävissä oleva virkistysalue sekä uusi virkistysalue matkailijoille. Minkään tähän osa-alueeseen kuuluvan toimenpiteen ei odoteta a</w:t>
      </w:r>
      <w:r>
        <w:rPr>
          <w:rFonts w:ascii="Times New Roman" w:hAnsi="Times New Roman"/>
          <w:noProof/>
          <w:sz w:val="24"/>
        </w:rPr>
        <w:t>iheuttavan merkittävää haittaa asetuksen (EU) 2020/852 17 artiklassa tarkoitetuille ympäristötavoitteille, kun otetaan huomioon elpymis- ja palautumissuunnitelmassa esitettyjen toimenpiteen kuvaus ja lieventävät toimet ”ei merkittävää haittaa -periaatteen”</w:t>
      </w:r>
      <w:r>
        <w:rPr>
          <w:rFonts w:ascii="Times New Roman" w:hAnsi="Times New Roman"/>
          <w:noProof/>
          <w:sz w:val="24"/>
        </w:rPr>
        <w:t xml:space="preserve"> teknisten ohjeiden (2021/C58/01) mukaisesti. Toimenpiteessä edellytetään erityisesti, että rakennustyöt suorittavien talouden toimijoiden on varmistettava, että vähintään 70 prosenttia (painoprosentteina) rakennustyömaalla tuotetusta vaarattomasta rakennu</w:t>
      </w:r>
      <w:r>
        <w:rPr>
          <w:rFonts w:ascii="Times New Roman" w:hAnsi="Times New Roman"/>
          <w:noProof/>
          <w:sz w:val="24"/>
        </w:rPr>
        <w:t>s- ja purkujätteestä (lukuun ottamatta luokkaan 17 05 04 kuuluvaa luonnosta peräisin olevaa ainesta, joka sisältyy Euroopan jäteluetteloon, joka on perustettu 3 päivänä toukokuuta 2000 tehdyllä päätöksellä 2000/532/EY jätteistä annetun neuvoston direktiivi</w:t>
      </w:r>
      <w:r>
        <w:rPr>
          <w:rFonts w:ascii="Times New Roman" w:hAnsi="Times New Roman"/>
          <w:noProof/>
          <w:sz w:val="24"/>
        </w:rPr>
        <w:t>n 75/442/ETY 1 artiklan a alakohdan mukaisen jäteluettelon laatimisesta tehdyn komission päätöksen 94/3/EY ja vaarallisista jätteistä annetun neuvoston direktiivin 91/689/ETY 1 artiklan 4 kohdan mukaisen vaarallisten jätteiden luettelon laatimisesta tehdyn</w:t>
      </w:r>
      <w:r>
        <w:rPr>
          <w:rFonts w:ascii="Times New Roman" w:hAnsi="Times New Roman"/>
          <w:noProof/>
          <w:sz w:val="24"/>
        </w:rPr>
        <w:t xml:space="preserve"> neuvoston päätöksen 94/904/EY korvaamisesta (tiedoksiannettu numerolla K(2000) 1147)) valmistellaan uudelleenkäyttöön, kierrätykseen ja muuhun materiaalien hyödyntämiseen, mukaan lukien maantäyttötoimet, joissa käytetään jätettä korvaamaan muita materiaal</w:t>
      </w:r>
      <w:r>
        <w:rPr>
          <w:rFonts w:ascii="Times New Roman" w:hAnsi="Times New Roman"/>
          <w:noProof/>
          <w:sz w:val="24"/>
        </w:rPr>
        <w:t>eja, jätehierarkian ja EU:n rakennus- ja purkujätteen käsittely- ja kierrätysmallin mukaisesti.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Ateenan olympiaurheilurheilukeskus (toimenpiteen tunniste: 16932)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Tämän Ate</w:t>
      </w:r>
      <w:r>
        <w:rPr>
          <w:rFonts w:ascii="Times New Roman" w:hAnsi="Times New Roman"/>
          <w:noProof/>
          <w:sz w:val="24"/>
        </w:rPr>
        <w:t>enan olympiaurheilukeskukseen tehtävän investoinnin tarkoituksena on pidentää sen käyttöikää, palauttaa sen julkisuuskuva, vähentää sen käyttö- ja energiakustannuksia ja varmistaa sen taloudellinen kestävyys muuttamalla se nykyaikaiseksi ja eloisaksi urhei</w:t>
      </w:r>
      <w:r>
        <w:rPr>
          <w:rFonts w:ascii="Times New Roman" w:hAnsi="Times New Roman"/>
          <w:noProof/>
          <w:sz w:val="24"/>
        </w:rPr>
        <w:t>lun ja vapaa-ajan kaupunkikohteeksi. Tavoitteena on, että keskus siirretään Kreikan omaisuudenhoitoyhtiölle. Minkään tähän osa-alueeseen kuuluvan toimenpiteen ei odoteta aiheuttavan merkittävää haittaa asetuksen (EU) 2020/852 17 artiklassa tarkoitetuille y</w:t>
      </w:r>
      <w:r>
        <w:rPr>
          <w:rFonts w:ascii="Times New Roman" w:hAnsi="Times New Roman"/>
          <w:noProof/>
          <w:sz w:val="24"/>
        </w:rPr>
        <w:t>mpäristötavoitteille, kun otetaan huomioon elpymis- ja palautumissuunnitelmassa esitettyjen toimenpiteen kuvaus ja lieventävät toimet ”ei merkittävää haittaa -periaatteen” teknisten ohjeiden (2021/C58/01) mukaisesti. Toimenpiteessä edellytetään erityisesti</w:t>
      </w:r>
      <w:r>
        <w:rPr>
          <w:rFonts w:ascii="Times New Roman" w:hAnsi="Times New Roman"/>
          <w:noProof/>
          <w:sz w:val="24"/>
        </w:rPr>
        <w:t xml:space="preserve">, että rakennustyöt suorittavien talouden toimijoiden on varmistettava, että vähintään 70 prosenttia (painoprosentteina) rakennustyömaalla tuotetusta vaarattomasta rakennus- ja purkujätteestä (lukuun ottamatta luokkaan 17 05 04 kuuluvaa luonnosta peräisin </w:t>
      </w:r>
      <w:r>
        <w:rPr>
          <w:rFonts w:ascii="Times New Roman" w:hAnsi="Times New Roman"/>
          <w:noProof/>
          <w:sz w:val="24"/>
        </w:rPr>
        <w:t>olevaa ainesta, joka sisältyy Euroopan jäteluetteloon, joka on perustettu 3 päivänä toukokuuta 2000 tehdyllä päätöksellä 2000/532/EY jätteistä annetun neuvoston direktiivin 75/442/ETY 1 artiklan a alakohdan mukaisen jäteluettelon laatimisesta tehdyn komiss</w:t>
      </w:r>
      <w:r>
        <w:rPr>
          <w:rFonts w:ascii="Times New Roman" w:hAnsi="Times New Roman"/>
          <w:noProof/>
          <w:sz w:val="24"/>
        </w:rPr>
        <w:t>ion päätöksen 94/3/EY ja vaarallisista jätteistä annetun neuvoston direktiivin 91/689/ETY 1 artiklan 4 kohdan mukaisen vaarallisten jätteiden luettelon laatimisesta tehdyn neuvoston päätöksen 94/904/EY korvaamisesta (tiedoksiannettu numerolla K(2000) 1147)</w:t>
      </w:r>
      <w:r>
        <w:rPr>
          <w:rFonts w:ascii="Times New Roman" w:hAnsi="Times New Roman"/>
          <w:noProof/>
          <w:sz w:val="24"/>
        </w:rPr>
        <w:t>) valmistellaan uudelleenkäyttöön, kierrätykseen ja muuhun materiaalien hyödyntämiseen, mukaan lukien maantäyttötoimet, joissa käytetään jätettä korvaamaan muita materiaaleja, jätehierarkian ja EU:n rakennus- ja purkujätteen käsittely- ja kierrätysmallin m</w:t>
      </w:r>
      <w:r>
        <w:rPr>
          <w:rFonts w:ascii="Times New Roman" w:hAnsi="Times New Roman"/>
          <w:noProof/>
          <w:sz w:val="24"/>
        </w:rPr>
        <w:t>ukaisesti. Investointi on määrä toteuttaa viimeistään 30 päivänä kesäkuuta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Kaupunkisuunnitelmien laatiminen kaupunkipolitiikan uudistuksen toteuttamiseksi (toimenpiteen tunniste: 16879)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koostuu viidestä toimesta: (a) paikallisten k</w:t>
      </w:r>
      <w:r>
        <w:rPr>
          <w:rFonts w:ascii="Times New Roman" w:hAnsi="Times New Roman"/>
          <w:noProof/>
          <w:sz w:val="24"/>
        </w:rPr>
        <w:t>aupunkisuunnitelmien laatiminen (jotka kattavat kunnat tai kuntayksiköt), b) erityisten kaupunkisuunnitelmien laatiminen (suunnitelmat, jotka voivat kattaa useamman kuin yhden kunnan alueet), c) kehittämisoikeuksien siirtoalueiden määrittely, d) asutusalue</w:t>
      </w:r>
      <w:r>
        <w:rPr>
          <w:rFonts w:ascii="Times New Roman" w:hAnsi="Times New Roman"/>
          <w:noProof/>
          <w:sz w:val="24"/>
        </w:rPr>
        <w:t>iden määrittely, e) (kunnallisten) tieyhteyksien tunnustamiseen liittyvien maankäyttökysymysten käsittely. Uudistuksessa on puututtava kaavoituksen ja maankäytön heikkouksiin ja puutteisiin kestävän taloudellisen toiminnan edistämiseksi ja ympäristön suoje</w:t>
      </w:r>
      <w:r>
        <w:rPr>
          <w:rFonts w:ascii="Times New Roman" w:hAnsi="Times New Roman"/>
          <w:noProof/>
          <w:sz w:val="24"/>
        </w:rPr>
        <w:t>lemiseksi. Paikallisiin kaupunkisuunnitelmiin on sisällyttävä erityinen luku, joka koskee ilmastonmuutostoimenpiteitä ja ilmastoon liittyvien riskien ehkäisemistä ja hallintaa. Kaiken kaikkiaan 700 kuntaa tai kuntayksikköä varten laaditaan paikallisia kaup</w:t>
      </w:r>
      <w:r>
        <w:rPr>
          <w:rFonts w:ascii="Times New Roman" w:hAnsi="Times New Roman"/>
          <w:noProof/>
          <w:sz w:val="24"/>
        </w:rPr>
        <w:t>unkisuunnitelmia. laaditaan viisi erityistä kaupunkisuunnitelmaa, kehittämisoikeuksien siirtoalueet määritellään 50 kunnalliseksi yksiköksi, asutusalueet määritellään 50 kuntayksiköksi ja kunnalliset tiet 120 kunnalliseksi yksiköksi. Toimenpiteitä toteutet</w:t>
      </w:r>
      <w:r>
        <w:rPr>
          <w:rFonts w:ascii="Times New Roman" w:hAnsi="Times New Roman"/>
          <w:noProof/>
          <w:sz w:val="24"/>
        </w:rPr>
        <w:t>aan yhteensä vähintään 750 kunnan yksikössä.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Uuden merten aluesuunnittelun käyttöönotto (toimenpiteen tunniste: 16891).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Uudistuksessa käsitellään meriympäristöä ja merten aluesuu</w:t>
      </w:r>
      <w:r>
        <w:rPr>
          <w:rFonts w:ascii="Times New Roman" w:hAnsi="Times New Roman"/>
          <w:noProof/>
          <w:sz w:val="24"/>
        </w:rPr>
        <w:t>nnitelmia koskevan kansallisen aluestrategian laatimista. Uudistuksessa käsitellään meri- ja rannikkoalueiden kestävää kehitystä ja suojellaan samalla meriympäristöä ja biologista monimuotoisuutta. Uudistus on määrä toteuttaa viimeistään 31 päivänä jouluku</w:t>
      </w:r>
      <w:r>
        <w:rPr>
          <w:rFonts w:ascii="Times New Roman" w:hAnsi="Times New Roman"/>
          <w:noProof/>
          <w:sz w:val="24"/>
        </w:rPr>
        <w:t>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Uusien erityisten aluesuunnittelupuitteiden perustaminen uusiutuvaa energiaa, teollisuutta, matkailua ja vesiviljelyä varten (toimenpiteen tunniste: 16894).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Uudistuksessa vahvistetaan uudet erityiset aluekehykset uusiutuvaa energiaa, teollisuutta, matkailua ja vesiviljelyä varten, jotta voidaan edistää ilmastonmuutoksen hillitsemistä ja siihen sopeutumista, biologisen monimuotoisuuden suojelua, talouskasvua ja</w:t>
      </w:r>
      <w:r>
        <w:rPr>
          <w:rFonts w:ascii="Times New Roman" w:hAnsi="Times New Roman"/>
          <w:noProof/>
          <w:sz w:val="24"/>
        </w:rPr>
        <w:t xml:space="preserve"> työpaikkojen luomista.</w:t>
      </w:r>
    </w:p>
    <w:p w:rsidR="00B0093E" w:rsidRDefault="00B0093E">
      <w:pPr>
        <w:spacing w:before="120" w:after="120" w:line="240" w:lineRule="auto"/>
        <w:ind w:left="709"/>
        <w:jc w:val="both"/>
        <w:rPr>
          <w:rFonts w:ascii="Times New Roman" w:hAnsi="Times New Roman" w:cs="Times New Roman"/>
          <w:b/>
          <w:bCs/>
          <w:noProof/>
          <w:sz w:val="24"/>
          <w:u w:val="single"/>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30"/>
          <w:headerReference w:type="default" r:id="rId31"/>
          <w:footerReference w:type="even" r:id="rId32"/>
          <w:footerReference w:type="default" r:id="rId33"/>
          <w:headerReference w:type="first" r:id="rId34"/>
          <w:footerReference w:type="first" r:id="rId35"/>
          <w:pgSz w:w="11907" w:h="16839"/>
          <w:pgMar w:top="1134" w:right="1418" w:bottom="1134" w:left="1418" w:header="709" w:footer="709" w:gutter="0"/>
          <w:cols w:space="720"/>
          <w:docGrid w:linePitch="360"/>
        </w:sect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Times New Roman" w:hAnsi="Times New Roman"/>
          <w:b/>
          <w:bCs/>
          <w:noProof/>
          <w:sz w:val="24"/>
          <w:u w:val="single"/>
        </w:rPr>
        <w:t xml:space="preserve">B.2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r>
        <w:rPr>
          <w:rFonts w:ascii="Cambria" w:hAnsi="Cambria"/>
          <w:noProof/>
          <w:color w:val="365F91"/>
          <w:sz w:val="24"/>
        </w:rPr>
        <w:t xml:space="preserve"> </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szCs w:val="24"/>
        </w:rPr>
      </w:pPr>
      <w:r>
        <w:rPr>
          <w:rFonts w:ascii="Cambria" w:hAnsi="Cambria"/>
          <w:noProof/>
          <w:color w:val="365F91"/>
          <w:sz w:val="24"/>
        </w:rPr>
        <w:t xml:space="preserve">Suurin investointi 2: </w:t>
      </w:r>
      <w:r>
        <w:rPr>
          <w:rFonts w:ascii="Cambria" w:hAnsi="Cambria"/>
          <w:noProof/>
          <w:color w:val="365F91"/>
          <w:sz w:val="24"/>
        </w:rPr>
        <w:t>Asuinrakennusten energiaperuskorjaus</w:t>
      </w:r>
    </w:p>
    <w:tbl>
      <w:tblPr>
        <w:tblW w:w="15856" w:type="dxa"/>
        <w:tblInd w:w="113" w:type="dxa"/>
        <w:tblLook w:val="04A0" w:firstRow="1" w:lastRow="0" w:firstColumn="1" w:lastColumn="0" w:noHBand="0" w:noVBand="1"/>
      </w:tblPr>
      <w:tblGrid>
        <w:gridCol w:w="1027"/>
        <w:gridCol w:w="2086"/>
        <w:gridCol w:w="1626"/>
        <w:gridCol w:w="1540"/>
        <w:gridCol w:w="2311"/>
        <w:gridCol w:w="1343"/>
        <w:gridCol w:w="999"/>
        <w:gridCol w:w="1006"/>
        <w:gridCol w:w="1387"/>
        <w:gridCol w:w="709"/>
        <w:gridCol w:w="4662"/>
      </w:tblGrid>
      <w:tr w:rsidR="00B0093E">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26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0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231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3011"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66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w:t>
            </w:r>
            <w:r>
              <w:rPr>
                <w:rFonts w:ascii="Times New Roman" w:hAnsi="Times New Roman"/>
                <w:b/>
                <w:bCs/>
                <w:noProof/>
                <w:sz w:val="18"/>
                <w:szCs w:val="18"/>
              </w:rPr>
              <w:t>teen ja tavoitteen kuvaus</w:t>
            </w:r>
          </w:p>
        </w:tc>
      </w:tr>
      <w:tr w:rsidR="00B0093E">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56"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2311"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9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9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82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662"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w:t>
            </w:r>
          </w:p>
        </w:tc>
        <w:tc>
          <w:tcPr>
            <w:tcW w:w="126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w:t>
            </w:r>
            <w:r>
              <w:rPr>
                <w:noProof/>
                <w:color w:val="006100"/>
                <w:sz w:val="18"/>
                <w:szCs w:val="18"/>
              </w:rPr>
              <w:t>- 1.2. Kunnostaminen – 16872_Asuinrakennusten energiaperuskorjaus</w:t>
            </w:r>
          </w:p>
        </w:tc>
        <w:tc>
          <w:tcPr>
            <w:tcW w:w="9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Asuinrakennus kunnostaminen – ensimmäisen kierroksen käynnistäminen</w:t>
            </w:r>
          </w:p>
        </w:tc>
        <w:tc>
          <w:tcPr>
            <w:tcW w:w="231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Ministeriöiden yhteisen päätöksen voimaantulo </w:t>
            </w:r>
          </w:p>
        </w:tc>
        <w:tc>
          <w:tcPr>
            <w:tcW w:w="1192"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20"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2020</w:t>
            </w:r>
          </w:p>
        </w:tc>
        <w:tc>
          <w:tcPr>
            <w:tcW w:w="466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Ensimmäisen kierroksen peruskorjausohjelman käynnist</w:t>
            </w:r>
            <w:r>
              <w:rPr>
                <w:noProof/>
                <w:color w:val="006100"/>
                <w:sz w:val="18"/>
                <w:szCs w:val="18"/>
              </w:rPr>
              <w:t>ämistä koskevan ministerikokouksen yhteisen päätöksen voimaantulo, mukaan lukien valintamenettelyn käynnistäminen sen varmistamiseksi, että asuntojen primäärienergian kulutus vähenee vähintään 30 prosenttia verrattuna asunnon alkuperäiseen suorituskykyyn k</w:t>
            </w:r>
            <w:r>
              <w:rPr>
                <w:noProof/>
                <w:color w:val="006100"/>
                <w:sz w:val="18"/>
                <w:szCs w:val="18"/>
              </w:rPr>
              <w:t xml:space="preserve">ilowattitunteina neliömetriä kohti laskettuna.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Ministeriöiden yhteisessä päätöksessä vahvistetaan:</w:t>
            </w:r>
          </w:p>
          <w:p w:rsidR="00B0093E" w:rsidRDefault="00762CA6">
            <w:pPr>
              <w:spacing w:after="0" w:line="240" w:lineRule="auto"/>
              <w:rPr>
                <w:rFonts w:eastAsia="Times New Roman" w:cs="Calibri"/>
                <w:noProof/>
                <w:color w:val="006100"/>
                <w:sz w:val="18"/>
                <w:szCs w:val="18"/>
              </w:rPr>
            </w:pPr>
            <w:r>
              <w:rPr>
                <w:noProof/>
                <w:color w:val="006100"/>
                <w:sz w:val="18"/>
                <w:szCs w:val="18"/>
              </w:rPr>
              <w:t>– Täytäntöönpanomekanismi;</w:t>
            </w:r>
          </w:p>
          <w:p w:rsidR="00B0093E" w:rsidRDefault="00762CA6">
            <w:pPr>
              <w:spacing w:after="0" w:line="240" w:lineRule="auto"/>
              <w:rPr>
                <w:rFonts w:eastAsia="Times New Roman" w:cs="Calibri"/>
                <w:noProof/>
                <w:color w:val="006100"/>
                <w:sz w:val="18"/>
                <w:szCs w:val="18"/>
              </w:rPr>
            </w:pPr>
            <w:r>
              <w:rPr>
                <w:noProof/>
                <w:color w:val="006100"/>
                <w:sz w:val="18"/>
                <w:szCs w:val="18"/>
              </w:rPr>
              <w:t>– Valintaprosessi primäärienergian säästötavoitteen saavuttamiseksi;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Sertifiointimekanismi, jolla validoidaan todelliset </w:t>
            </w:r>
            <w:r>
              <w:rPr>
                <w:noProof/>
                <w:color w:val="006100"/>
                <w:sz w:val="18"/>
                <w:szCs w:val="18"/>
              </w:rPr>
              <w:t>primäärienergian säästöt (mukaan lukien yksityiskohtaiset tiedot mahdollisista korjaavista toimista sen varmistamiseksi, että primäärienergian säästötavoite saavutetaan); ja</w:t>
            </w:r>
          </w:p>
          <w:p w:rsidR="00B0093E" w:rsidRDefault="00762CA6">
            <w:pPr>
              <w:spacing w:after="0" w:line="240" w:lineRule="auto"/>
              <w:rPr>
                <w:rFonts w:eastAsia="Times New Roman" w:cs="Calibri"/>
                <w:noProof/>
                <w:color w:val="006100"/>
                <w:sz w:val="18"/>
                <w:szCs w:val="18"/>
              </w:rPr>
            </w:pPr>
            <w:r>
              <w:rPr>
                <w:noProof/>
                <w:color w:val="006100"/>
                <w:sz w:val="18"/>
                <w:szCs w:val="18"/>
              </w:rPr>
              <w:t>– Aikataulu.</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21</w:t>
            </w:r>
          </w:p>
        </w:tc>
        <w:tc>
          <w:tcPr>
            <w:tcW w:w="126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2 - 1.2. Kunnostaminen – 16872_Asuinrakennusten </w:t>
            </w:r>
            <w:r>
              <w:rPr>
                <w:noProof/>
                <w:color w:val="006100"/>
                <w:sz w:val="18"/>
                <w:szCs w:val="18"/>
              </w:rPr>
              <w:t>energiaperuskorjaus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Asuntojen kunnostaminen – toisen kierroksen käynnistäminen, mukaan lukien energiaköyhät kotitaloudet</w:t>
            </w:r>
          </w:p>
        </w:tc>
        <w:tc>
          <w:tcPr>
            <w:tcW w:w="231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Ministeriöiden yhteisen päätöksen voimaantulo </w:t>
            </w:r>
          </w:p>
        </w:tc>
        <w:tc>
          <w:tcPr>
            <w:tcW w:w="11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2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66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Ministeriöiden yhteisen päätöksen voimaantulo toisen kierroksen korjausohjelman käynnistämiseksi ja energiaköyhiä asuntoja koskevan ohjelman käynnistämiseksi, mukaan lukien valintaprosessin käynnistäminen sen varmistamiseksi, että asuntojen primäärienergia</w:t>
            </w:r>
            <w:r>
              <w:rPr>
                <w:noProof/>
                <w:color w:val="006100"/>
                <w:sz w:val="18"/>
                <w:szCs w:val="18"/>
              </w:rPr>
              <w:t xml:space="preserve">n kulutus vähenee vähintään 30 prosenttia verrattuna asunnon alkuperäiseen suorituskykyyn kilowattitunteina neliömetriä kohti laskettuna.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Ministeriöiden yhteisessä päätöksessä vahvistetaan:</w:t>
            </w:r>
          </w:p>
          <w:p w:rsidR="00B0093E" w:rsidRDefault="00762CA6">
            <w:pPr>
              <w:spacing w:after="0" w:line="240" w:lineRule="auto"/>
              <w:rPr>
                <w:rFonts w:eastAsia="Times New Roman" w:cs="Calibri"/>
                <w:noProof/>
                <w:color w:val="006100"/>
                <w:sz w:val="18"/>
                <w:szCs w:val="18"/>
              </w:rPr>
            </w:pPr>
            <w:r>
              <w:rPr>
                <w:noProof/>
                <w:color w:val="006100"/>
                <w:sz w:val="18"/>
                <w:szCs w:val="18"/>
              </w:rPr>
              <w:t>– Täytäntöönpanomekanismi;</w:t>
            </w:r>
          </w:p>
          <w:p w:rsidR="00B0093E" w:rsidRDefault="00762CA6">
            <w:pPr>
              <w:spacing w:after="0" w:line="240" w:lineRule="auto"/>
              <w:rPr>
                <w:rFonts w:eastAsia="Times New Roman" w:cs="Calibri"/>
                <w:noProof/>
                <w:color w:val="006100"/>
                <w:sz w:val="18"/>
                <w:szCs w:val="18"/>
              </w:rPr>
            </w:pPr>
            <w:r>
              <w:rPr>
                <w:noProof/>
                <w:color w:val="006100"/>
                <w:sz w:val="18"/>
                <w:szCs w:val="18"/>
              </w:rPr>
              <w:t>– Valintaprosessi primäärienergian sä</w:t>
            </w:r>
            <w:r>
              <w:rPr>
                <w:noProof/>
                <w:color w:val="006100"/>
                <w:sz w:val="18"/>
                <w:szCs w:val="18"/>
              </w:rPr>
              <w:t>ästötavoitteen saavuttamiseksi;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Säännökset, jotka koskevat energiaköyhyyttä koskevassa toimintasuunnitelmassa vahvistettuja kriteerejä, jotka koskevat energiaköyhyyttä, jotta tosiasiallisesti saavutetut primäärienergian säästöt voidaan vahvistaa (mukaan </w:t>
            </w:r>
            <w:r>
              <w:rPr>
                <w:noProof/>
                <w:color w:val="006100"/>
                <w:sz w:val="18"/>
                <w:szCs w:val="18"/>
              </w:rPr>
              <w:t>lukien yksityiskohtaiset tiedot mahdollisista korjaavista toimista sen varmistamiseksi, että primäärienergian säästötavoite saavutetaan); ja</w:t>
            </w:r>
          </w:p>
          <w:p w:rsidR="00B0093E" w:rsidRDefault="00762CA6">
            <w:pPr>
              <w:spacing w:after="0" w:line="240" w:lineRule="auto"/>
              <w:rPr>
                <w:rFonts w:eastAsia="Times New Roman" w:cs="Calibri"/>
                <w:noProof/>
                <w:color w:val="006100"/>
                <w:sz w:val="18"/>
                <w:szCs w:val="18"/>
              </w:rPr>
            </w:pPr>
            <w:r>
              <w:rPr>
                <w:noProof/>
                <w:color w:val="006100"/>
                <w:sz w:val="18"/>
                <w:szCs w:val="18"/>
              </w:rPr>
              <w:t>– Aikataulu.</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Erityissäännös korvamerkittyjen varojen kohdentamiseksi energiaköyhyyttä koskevassa toimintasuunnitel</w:t>
            </w:r>
            <w:r>
              <w:rPr>
                <w:noProof/>
                <w:color w:val="006100"/>
                <w:sz w:val="18"/>
                <w:szCs w:val="18"/>
              </w:rPr>
              <w:t xml:space="preserve">massa määriteltyihin energiaköyhiin asuntoihin. </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22</w:t>
            </w:r>
          </w:p>
        </w:tc>
        <w:tc>
          <w:tcPr>
            <w:tcW w:w="126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16872_Asuinrakennusten energiaperuskorjaus</w:t>
            </w:r>
          </w:p>
        </w:tc>
        <w:tc>
          <w:tcPr>
            <w:tcW w:w="9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Asuntojen kunnostaminen – kolmannen kierroksen käynnistäminen, mukaan lukien energiaköyhät kotitaloudet</w:t>
            </w:r>
          </w:p>
        </w:tc>
        <w:tc>
          <w:tcPr>
            <w:tcW w:w="231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Ministeriöiden </w:t>
            </w:r>
            <w:r>
              <w:rPr>
                <w:noProof/>
                <w:color w:val="006100"/>
                <w:sz w:val="18"/>
                <w:szCs w:val="18"/>
              </w:rPr>
              <w:t>yhteisen päätöksen voimaantulo</w:t>
            </w:r>
          </w:p>
        </w:tc>
        <w:tc>
          <w:tcPr>
            <w:tcW w:w="1192"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20"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66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Kolmannen kierroksen peruskorjausohjelman käynnistämistä koskevan ministeriöiden yhteisen päätöksen voimaantulo, mukaan lukien valintamenettelyn käynnistäminen sen varmistamiseksi, että asuntojen primäärienergian k</w:t>
            </w:r>
            <w:r>
              <w:rPr>
                <w:noProof/>
                <w:color w:val="006100"/>
                <w:sz w:val="18"/>
                <w:szCs w:val="18"/>
              </w:rPr>
              <w:t>ulutus vähenee vähintään 30 prosenttia verrattuna asunnon alkuperäiseen suorituskykyyn kilowattitunteina neliömetriä kohti laskettuna.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Ministeriöiden yhteisessä päätöksessä vahvistetaan:</w:t>
            </w:r>
          </w:p>
          <w:p w:rsidR="00B0093E" w:rsidRDefault="00762CA6">
            <w:pPr>
              <w:spacing w:after="0" w:line="240" w:lineRule="auto"/>
              <w:rPr>
                <w:rFonts w:eastAsia="Times New Roman" w:cs="Calibri"/>
                <w:noProof/>
                <w:color w:val="006100"/>
                <w:sz w:val="18"/>
                <w:szCs w:val="18"/>
              </w:rPr>
            </w:pPr>
            <w:r>
              <w:rPr>
                <w:noProof/>
                <w:color w:val="006100"/>
                <w:sz w:val="18"/>
                <w:szCs w:val="18"/>
              </w:rPr>
              <w:t>– Täytäntöönpanomekanismi;</w:t>
            </w:r>
          </w:p>
          <w:p w:rsidR="00B0093E" w:rsidRDefault="00762CA6">
            <w:pPr>
              <w:spacing w:after="0" w:line="240" w:lineRule="auto"/>
              <w:rPr>
                <w:rFonts w:eastAsia="Times New Roman" w:cs="Calibri"/>
                <w:noProof/>
                <w:color w:val="006100"/>
                <w:sz w:val="18"/>
                <w:szCs w:val="18"/>
              </w:rPr>
            </w:pPr>
            <w:r>
              <w:rPr>
                <w:noProof/>
                <w:color w:val="006100"/>
                <w:sz w:val="18"/>
                <w:szCs w:val="18"/>
              </w:rPr>
              <w:t>– Valintaprosessi primäärienergian säästö</w:t>
            </w:r>
            <w:r>
              <w:rPr>
                <w:noProof/>
                <w:color w:val="006100"/>
                <w:sz w:val="18"/>
                <w:szCs w:val="18"/>
              </w:rPr>
              <w:t xml:space="preserve">tavoitteen saavuttamiseksi; </w:t>
            </w:r>
          </w:p>
          <w:p w:rsidR="00B0093E" w:rsidRDefault="00762CA6">
            <w:pPr>
              <w:spacing w:after="0" w:line="240" w:lineRule="auto"/>
              <w:rPr>
                <w:rFonts w:eastAsia="Times New Roman" w:cs="Calibri"/>
                <w:noProof/>
                <w:color w:val="006100"/>
                <w:sz w:val="18"/>
                <w:szCs w:val="18"/>
              </w:rPr>
            </w:pPr>
            <w:r>
              <w:rPr>
                <w:noProof/>
                <w:color w:val="006100"/>
                <w:sz w:val="18"/>
                <w:szCs w:val="18"/>
              </w:rPr>
              <w:t>Energiaköyhyyttä koskevat säännökset hyväksytyssä energiaköyhyyttä koskevassa toimintasuunnitelmassa esitettyjen kriteerien mukaisesti;</w:t>
            </w:r>
          </w:p>
          <w:p w:rsidR="00B0093E" w:rsidRDefault="00762CA6">
            <w:pPr>
              <w:spacing w:after="0" w:line="240" w:lineRule="auto"/>
              <w:rPr>
                <w:rFonts w:eastAsia="Times New Roman" w:cs="Calibri"/>
                <w:noProof/>
                <w:color w:val="006100"/>
                <w:sz w:val="18"/>
                <w:szCs w:val="18"/>
              </w:rPr>
            </w:pPr>
            <w:r>
              <w:rPr>
                <w:noProof/>
                <w:color w:val="006100"/>
                <w:sz w:val="18"/>
                <w:szCs w:val="18"/>
              </w:rPr>
              <w:t>– Sertifiointimekanismi, jolla validoidaan todelliset primäärienergian säästöt (mukaan luki</w:t>
            </w:r>
            <w:r>
              <w:rPr>
                <w:noProof/>
                <w:color w:val="006100"/>
                <w:sz w:val="18"/>
                <w:szCs w:val="18"/>
              </w:rPr>
              <w:t>en yksityiskohtaiset tiedot mahdollisista korjaavista toimista sen varmistamiseksi, että primäärienergian säästötavoite saavutetaan); ja</w:t>
            </w:r>
          </w:p>
          <w:p w:rsidR="00B0093E" w:rsidRDefault="00762CA6">
            <w:pPr>
              <w:spacing w:after="0" w:line="240" w:lineRule="auto"/>
              <w:rPr>
                <w:rFonts w:eastAsia="Times New Roman" w:cs="Calibri"/>
                <w:noProof/>
                <w:color w:val="006100"/>
                <w:sz w:val="18"/>
                <w:szCs w:val="18"/>
              </w:rPr>
            </w:pPr>
            <w:r>
              <w:rPr>
                <w:noProof/>
                <w:color w:val="006100"/>
                <w:sz w:val="18"/>
                <w:szCs w:val="18"/>
              </w:rPr>
              <w:t>– Aikataulu.</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Erityissäännös korvamerkittyjen varojen kohdentamiseksi energiaköyhyyttä koskevassa toimintasuunnitelmass</w:t>
            </w:r>
            <w:r>
              <w:rPr>
                <w:noProof/>
                <w:color w:val="006100"/>
                <w:sz w:val="18"/>
                <w:szCs w:val="18"/>
              </w:rPr>
              <w:t>a määriteltyihin energiaköyhiin asuntoihin.</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23</w:t>
            </w:r>
          </w:p>
        </w:tc>
        <w:tc>
          <w:tcPr>
            <w:tcW w:w="126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16872_Asuinrakennusten energiaperuskorjaus</w:t>
            </w:r>
          </w:p>
        </w:tc>
        <w:tc>
          <w:tcPr>
            <w:tcW w:w="9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0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Asuinrakennusten kunnostaminen – asuntojen kunnostaminen #1</w:t>
            </w:r>
          </w:p>
        </w:tc>
        <w:tc>
          <w:tcPr>
            <w:tcW w:w="231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Loppuun saatettujen sertifioitujen korjausten lukumäärä </w:t>
            </w:r>
          </w:p>
        </w:tc>
        <w:tc>
          <w:tcPr>
            <w:tcW w:w="99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82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8 000</w:t>
            </w: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66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00FF"/>
                <w:sz w:val="18"/>
                <w:szCs w:val="18"/>
                <w:u w:val="single"/>
              </w:rPr>
            </w:pPr>
            <w:r>
              <w:rPr>
                <w:noProof/>
                <w:color w:val="006100"/>
                <w:sz w:val="18"/>
                <w:szCs w:val="18"/>
              </w:rPr>
              <w:t xml:space="preserve">Energiatehokkuuden parantamiseen tähtäävät peruskorjaukset asuntojen lukumäärän osalta, mikä vastaa 30 ktoe:n energianvähennystä ja primäärienergian säästöjä keskimäärin vähintään 30 prosenttia. Kreikan kehityspankin myöntämällä todistuksella </w:t>
            </w:r>
            <w:r>
              <w:rPr>
                <w:noProof/>
                <w:color w:val="006100"/>
                <w:sz w:val="18"/>
                <w:szCs w:val="18"/>
              </w:rPr>
              <w:t>varmennetaan saavutetut primäärienergian säästöt, kuten tarkastus- ja tarkastuselimen pääosasto on vahvistanut. Todistus on toimitettava sähköisellä alustalla</w:t>
            </w:r>
            <w:r>
              <w:rPr>
                <w:noProof/>
              </w:rPr>
              <w:t xml:space="preserve"> </w:t>
            </w:r>
            <w:hyperlink r:id="rId36" w:history="1">
              <w:r>
                <w:rPr>
                  <w:noProof/>
                  <w:color w:val="0000FF"/>
                  <w:sz w:val="18"/>
                  <w:szCs w:val="18"/>
                  <w:u w:val="single"/>
                </w:rPr>
                <w:t>https://www.buildingcert.gr/</w:t>
              </w:r>
            </w:hyperlink>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24</w:t>
            </w:r>
          </w:p>
        </w:tc>
        <w:tc>
          <w:tcPr>
            <w:tcW w:w="126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2 - 1.2. </w:t>
            </w:r>
            <w:r>
              <w:rPr>
                <w:noProof/>
                <w:color w:val="006100"/>
                <w:sz w:val="18"/>
                <w:szCs w:val="18"/>
              </w:rPr>
              <w:t>Kunnostaminen – 16872_Asuinrakennusten energiaperuskorjaus</w:t>
            </w:r>
          </w:p>
        </w:tc>
        <w:tc>
          <w:tcPr>
            <w:tcW w:w="9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05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Asuinrakennusten kunnostaminen – asuntojen kunnostaminen #2</w:t>
            </w:r>
          </w:p>
        </w:tc>
        <w:tc>
          <w:tcPr>
            <w:tcW w:w="2311"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119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Loppuun saatettujen sertifioitujen korjausten lukumäärä </w:t>
            </w:r>
          </w:p>
          <w:p w:rsidR="00B0093E" w:rsidRDefault="00B0093E">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8 000</w:t>
            </w:r>
          </w:p>
        </w:tc>
        <w:tc>
          <w:tcPr>
            <w:tcW w:w="82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50 000 </w:t>
            </w:r>
          </w:p>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66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Energiatehokkuuden parantamiseen tähtäävien </w:t>
            </w:r>
            <w:r>
              <w:rPr>
                <w:noProof/>
                <w:color w:val="006100"/>
                <w:sz w:val="18"/>
                <w:szCs w:val="18"/>
              </w:rPr>
              <w:t>korjausten loppuun saattaminen 50 000 asunnossa, mikä vastaa 125 ktoe:n energianvähennystä ja primäärienergian säästöjä keskimäärin vähintään 30 prosenttia.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Kreikan kehityspankin myöntämällä todistuksella varmennetaan saavutetut primäärienergian säästöt, </w:t>
            </w:r>
            <w:r>
              <w:rPr>
                <w:noProof/>
                <w:color w:val="006100"/>
                <w:sz w:val="18"/>
                <w:szCs w:val="18"/>
              </w:rPr>
              <w:t>kuten tarkastus- ja tarkastuselimen pääosasto on vahvistanut. Todistus on toimitettava sähköisellä alustalla</w:t>
            </w:r>
            <w:r>
              <w:rPr>
                <w:noProof/>
              </w:rPr>
              <w:t xml:space="preserve"> </w:t>
            </w:r>
            <w:hyperlink r:id="rId37" w:history="1">
              <w:r>
                <w:rPr>
                  <w:noProof/>
                  <w:color w:val="0000FF"/>
                  <w:sz w:val="18"/>
                  <w:szCs w:val="18"/>
                  <w:u w:val="single"/>
                </w:rPr>
                <w:t>https://www.buildingcert.gr/</w:t>
              </w:r>
            </w:hyperlink>
          </w:p>
        </w:tc>
      </w:tr>
      <w:tr w:rsidR="00B0093E">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w:t>
            </w:r>
          </w:p>
        </w:tc>
        <w:tc>
          <w:tcPr>
            <w:tcW w:w="12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16872_Asuinrakennusten energiaperuskorjaus</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0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Asuinrakennusten kunnostaminen – asuinrakennusten kunnostaminen energiaköyhiä kotitalouksia varten</w:t>
            </w:r>
          </w:p>
        </w:tc>
        <w:tc>
          <w:tcPr>
            <w:tcW w:w="231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Niiden sertifioitujen energiaköyhien kotitalouksien lukumäärä, joiden osalta toimet on saatettu päätökseen</w:t>
            </w:r>
          </w:p>
          <w:p w:rsidR="00B0093E" w:rsidRDefault="00B0093E">
            <w:pPr>
              <w:spacing w:after="0" w:line="240" w:lineRule="auto"/>
              <w:rPr>
                <w:rFonts w:eastAsia="Times New Roman" w:cs="Calibri"/>
                <w:noProof/>
                <w:color w:val="006100"/>
                <w:sz w:val="18"/>
                <w:szCs w:val="18"/>
                <w:lang w:eastAsia="en-GB"/>
              </w:rPr>
            </w:pPr>
          </w:p>
        </w:tc>
        <w:tc>
          <w:tcPr>
            <w:tcW w:w="99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8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50 000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6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Sellaisten toimien </w:t>
            </w:r>
            <w:r>
              <w:rPr>
                <w:noProof/>
                <w:color w:val="006100"/>
                <w:sz w:val="18"/>
                <w:szCs w:val="18"/>
              </w:rPr>
              <w:t>loppuun saattaminen, joilla saavutetaan vähintään 50 000 energiaköyhän kotitalouden energiansäästö, joka vastaa primäärienergian säästöä, joka on keskimäärin vähintään 30 prosenttia koko investoinnista.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Kreikan kehityspankin myöntämällä todistuksella varm</w:t>
            </w:r>
            <w:r>
              <w:rPr>
                <w:noProof/>
                <w:color w:val="006100"/>
                <w:sz w:val="18"/>
                <w:szCs w:val="18"/>
              </w:rPr>
              <w:t>ennetaan saavutetut primäärienergian säästöt, kuten tarkastus- ja tarkastuselimen pääosasto on vahvistanut. Todistus on toimitettava sähköisellä alustalla https://www.buildingcert.gr/.</w:t>
            </w:r>
          </w:p>
        </w:tc>
      </w:tr>
      <w:tr w:rsidR="00B0093E">
        <w:trPr>
          <w:trHeight w:val="3914"/>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w:t>
            </w:r>
          </w:p>
        </w:tc>
        <w:tc>
          <w:tcPr>
            <w:tcW w:w="12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16872_Asuinrakennusten energiaperuskorjaus</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0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Asuinrakennusten kunnostaminen – asuntojen kunnostaminen #3</w:t>
            </w:r>
          </w:p>
        </w:tc>
        <w:tc>
          <w:tcPr>
            <w:tcW w:w="231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Loppuun saatettujen sertifioitujen korjausten lukumäärä</w:t>
            </w:r>
          </w:p>
        </w:tc>
        <w:tc>
          <w:tcPr>
            <w:tcW w:w="99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50 000</w:t>
            </w:r>
          </w:p>
        </w:tc>
        <w:tc>
          <w:tcPr>
            <w:tcW w:w="8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105 000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6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Energiatehokkuuden parantamiseen tähtäävien korjausten loppuun saattaminen 105 000 asunnossa, mikä vastaa </w:t>
            </w:r>
            <w:r>
              <w:rPr>
                <w:noProof/>
                <w:color w:val="006100"/>
                <w:sz w:val="18"/>
                <w:szCs w:val="18"/>
              </w:rPr>
              <w:t>213 ktoe:n energianvähennystä ja primäärienergian säästöjä keskimäärin vähintään 30 prosenttia.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Kreikan kehityspankin myöntämällä sertifioinnilla varmistetaan saavutetut primäärienergian säästöt, kuten tarkastus- ja tarkastuselimen pääosasto on vahvistanu</w:t>
            </w:r>
            <w:r>
              <w:rPr>
                <w:noProof/>
                <w:color w:val="006100"/>
                <w:sz w:val="18"/>
                <w:szCs w:val="18"/>
              </w:rPr>
              <w:t>t. Todistus on toimitettava sähköisellä alustalla</w:t>
            </w:r>
            <w:r>
              <w:rPr>
                <w:noProof/>
              </w:rPr>
              <w:t xml:space="preserve"> </w:t>
            </w:r>
            <w:hyperlink r:id="rId38" w:history="1">
              <w:r>
                <w:rPr>
                  <w:rStyle w:val="Hyperlink"/>
                  <w:noProof/>
                  <w:sz w:val="18"/>
                  <w:szCs w:val="18"/>
                </w:rPr>
                <w:t>https://www.buildingcert.gr/</w:t>
              </w:r>
            </w:hyperlink>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Keskeinen uudistus 2: Kaupunkisuunnitelmat</w:t>
      </w:r>
    </w:p>
    <w:tbl>
      <w:tblPr>
        <w:tblpPr w:leftFromText="180" w:rightFromText="180" w:vertAnchor="text" w:tblpX="113" w:tblpY="1"/>
        <w:tblOverlap w:val="never"/>
        <w:tblW w:w="15615" w:type="dxa"/>
        <w:tblLook w:val="04A0" w:firstRow="1" w:lastRow="0" w:firstColumn="1" w:lastColumn="0" w:noHBand="0" w:noVBand="1"/>
      </w:tblPr>
      <w:tblGrid>
        <w:gridCol w:w="1026"/>
        <w:gridCol w:w="2494"/>
        <w:gridCol w:w="1626"/>
        <w:gridCol w:w="1850"/>
        <w:gridCol w:w="1710"/>
        <w:gridCol w:w="1247"/>
        <w:gridCol w:w="1281"/>
        <w:gridCol w:w="1006"/>
        <w:gridCol w:w="1387"/>
        <w:gridCol w:w="709"/>
        <w:gridCol w:w="4450"/>
      </w:tblGrid>
      <w:tr w:rsidR="00B0093E">
        <w:trPr>
          <w:trHeight w:val="939"/>
          <w:tblHeader/>
        </w:trPr>
        <w:tc>
          <w:tcPr>
            <w:tcW w:w="10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9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120"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w:t>
            </w:r>
            <w:r>
              <w:rPr>
                <w:rFonts w:ascii="Times New Roman" w:hAnsi="Times New Roman"/>
                <w:b/>
                <w:bCs/>
                <w:noProof/>
                <w:sz w:val="18"/>
                <w:szCs w:val="18"/>
              </w:rPr>
              <w:t>indikaattorit   (välitavoitteiden osalta)</w:t>
            </w:r>
          </w:p>
        </w:tc>
        <w:tc>
          <w:tcPr>
            <w:tcW w:w="3111"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5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4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91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20"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25"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128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05"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45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tblHeader/>
        </w:trPr>
        <w:tc>
          <w:tcPr>
            <w:tcW w:w="102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w:t>
            </w:r>
          </w:p>
        </w:tc>
        <w:tc>
          <w:tcPr>
            <w:tcW w:w="19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16879_Kaupunkisuunnitelmien valmistelu kaupunkipolitiikan uudistuksen täytäntöönpanossa</w:t>
            </w: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Kaupunkisuunnitelmia koskeva palkinto</w:t>
            </w:r>
          </w:p>
        </w:tc>
        <w:tc>
          <w:tcPr>
            <w:tcW w:w="144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112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8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4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siitä, että 30 pros</w:t>
            </w:r>
            <w:r>
              <w:rPr>
                <w:noProof/>
                <w:color w:val="006100"/>
                <w:sz w:val="18"/>
                <w:szCs w:val="18"/>
              </w:rPr>
              <w:t xml:space="preserve">enttia kaikista hankintasopimuksista on tehty (kaikkien toimien osalta): </w:t>
            </w:r>
          </w:p>
          <w:p w:rsidR="00B0093E" w:rsidRDefault="00762CA6">
            <w:pPr>
              <w:spacing w:after="0" w:line="240" w:lineRule="auto"/>
              <w:rPr>
                <w:rFonts w:eastAsia="Times New Roman" w:cs="Calibri"/>
                <w:noProof/>
                <w:color w:val="006100"/>
                <w:sz w:val="18"/>
                <w:szCs w:val="18"/>
              </w:rPr>
            </w:pPr>
            <w:r>
              <w:rPr>
                <w:noProof/>
                <w:color w:val="006100"/>
                <w:sz w:val="18"/>
                <w:szCs w:val="18"/>
              </w:rPr>
              <w:t>1. paikallisten kaupunkisuunnitelmien laatiminen;</w:t>
            </w:r>
          </w:p>
          <w:p w:rsidR="00B0093E" w:rsidRDefault="00762CA6">
            <w:pPr>
              <w:spacing w:after="0" w:line="240" w:lineRule="auto"/>
              <w:rPr>
                <w:rFonts w:eastAsia="Times New Roman" w:cs="Calibri"/>
                <w:noProof/>
                <w:color w:val="006100"/>
                <w:sz w:val="18"/>
                <w:szCs w:val="18"/>
              </w:rPr>
            </w:pPr>
            <w:r>
              <w:rPr>
                <w:noProof/>
                <w:color w:val="006100"/>
                <w:sz w:val="18"/>
                <w:szCs w:val="18"/>
              </w:rPr>
              <w:t>2. erityisten kaupunkisuunnitelmien laatiminen;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3. kehitysoikeuksien siirtovyöhykkeiden määrittelemistä koskevien riippumattomien </w:t>
            </w:r>
            <w:r>
              <w:rPr>
                <w:noProof/>
                <w:color w:val="006100"/>
                <w:sz w:val="18"/>
                <w:szCs w:val="18"/>
              </w:rPr>
              <w:t>suunnitelmien laatiminen;</w:t>
            </w:r>
          </w:p>
          <w:p w:rsidR="00B0093E" w:rsidRDefault="00762CA6">
            <w:pPr>
              <w:spacing w:after="0" w:line="240" w:lineRule="auto"/>
              <w:rPr>
                <w:rFonts w:eastAsia="Times New Roman" w:cs="Calibri"/>
                <w:noProof/>
                <w:color w:val="006100"/>
                <w:sz w:val="18"/>
                <w:szCs w:val="18"/>
              </w:rPr>
            </w:pPr>
            <w:r>
              <w:rPr>
                <w:noProof/>
                <w:color w:val="006100"/>
                <w:sz w:val="18"/>
                <w:szCs w:val="18"/>
              </w:rPr>
              <w:t>4. selvitysten rajojen määrittämistä koskevien riippumattomien suunnitelmien laatiminen; ja</w:t>
            </w:r>
          </w:p>
          <w:p w:rsidR="00B0093E" w:rsidRDefault="00762CA6">
            <w:pPr>
              <w:spacing w:after="0" w:line="240" w:lineRule="auto"/>
              <w:rPr>
                <w:rFonts w:eastAsia="Times New Roman" w:cs="Calibri"/>
                <w:noProof/>
                <w:color w:val="006100"/>
                <w:sz w:val="18"/>
                <w:szCs w:val="18"/>
              </w:rPr>
            </w:pPr>
            <w:r>
              <w:rPr>
                <w:noProof/>
                <w:color w:val="006100"/>
                <w:sz w:val="18"/>
                <w:szCs w:val="18"/>
              </w:rPr>
              <w:t>5. itsenäisten suunnitelmien laatiminen taajamateiden karakterisointia varten.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Paikalliset kaupunkisuunnitelmat, joihin sisältyy </w:t>
            </w:r>
            <w:r>
              <w:rPr>
                <w:noProof/>
                <w:color w:val="006100"/>
                <w:sz w:val="18"/>
                <w:szCs w:val="18"/>
              </w:rPr>
              <w:t>erityinen luku ilmastonmuutokseen liittyvistä toimenpiteistä ja ilmastoon liittyvien riskien ehkäisemisestä ja hallinnasta;</w:t>
            </w:r>
          </w:p>
          <w:p w:rsidR="00B0093E" w:rsidRDefault="00B0093E">
            <w:pPr>
              <w:spacing w:after="0" w:line="240" w:lineRule="auto"/>
              <w:rPr>
                <w:rFonts w:eastAsia="Times New Roman" w:cs="Calibri"/>
                <w:noProof/>
                <w:color w:val="006100"/>
                <w:sz w:val="18"/>
                <w:szCs w:val="18"/>
                <w:lang w:eastAsia="en-GB"/>
              </w:rPr>
            </w:pPr>
          </w:p>
        </w:tc>
      </w:tr>
      <w:tr w:rsidR="00B0093E">
        <w:trPr>
          <w:trHeight w:val="313"/>
          <w:tblHeader/>
        </w:trPr>
        <w:tc>
          <w:tcPr>
            <w:tcW w:w="102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w:t>
            </w:r>
          </w:p>
        </w:tc>
        <w:tc>
          <w:tcPr>
            <w:tcW w:w="19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16879_Kaupunkisuunnitelmien valmistelu kaupunkipolitiikan uudistuksen täytäntöönpanossa</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Kaupunkisuunnitelmia koskeva palkinto</w:t>
            </w:r>
          </w:p>
        </w:tc>
        <w:tc>
          <w:tcPr>
            <w:tcW w:w="144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112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8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4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100-prosenttisen hankintasopimuksen tekemisestä (kaikkien toimien osalta):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paikallisten kaupunkisuunnitelmien laatiminen; </w:t>
            </w:r>
          </w:p>
          <w:p w:rsidR="00B0093E" w:rsidRDefault="00762CA6">
            <w:pPr>
              <w:spacing w:after="0" w:line="240" w:lineRule="auto"/>
              <w:rPr>
                <w:rFonts w:eastAsia="Times New Roman" w:cs="Calibri"/>
                <w:noProof/>
                <w:color w:val="006100"/>
                <w:sz w:val="18"/>
                <w:szCs w:val="18"/>
              </w:rPr>
            </w:pPr>
            <w:r>
              <w:rPr>
                <w:noProof/>
                <w:color w:val="006100"/>
                <w:sz w:val="18"/>
                <w:szCs w:val="18"/>
              </w:rPr>
              <w:t>2. erityisten kaupunkisuunnitel</w:t>
            </w:r>
            <w:r>
              <w:rPr>
                <w:noProof/>
                <w:color w:val="006100"/>
                <w:sz w:val="18"/>
                <w:szCs w:val="18"/>
              </w:rPr>
              <w:t>mien laatiminen;</w:t>
            </w:r>
          </w:p>
          <w:p w:rsidR="00B0093E" w:rsidRDefault="00762CA6">
            <w:pPr>
              <w:spacing w:after="0" w:line="240" w:lineRule="auto"/>
              <w:rPr>
                <w:rFonts w:eastAsia="Times New Roman" w:cs="Calibri"/>
                <w:noProof/>
                <w:color w:val="006100"/>
                <w:sz w:val="18"/>
                <w:szCs w:val="18"/>
              </w:rPr>
            </w:pPr>
            <w:r>
              <w:rPr>
                <w:noProof/>
                <w:color w:val="006100"/>
                <w:sz w:val="18"/>
                <w:szCs w:val="18"/>
              </w:rPr>
              <w:t>3. kehitysoikeuksien siirtovyöhykkeiden määrittelemistä koskevien riippumattomien suunnitelmien laatiminen;</w:t>
            </w:r>
          </w:p>
          <w:p w:rsidR="00B0093E" w:rsidRDefault="00762CA6">
            <w:pPr>
              <w:spacing w:after="0" w:line="240" w:lineRule="auto"/>
              <w:rPr>
                <w:rFonts w:eastAsia="Times New Roman" w:cs="Calibri"/>
                <w:noProof/>
                <w:color w:val="006100"/>
                <w:sz w:val="18"/>
                <w:szCs w:val="18"/>
              </w:rPr>
            </w:pPr>
            <w:r>
              <w:rPr>
                <w:noProof/>
                <w:color w:val="006100"/>
                <w:sz w:val="18"/>
                <w:szCs w:val="18"/>
              </w:rPr>
              <w:t>4. selvitysten rajojen määrittämistä koskevien riippumattomien suunnitelmien laatiminen; ja</w:t>
            </w:r>
          </w:p>
          <w:p w:rsidR="00B0093E" w:rsidRDefault="00762CA6">
            <w:pPr>
              <w:spacing w:after="0" w:line="240" w:lineRule="auto"/>
              <w:rPr>
                <w:rFonts w:eastAsia="Times New Roman" w:cs="Calibri"/>
                <w:noProof/>
                <w:color w:val="006100"/>
                <w:sz w:val="18"/>
                <w:szCs w:val="18"/>
              </w:rPr>
            </w:pPr>
            <w:r>
              <w:rPr>
                <w:noProof/>
                <w:color w:val="006100"/>
                <w:sz w:val="18"/>
                <w:szCs w:val="18"/>
              </w:rPr>
              <w:t>5. itsenäisten suunnitelmien laatiminen</w:t>
            </w:r>
            <w:r>
              <w:rPr>
                <w:noProof/>
                <w:color w:val="006100"/>
                <w:sz w:val="18"/>
                <w:szCs w:val="18"/>
              </w:rPr>
              <w:t xml:space="preserve"> taajamateiden karakterisointia varten.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Toimet koskevat yhteensä 750 kuntaa. Paikalliset kaupunkisuunnitelmat, joihin sisältyy erityinen luku ilmastonmuutokseen liittyvistä toimenpiteistä ja ilmastoon liittyvien riskien ehkäisemisestä ja hallinnasta;</w:t>
            </w:r>
          </w:p>
        </w:tc>
      </w:tr>
      <w:tr w:rsidR="00B0093E">
        <w:trPr>
          <w:trHeight w:val="313"/>
          <w:tblHeader/>
        </w:trPr>
        <w:tc>
          <w:tcPr>
            <w:tcW w:w="102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w:t>
            </w:r>
          </w:p>
        </w:tc>
        <w:tc>
          <w:tcPr>
            <w:tcW w:w="19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16879_Kaupunkisuunnitelmien valmistelu kaupunkipolitiikan uudistuksen täytäntöönpanossa</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1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Kaupunkisuunnittelun loppuun saattaminen</w:t>
            </w:r>
          </w:p>
        </w:tc>
        <w:tc>
          <w:tcPr>
            <w:tcW w:w="144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2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Niiden kunnallisten yksiköiden lukumäärä, joiden osalta hankkeet on saatettu päätökseen</w:t>
            </w:r>
          </w:p>
        </w:tc>
        <w:tc>
          <w:tcPr>
            <w:tcW w:w="12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750</w:t>
            </w:r>
          </w:p>
        </w:tc>
        <w:tc>
          <w:tcPr>
            <w:tcW w:w="8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4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Paikallisten kaupunkisuunnitelmien loppuun saattaminen 700 kunnallisessa yksikössä, kehitysoikeuksien siirtoalueet 50 kuntayksikössä; siirtokuntien rajaaminen 50 kunnalliseen yksikköön; ja kunnallisten teiden karakterisointi 120 kunnallisessa yksi</w:t>
            </w:r>
            <w:r>
              <w:rPr>
                <w:noProof/>
                <w:color w:val="006100"/>
                <w:sz w:val="18"/>
                <w:szCs w:val="18"/>
              </w:rPr>
              <w:t>kössä ja viiden erityisen kaupunkisuunnitelman laatiminen. Kun otetaan huomioon, että osa näistä toimista toteutetaan samassa kunnallisessa yksikössä, toimet on saatettava päätökseen yhteensä 750 kunnan yksikössä.</w:t>
            </w:r>
          </w:p>
        </w:tc>
      </w:tr>
      <w:tr w:rsidR="00B0093E">
        <w:trPr>
          <w:trHeight w:val="313"/>
          <w:tblHeader/>
        </w:trPr>
        <w:tc>
          <w:tcPr>
            <w:tcW w:w="102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w:t>
            </w:r>
          </w:p>
        </w:tc>
        <w:tc>
          <w:tcPr>
            <w:tcW w:w="19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2 - 1.2. Kunnostaminen – </w:t>
            </w:r>
            <w:r>
              <w:rPr>
                <w:noProof/>
                <w:color w:val="006100"/>
                <w:sz w:val="18"/>
                <w:szCs w:val="18"/>
              </w:rPr>
              <w:t>16894_Uusiutuvia energialähteitä, teollisuutta, matkailua ja vesiviljelyä koskevan uuden erityisen aluesuunnittelun perustaminen</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Välitavoite</w:t>
            </w:r>
          </w:p>
        </w:tc>
        <w:tc>
          <w:tcPr>
            <w:tcW w:w="11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Erityisten aluekehysten hyväksyminen</w:t>
            </w:r>
          </w:p>
        </w:tc>
        <w:tc>
          <w:tcPr>
            <w:tcW w:w="144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Neljän uusiutuvia energialähteitä, matkailua, teollisuutta ja vesiviljelyä </w:t>
            </w:r>
            <w:r>
              <w:rPr>
                <w:noProof/>
                <w:color w:val="006100"/>
                <w:sz w:val="18"/>
                <w:szCs w:val="18"/>
              </w:rPr>
              <w:t>koskevan erityisen aluekehyksen hyväksyminen</w:t>
            </w:r>
          </w:p>
        </w:tc>
        <w:tc>
          <w:tcPr>
            <w:tcW w:w="112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8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4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Ympäristöministeriö hyväksyi neljä erityistä aluekehystä, jotka koskevat uusiutuvia energialähteitä, matkailua, teollisuutta ja vesiviljelyä.</w:t>
            </w:r>
          </w:p>
        </w:tc>
      </w:tr>
      <w:tr w:rsidR="00B0093E">
        <w:trPr>
          <w:trHeight w:val="313"/>
          <w:tblHeader/>
        </w:trPr>
        <w:tc>
          <w:tcPr>
            <w:tcW w:w="102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31</w:t>
            </w:r>
          </w:p>
        </w:tc>
        <w:tc>
          <w:tcPr>
            <w:tcW w:w="19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2 - 1.2. Kunnostaminen – 16891_Uuden </w:t>
            </w:r>
            <w:r>
              <w:rPr>
                <w:noProof/>
                <w:color w:val="006100"/>
                <w:sz w:val="18"/>
                <w:szCs w:val="18"/>
              </w:rPr>
              <w:t>merialuesuunnittelun perustaminen</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p w:rsidR="00B0093E" w:rsidRDefault="00B0093E">
            <w:pPr>
              <w:spacing w:after="0" w:line="240" w:lineRule="auto"/>
              <w:rPr>
                <w:rFonts w:eastAsia="Times New Roman" w:cs="Calibri"/>
                <w:noProof/>
                <w:color w:val="006100"/>
                <w:sz w:val="18"/>
                <w:szCs w:val="18"/>
                <w:lang w:eastAsia="en-GB"/>
              </w:rPr>
            </w:pPr>
          </w:p>
        </w:tc>
        <w:tc>
          <w:tcPr>
            <w:tcW w:w="11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Meristrategian hyväksyminen</w:t>
            </w:r>
          </w:p>
        </w:tc>
        <w:tc>
          <w:tcPr>
            <w:tcW w:w="144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Uusi merten aluestrategia hyväksytty</w:t>
            </w:r>
          </w:p>
        </w:tc>
        <w:tc>
          <w:tcPr>
            <w:tcW w:w="112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8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4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Ympäristö- ja energiaministeriö hyväksyy merten aluesuunnittelustrategian. </w:t>
            </w:r>
          </w:p>
        </w:tc>
      </w:tr>
    </w:tbl>
    <w:p w:rsidR="00B0093E" w:rsidRDefault="00B0093E">
      <w:pPr>
        <w:spacing w:before="120" w:after="120" w:line="240" w:lineRule="auto"/>
        <w:ind w:left="709"/>
        <w:rPr>
          <w:rFonts w:ascii="Times New Roman" w:hAnsi="Times New Roman" w:cs="Times New Roman"/>
          <w:noProof/>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Ryhmä 2: Yritysten ja julkisten rakennusten </w:t>
      </w:r>
      <w:r>
        <w:rPr>
          <w:rFonts w:ascii="Cambria" w:hAnsi="Cambria"/>
          <w:noProof/>
          <w:color w:val="365F91"/>
          <w:sz w:val="24"/>
        </w:rPr>
        <w:t>energiaperuskorjaus</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Tähän ryhmään kuuluvat seuraavat toimenpiteet:</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Energia ja yrittäjyys (tunniste: 16874)</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Julkisen sektorin rakennusten ja julkisyhteisöjen energiainfrastruktuurin energiaparannukset (tunniste: 16876)</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Energiaköyhyyttä koskeva toimint</w:t>
      </w:r>
      <w:r>
        <w:rPr>
          <w:rFonts w:ascii="Times New Roman" w:hAnsi="Times New Roman"/>
          <w:noProof/>
          <w:sz w:val="24"/>
        </w:rPr>
        <w:t>asuunnitelma (toimenpiteen tunniste: 16920)</w:t>
      </w:r>
    </w:p>
    <w:tbl>
      <w:tblPr>
        <w:tblpPr w:leftFromText="180" w:rightFromText="180" w:vertAnchor="text" w:tblpX="113" w:tblpY="1"/>
        <w:tblOverlap w:val="never"/>
        <w:tblW w:w="15417" w:type="dxa"/>
        <w:tblLayout w:type="fixed"/>
        <w:tblLook w:val="04A0" w:firstRow="1" w:lastRow="0" w:firstColumn="1" w:lastColumn="0" w:noHBand="0" w:noVBand="1"/>
      </w:tblPr>
      <w:tblGrid>
        <w:gridCol w:w="959"/>
        <w:gridCol w:w="1815"/>
        <w:gridCol w:w="1020"/>
        <w:gridCol w:w="1134"/>
        <w:gridCol w:w="1417"/>
        <w:gridCol w:w="1091"/>
        <w:gridCol w:w="999"/>
        <w:gridCol w:w="985"/>
        <w:gridCol w:w="894"/>
        <w:gridCol w:w="709"/>
        <w:gridCol w:w="4394"/>
      </w:tblGrid>
      <w:tr w:rsidR="00B0093E">
        <w:trPr>
          <w:trHeight w:val="939"/>
          <w:tblHeader/>
        </w:trPr>
        <w:tc>
          <w:tcPr>
            <w:tcW w:w="95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81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134"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3075"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603"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394"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Kunkin </w:t>
            </w:r>
            <w:r>
              <w:rPr>
                <w:rFonts w:ascii="Times New Roman" w:hAnsi="Times New Roman"/>
                <w:b/>
                <w:bCs/>
                <w:noProof/>
                <w:sz w:val="18"/>
                <w:szCs w:val="18"/>
              </w:rPr>
              <w:t>välitavoitteen ja tavoitteen kuvaus</w:t>
            </w:r>
          </w:p>
        </w:tc>
      </w:tr>
      <w:tr w:rsidR="00B0093E">
        <w:trPr>
          <w:trHeight w:val="1027"/>
        </w:trPr>
        <w:tc>
          <w:tcPr>
            <w:tcW w:w="95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9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9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985"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94"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394"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32</w:t>
            </w:r>
          </w:p>
        </w:tc>
        <w:tc>
          <w:tcPr>
            <w:tcW w:w="181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16920_Energiaköyhyyden toimintasuunnitelma</w:t>
            </w:r>
          </w:p>
        </w:tc>
        <w:tc>
          <w:tcPr>
            <w:tcW w:w="10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Energiaköy-hyys – toimintasuunnitelman hyväksyminen</w:t>
            </w:r>
          </w:p>
          <w:p w:rsidR="00B0093E" w:rsidRDefault="00B0093E">
            <w:pPr>
              <w:spacing w:after="0" w:line="240" w:lineRule="auto"/>
              <w:rPr>
                <w:rFonts w:eastAsia="Times New Roman" w:cs="Calibri"/>
                <w:noProof/>
                <w:color w:val="006100"/>
                <w:sz w:val="18"/>
                <w:szCs w:val="18"/>
                <w:lang w:eastAsia="en-GB"/>
              </w:rPr>
            </w:pPr>
          </w:p>
        </w:tc>
        <w:tc>
          <w:tcPr>
            <w:tcW w:w="14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päätös tulee voimaan.</w:t>
            </w:r>
          </w:p>
        </w:tc>
        <w:tc>
          <w:tcPr>
            <w:tcW w:w="10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3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Voimaan tulee ympäristö- ja energiaministeriön päätö</w:t>
            </w:r>
            <w:r>
              <w:rPr>
                <w:noProof/>
                <w:color w:val="006100"/>
                <w:sz w:val="18"/>
                <w:szCs w:val="18"/>
              </w:rPr>
              <w:t>s, jolla hyväksytään energiaköyhyyttä koskeva toimintasuunnitelma, johon sisältyy kolmenlaisia poliittisia toimenpiteitä:</w:t>
            </w:r>
          </w:p>
          <w:p w:rsidR="00B0093E" w:rsidRDefault="00762CA6">
            <w:pPr>
              <w:spacing w:after="0" w:line="240" w:lineRule="auto"/>
              <w:rPr>
                <w:rFonts w:eastAsia="Times New Roman" w:cs="Calibri"/>
                <w:noProof/>
                <w:color w:val="006100"/>
                <w:sz w:val="18"/>
                <w:szCs w:val="18"/>
              </w:rPr>
            </w:pPr>
            <w:r>
              <w:rPr>
                <w:noProof/>
                <w:color w:val="006100"/>
                <w:sz w:val="18"/>
                <w:szCs w:val="18"/>
              </w:rPr>
              <w:t>– tiedotus- ja valistustoimet;</w:t>
            </w:r>
          </w:p>
          <w:p w:rsidR="00B0093E" w:rsidRDefault="00762CA6">
            <w:pPr>
              <w:spacing w:after="0" w:line="240" w:lineRule="auto"/>
              <w:rPr>
                <w:rFonts w:eastAsia="Times New Roman" w:cs="Calibri"/>
                <w:noProof/>
                <w:color w:val="006100"/>
                <w:sz w:val="18"/>
                <w:szCs w:val="18"/>
              </w:rPr>
            </w:pPr>
            <w:r>
              <w:rPr>
                <w:noProof/>
                <w:color w:val="006100"/>
                <w:sz w:val="18"/>
                <w:szCs w:val="18"/>
              </w:rPr>
              <w:t>— toimenpiteet energiaköyhien kotitalouksien suojelemiseksi lyhyellä aikavälillä, mukaan lukien 1) ener</w:t>
            </w:r>
            <w:r>
              <w:rPr>
                <w:noProof/>
                <w:color w:val="006100"/>
                <w:sz w:val="18"/>
                <w:szCs w:val="18"/>
              </w:rPr>
              <w:t>giaköyhyydestä kärsivien kotitalouksien määritelmä erityisten määrällisten kriteerien avulla ja 2) erityinen prosessi energiaköyhyyden kehityksen seuraamiseksi ja arvioimiseksi toimintasuunnitelmassa ehdotetun mekanismin mukaisesti ja asiaa koskevan EU:n l</w:t>
            </w:r>
            <w:r>
              <w:rPr>
                <w:noProof/>
                <w:color w:val="006100"/>
                <w:sz w:val="18"/>
                <w:szCs w:val="18"/>
              </w:rPr>
              <w:t>ainsäädännön mukaisesti; ja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rahoitustoimenpiteet: rahoitusmekanismien perustaminen energiahaavoittumiselle alttiiden kotitalouksien ja muiden yhteiskuntaryhmien asuinrakennusten energiaparannuksia varten, joilla on erityiset sähkönkulutusmallit. Näillä </w:t>
            </w:r>
            <w:r>
              <w:rPr>
                <w:noProof/>
                <w:color w:val="006100"/>
                <w:sz w:val="18"/>
                <w:szCs w:val="18"/>
              </w:rPr>
              <w:t>rahoitustoimenpiteillä on puututtava Kreikan energiaköyhyyttä koskeviin ongelmiin kansallisessa energia- ja ilmastosuunnitelmassa kuvatulla tavalla.</w:t>
            </w:r>
          </w:p>
        </w:tc>
      </w:tr>
      <w:tr w:rsidR="00B0093E">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33</w:t>
            </w:r>
          </w:p>
        </w:tc>
        <w:tc>
          <w:tcPr>
            <w:tcW w:w="181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16874_Energia ja yrittäjyys</w:t>
            </w:r>
          </w:p>
        </w:tc>
        <w:tc>
          <w:tcPr>
            <w:tcW w:w="10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Yksityisen sektorin energiatehokkuus –</w:t>
            </w:r>
            <w:r>
              <w:rPr>
                <w:noProof/>
                <w:color w:val="006100"/>
                <w:sz w:val="18"/>
                <w:szCs w:val="18"/>
              </w:rPr>
              <w:t xml:space="preserve"> hyväksytyt hakemukset</w:t>
            </w:r>
          </w:p>
        </w:tc>
        <w:tc>
          <w:tcPr>
            <w:tcW w:w="14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ilmoitus valikoitujen tukitoimien myöntämisestä yksityisen sektorin yksiköille.</w:t>
            </w:r>
          </w:p>
        </w:tc>
        <w:tc>
          <w:tcPr>
            <w:tcW w:w="10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3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Ympäristö- ja energiaministeriö hyväksyy 9 700 yksityisen sektorin yksikön hakemukset, joilla varmistetaan, </w:t>
            </w:r>
            <w:r>
              <w:rPr>
                <w:noProof/>
                <w:color w:val="006100"/>
                <w:sz w:val="18"/>
                <w:szCs w:val="18"/>
              </w:rPr>
              <w:t>että kasvihuonekaasupäästöjä vähennetään keskimäärin vähintään 30 prosenttia verrattuna yksityisen sektorin toimijoiden nykyiseen tilanteeseen (kuten ennen toimenpiteitä tehdyissä energiakatselmuksissa todetaan). Tukitoimet on toteutettava valinta-/tukikel</w:t>
            </w:r>
            <w:r>
              <w:rPr>
                <w:noProof/>
                <w:color w:val="006100"/>
                <w:sz w:val="18"/>
                <w:szCs w:val="18"/>
              </w:rPr>
              <w:t>poisuusperusteiden mukaisesti, ja niissä on varmistettava, että valitut hankkeet ovat ”ei merkittävää haittaa” -periaatteen teknisten ohjeiden (2021/C58/01) mukaisia käyttämällä poissulkemisluetteloa sekä vaatimusta asiaankuuluvan EU:n ja kansallisen ympär</w:t>
            </w:r>
            <w:r>
              <w:rPr>
                <w:noProof/>
                <w:color w:val="006100"/>
                <w:sz w:val="18"/>
                <w:szCs w:val="18"/>
              </w:rPr>
              <w:t>istölainsäädännön noudattamisesta.</w:t>
            </w:r>
          </w:p>
        </w:tc>
      </w:tr>
      <w:tr w:rsidR="00B0093E">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34</w:t>
            </w:r>
          </w:p>
        </w:tc>
        <w:tc>
          <w:tcPr>
            <w:tcW w:w="181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2 - 1.2. Kunnostaminen – 16876_Julkisen sektorin rakennusten energiatehokkuuden parantaminen </w:t>
            </w:r>
          </w:p>
        </w:tc>
        <w:tc>
          <w:tcPr>
            <w:tcW w:w="10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Julkisten rakennusten energiatehokkuus – hyväksytyt hakemukset</w:t>
            </w:r>
          </w:p>
        </w:tc>
        <w:tc>
          <w:tcPr>
            <w:tcW w:w="14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Ympäristö- ja energiaministeriön ilmoitus </w:t>
            </w:r>
            <w:r>
              <w:rPr>
                <w:noProof/>
                <w:color w:val="006100"/>
                <w:sz w:val="18"/>
                <w:szCs w:val="18"/>
              </w:rPr>
              <w:t>hyväksytyistä hakemuksista, jotka koskevat julkisen sektorin rakennuksissa toteutettavia valikoituja toimia</w:t>
            </w:r>
          </w:p>
        </w:tc>
        <w:tc>
          <w:tcPr>
            <w:tcW w:w="10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3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 hyväksyy 210 julkisen sektorin rakennusta koskevat hakemukset, joilla varmistetaan, että kyseisten rakenn</w:t>
            </w:r>
            <w:r>
              <w:rPr>
                <w:noProof/>
                <w:color w:val="006100"/>
                <w:sz w:val="18"/>
                <w:szCs w:val="18"/>
              </w:rPr>
              <w:t xml:space="preserve">usten kasvihuonekaasupäästöt vähenevät keskimäärin vähintään 30 prosenttia verrattuna niiden nykyiseen tilanteeseen (kuten ennen toimenpiteitä tehdyissä energiakatselmuksissa todetaan). </w:t>
            </w:r>
          </w:p>
          <w:p w:rsidR="00B0093E" w:rsidRDefault="00762CA6">
            <w:pPr>
              <w:spacing w:after="0" w:line="240" w:lineRule="auto"/>
              <w:rPr>
                <w:rFonts w:eastAsia="Times New Roman" w:cs="Calibri"/>
                <w:noProof/>
                <w:color w:val="006100"/>
                <w:sz w:val="18"/>
                <w:szCs w:val="18"/>
              </w:rPr>
            </w:pPr>
            <w:r>
              <w:rPr>
                <w:noProof/>
                <w:color w:val="006100"/>
                <w:sz w:val="18"/>
                <w:szCs w:val="18"/>
                <w:highlight w:val="magenta"/>
              </w:rPr>
              <w:t xml:space="preserve"> </w:t>
            </w:r>
          </w:p>
          <w:p w:rsidR="00B0093E" w:rsidRDefault="00762CA6">
            <w:pPr>
              <w:spacing w:after="0" w:line="240" w:lineRule="auto"/>
              <w:rPr>
                <w:rFonts w:eastAsia="Times New Roman" w:cs="Calibri"/>
                <w:noProof/>
                <w:color w:val="006100"/>
                <w:sz w:val="18"/>
                <w:szCs w:val="18"/>
              </w:rPr>
            </w:pPr>
            <w:r>
              <w:rPr>
                <w:noProof/>
                <w:color w:val="006100"/>
                <w:sz w:val="18"/>
                <w:szCs w:val="18"/>
              </w:rPr>
              <w:t>Julkisen sektorin rakennusten energiatehokkuutta parantavaa ohjelma</w:t>
            </w:r>
            <w:r>
              <w:rPr>
                <w:noProof/>
                <w:color w:val="006100"/>
                <w:sz w:val="18"/>
                <w:szCs w:val="18"/>
              </w:rPr>
              <w:t>a varten on luotu oikeudellinen kehys, joka mahdollistaa energiatehokkuussopimusten tekemisen.</w:t>
            </w:r>
          </w:p>
        </w:tc>
      </w:tr>
      <w:tr w:rsidR="00B0093E">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35</w:t>
            </w:r>
          </w:p>
        </w:tc>
        <w:tc>
          <w:tcPr>
            <w:tcW w:w="181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16876_Julkisen sektorin rakennusten energiatehokkuuden parantaminen</w:t>
            </w:r>
          </w:p>
        </w:tc>
        <w:tc>
          <w:tcPr>
            <w:tcW w:w="10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Julkisten raken-nusten energia-tehokkuus – loppuun </w:t>
            </w:r>
            <w:r>
              <w:rPr>
                <w:noProof/>
                <w:color w:val="006100"/>
                <w:sz w:val="18"/>
                <w:szCs w:val="18"/>
              </w:rPr>
              <w:t>saatettu</w:t>
            </w:r>
          </w:p>
        </w:tc>
        <w:tc>
          <w:tcPr>
            <w:tcW w:w="141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9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Niiden raken-nusten lukumäärä, joihin kohdistetut toimet on saatettu päätökseen </w:t>
            </w:r>
          </w:p>
        </w:tc>
        <w:tc>
          <w:tcPr>
            <w:tcW w:w="99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98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210</w:t>
            </w:r>
          </w:p>
        </w:tc>
        <w:tc>
          <w:tcPr>
            <w:tcW w:w="8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cyan"/>
              </w:rPr>
            </w:pPr>
            <w:r>
              <w:rPr>
                <w:noProof/>
                <w:color w:val="006100"/>
                <w:sz w:val="18"/>
                <w:szCs w:val="18"/>
              </w:rPr>
              <w:t>Energiatehokkuuden parantamiseen tähtäävät toimet, jotka on toteutettu julkisen sektorin rakennuksissa (210 rakennuksessa), joiden kasvihuonekaasupääst</w:t>
            </w:r>
            <w:r>
              <w:rPr>
                <w:noProof/>
                <w:color w:val="006100"/>
                <w:sz w:val="18"/>
                <w:szCs w:val="18"/>
              </w:rPr>
              <w:t>öjä vähennetään keskimäärin vähintään 30 prosenttia, kuten ennen tukitoimia tehdyissä energiakatselmuksissa todetaan.</w:t>
            </w:r>
          </w:p>
        </w:tc>
      </w:tr>
      <w:tr w:rsidR="00B0093E">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36</w:t>
            </w:r>
          </w:p>
        </w:tc>
        <w:tc>
          <w:tcPr>
            <w:tcW w:w="181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16874_Energia ja yrittäjyys</w:t>
            </w:r>
          </w:p>
        </w:tc>
        <w:tc>
          <w:tcPr>
            <w:tcW w:w="10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Yksityinen energiate-hokkuus – valmis #2</w:t>
            </w:r>
          </w:p>
        </w:tc>
        <w:tc>
          <w:tcPr>
            <w:tcW w:w="141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9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Niiden yksityisen sektorin </w:t>
            </w:r>
            <w:r>
              <w:rPr>
                <w:noProof/>
                <w:color w:val="006100"/>
                <w:sz w:val="18"/>
                <w:szCs w:val="18"/>
              </w:rPr>
              <w:t>toimijoiden lukumäärä, joilla on loppuun saatettuja tukitoimia t</w:t>
            </w:r>
          </w:p>
        </w:tc>
        <w:tc>
          <w:tcPr>
            <w:tcW w:w="99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98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9 700</w:t>
            </w:r>
          </w:p>
        </w:tc>
        <w:tc>
          <w:tcPr>
            <w:tcW w:w="8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Energiatehokkuuden parantamiseen tähtäävät toimet, jotka on toteutettu valikoitujen yksityisen sektorin toimijoiden osalta (9 700 yksityisen sektorin toimijaa), joiden kasvihu</w:t>
            </w:r>
            <w:r>
              <w:rPr>
                <w:noProof/>
                <w:color w:val="006100"/>
                <w:sz w:val="18"/>
                <w:szCs w:val="18"/>
              </w:rPr>
              <w:t>onekaasupäästöjä vähennetään keskimäärin vähintään 30 prosenttia.</w:t>
            </w:r>
          </w:p>
        </w:tc>
      </w:tr>
    </w:tbl>
    <w:p w:rsidR="00B0093E" w:rsidRDefault="00B0093E">
      <w:pPr>
        <w:spacing w:before="120" w:after="120" w:line="240" w:lineRule="auto"/>
        <w:jc w:val="both"/>
        <w:rPr>
          <w:rFonts w:ascii="Times New Roman" w:hAnsi="Times New Roman" w:cs="Times New Roman"/>
          <w:noProof/>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3: Asuinalueilla ja rakennuskannassa toteutettavat toimet</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Tähän ryhmään kuuluvat seuraavat toimenpiteet:</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Asuinalueilla ja rakennuskannassa toteutettavat toimet (tunniste: 16873)</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r>
      <w:r>
        <w:rPr>
          <w:rFonts w:ascii="Times New Roman" w:hAnsi="Times New Roman"/>
          <w:noProof/>
          <w:sz w:val="24"/>
        </w:rPr>
        <w:t>Infrastruktuurin kehittäminen ja rakennusten kunnostus entisessä kuninkaallisessa kiinteistössä Tatoissa (tunniste: 16875)</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Ateenan olympiaurheilukeskus (tunniste: 16932)</w:t>
      </w:r>
    </w:p>
    <w:tbl>
      <w:tblPr>
        <w:tblW w:w="15502" w:type="dxa"/>
        <w:tblInd w:w="113" w:type="dxa"/>
        <w:tblLayout w:type="fixed"/>
        <w:tblLook w:val="04A0" w:firstRow="1" w:lastRow="0" w:firstColumn="1" w:lastColumn="0" w:noHBand="0" w:noVBand="1"/>
      </w:tblPr>
      <w:tblGrid>
        <w:gridCol w:w="1129"/>
        <w:gridCol w:w="1663"/>
        <w:gridCol w:w="963"/>
        <w:gridCol w:w="1343"/>
        <w:gridCol w:w="1134"/>
        <w:gridCol w:w="1276"/>
        <w:gridCol w:w="992"/>
        <w:gridCol w:w="851"/>
        <w:gridCol w:w="850"/>
        <w:gridCol w:w="709"/>
        <w:gridCol w:w="4592"/>
      </w:tblGrid>
      <w:tr w:rsidR="00B0093E">
        <w:trPr>
          <w:trHeight w:val="939"/>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66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43"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w:t>
            </w:r>
            <w:r>
              <w:rPr>
                <w:rFonts w:ascii="Times New Roman" w:hAnsi="Times New Roman"/>
                <w:b/>
                <w:bCs/>
                <w:noProof/>
                <w:sz w:val="18"/>
                <w:szCs w:val="18"/>
              </w:rPr>
              <w:t>indikaat-torit   (välitavoitteiden osalta)</w:t>
            </w:r>
          </w:p>
        </w:tc>
        <w:tc>
          <w:tcPr>
            <w:tcW w:w="3119"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592"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43"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7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9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592"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37</w:t>
            </w:r>
          </w:p>
        </w:tc>
        <w:tc>
          <w:tcPr>
            <w:tcW w:w="16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w:t>
            </w:r>
            <w:r>
              <w:rPr>
                <w:noProof/>
                <w:color w:val="006100"/>
                <w:sz w:val="18"/>
                <w:szCs w:val="18"/>
              </w:rPr>
              <w:t xml:space="preserve"> 1.2. Kunnostaminen – 16932_Ateenan olympialaisten urheilukeskus</w:t>
            </w:r>
          </w:p>
        </w:tc>
        <w:tc>
          <w:tcPr>
            <w:tcW w:w="9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OAKA – hankesopimuksen tekeminen</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sopimuksen (sopimusten) tekemisestä</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5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sopimuksen tekemisestä yksityisen sektorin kumppanin (kumppanien) nimeämiseksi su</w:t>
            </w:r>
            <w:r>
              <w:rPr>
                <w:noProof/>
                <w:color w:val="006100"/>
                <w:sz w:val="18"/>
                <w:szCs w:val="18"/>
              </w:rPr>
              <w:t xml:space="preserve">orittamaan vuoden 2023 loppuun mennessä rakennus- ja korjaustöitä, joilla parannetaan energiatehokkuutta seuraavien osalta: i) keskusstadion; ii) mekaaniset ja sähkötekniset työt; ja iii) ulkotilat ja töiden aloittaminen. </w:t>
            </w:r>
          </w:p>
        </w:tc>
      </w:tr>
      <w:tr w:rsidR="00B0093E">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38</w:t>
            </w:r>
          </w:p>
        </w:tc>
        <w:tc>
          <w:tcPr>
            <w:tcW w:w="16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2 - 1.2. Kunnostaminen – </w:t>
            </w:r>
            <w:r>
              <w:rPr>
                <w:noProof/>
                <w:color w:val="006100"/>
                <w:sz w:val="18"/>
                <w:szCs w:val="18"/>
              </w:rPr>
              <w:t>16873_ Asuntoalueisiin ja rakennuskantaan liittyvät toimet</w:t>
            </w:r>
          </w:p>
        </w:tc>
        <w:tc>
          <w:tcPr>
            <w:tcW w:w="9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Kaupunkeja koskevat toimenpiteet – hankintasopimukset</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sopimuksen tekemisestä</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5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sopimuksen tekemisestä yksityisen sektorin kumppanin (kumppanien) nimeämiseksi suorittamaan rakennustöitä 30 päivään syyskuuta 2025 mennessä </w:t>
            </w:r>
          </w:p>
          <w:p w:rsidR="00B0093E" w:rsidRDefault="00762CA6">
            <w:pPr>
              <w:spacing w:after="0" w:line="240" w:lineRule="auto"/>
              <w:rPr>
                <w:rFonts w:eastAsia="Times New Roman" w:cs="Calibri"/>
                <w:noProof/>
                <w:color w:val="006100"/>
                <w:sz w:val="18"/>
                <w:szCs w:val="18"/>
              </w:rPr>
            </w:pPr>
            <w:r>
              <w:rPr>
                <w:noProof/>
                <w:color w:val="006100"/>
                <w:sz w:val="18"/>
                <w:szCs w:val="18"/>
              </w:rPr>
              <w:t>i) kaupunkiympäristön ja julkisten tilojen parantaminen valituissa kunnissa sellaisen avoimen ehdotuspyyn</w:t>
            </w:r>
            <w:r>
              <w:rPr>
                <w:noProof/>
                <w:color w:val="006100"/>
                <w:sz w:val="18"/>
                <w:szCs w:val="18"/>
              </w:rPr>
              <w:t>nön perusteella, jolla pyritään parantamaan ilmastokestävyyttä;</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ii) Votanikosin/Elaionasin entisen teollisuusalueen elvyttäminen, mukaan lukien laivaston sotilasleirin julkinen uudelleenkäyttö, Ateenan maatalousyliopiston (AUA) kampuksen kunnostaminen; </w:t>
            </w:r>
          </w:p>
          <w:p w:rsidR="00B0093E" w:rsidRDefault="00762CA6">
            <w:pPr>
              <w:spacing w:after="0" w:line="240" w:lineRule="auto"/>
              <w:rPr>
                <w:rFonts w:eastAsia="Times New Roman" w:cs="Calibri"/>
                <w:noProof/>
                <w:color w:val="006100"/>
                <w:sz w:val="18"/>
                <w:szCs w:val="18"/>
              </w:rPr>
            </w:pPr>
            <w:r>
              <w:rPr>
                <w:noProof/>
                <w:color w:val="006100"/>
                <w:sz w:val="18"/>
                <w:szCs w:val="18"/>
              </w:rPr>
              <w:t>Ii</w:t>
            </w:r>
            <w:r>
              <w:rPr>
                <w:noProof/>
                <w:color w:val="006100"/>
                <w:sz w:val="18"/>
                <w:szCs w:val="18"/>
              </w:rPr>
              <w:t xml:space="preserve">i) Ateenan rannikko: pyöräilyinfrastruktuuri; ja </w:t>
            </w:r>
          </w:p>
          <w:p w:rsidR="00B0093E" w:rsidRDefault="00762CA6">
            <w:pPr>
              <w:spacing w:after="0" w:line="240" w:lineRule="auto"/>
              <w:rPr>
                <w:rFonts w:eastAsia="Times New Roman" w:cs="Calibri"/>
                <w:noProof/>
                <w:color w:val="006100"/>
                <w:sz w:val="18"/>
                <w:szCs w:val="18"/>
              </w:rPr>
            </w:pPr>
            <w:r>
              <w:rPr>
                <w:noProof/>
                <w:color w:val="006100"/>
                <w:sz w:val="18"/>
                <w:szCs w:val="18"/>
              </w:rPr>
              <w:t>Iv) muut strategiset toimet, jotka valitaan kuntien avoimen ehdotuspyynnön perusteella: 1) Energiatehokkuus- ja demonstrointihankkeet pk-yrityksissä tai suurissa yrityksissä ja vähintään rakennusten kunnost</w:t>
            </w:r>
            <w:r>
              <w:rPr>
                <w:noProof/>
                <w:color w:val="006100"/>
                <w:sz w:val="18"/>
                <w:szCs w:val="18"/>
              </w:rPr>
              <w:t xml:space="preserve">amisesta annetussa komission suosituksessa (EU) 2019/786 määritelty keskipitkän tason peruskorjaus tai keskimäärin vähintään 30 prosentin vähennys suorissa ja epäsuorissa kasvihuonekaasupäästöissä verrattuna ennakkopäästöihin; 2) uusien energiatehokkaiden </w:t>
            </w:r>
            <w:r>
              <w:rPr>
                <w:noProof/>
                <w:color w:val="006100"/>
                <w:sz w:val="18"/>
                <w:szCs w:val="18"/>
              </w:rPr>
              <w:t>rakennusten rakentaminen, jonka ensisijainen energiantarve on vähintään 20 prosenttia alhaisempi kuin lähes nollaenergiarakennuksia koskeva vaatimus (lähes nollaenergiarakennus, kansalliset direktiivit); ja 3) luonnon ja biologisen monimuotoisuuden suojelu</w:t>
            </w:r>
            <w:r>
              <w:rPr>
                <w:noProof/>
                <w:color w:val="006100"/>
                <w:sz w:val="18"/>
                <w:szCs w:val="18"/>
              </w:rPr>
              <w:t xml:space="preserve">, luonnonperintö ja luonnonvarat, vihreä ja sininen infrastruktuuri. </w:t>
            </w:r>
          </w:p>
        </w:tc>
      </w:tr>
      <w:tr w:rsidR="00B0093E">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39</w:t>
            </w:r>
          </w:p>
        </w:tc>
        <w:tc>
          <w:tcPr>
            <w:tcW w:w="16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16932_Ateenan olympialaisten urheilukeskus</w:t>
            </w:r>
          </w:p>
        </w:tc>
        <w:tc>
          <w:tcPr>
            <w:tcW w:w="9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OAKA – töiden </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Kaikkien näiden osahankkeiden rakennustöiden loppuun saattaminen on vahvistettu rakennustoiminnan valvojan allekirjoittamalla valmiiksi saattamista koskevalla lomakkeella. </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5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Kaikkien energiatehokkuuden saavuttamiseen ja hiilijalanjäljen </w:t>
            </w:r>
            <w:r>
              <w:rPr>
                <w:noProof/>
                <w:color w:val="006100"/>
                <w:sz w:val="18"/>
                <w:szCs w:val="18"/>
              </w:rPr>
              <w:t>parantamiseen tähtäävien töiden loppuun saattaminen, mukaan lukien i) stadionin katon teräsrakenteiden huolto ja korjaus (katos) (alahanke 1); ii) koripallo- ja vesiurheilutilojen koneet, jotka toimivat itsenäisesti ja mahdollistavat energiansäästön (alaha</w:t>
            </w:r>
            <w:r>
              <w:rPr>
                <w:noProof/>
                <w:color w:val="006100"/>
                <w:sz w:val="18"/>
                <w:szCs w:val="18"/>
              </w:rPr>
              <w:t>nke 2); iii) pyöräilystadion (alahanke 3); iv) tenniskeskus (alahanke 5); ja v) ulkoilma-alueiden (alahanke 6), muun muassa Agoran ja ”kansojen muurin” teräsrakenteiden, loppuun saattaminen.</w:t>
            </w:r>
          </w:p>
        </w:tc>
      </w:tr>
      <w:tr w:rsidR="00B0093E">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40</w:t>
            </w:r>
          </w:p>
        </w:tc>
        <w:tc>
          <w:tcPr>
            <w:tcW w:w="16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2 - 1.2. Kunnostaminen – 16873_ – Asuinalueita ja </w:t>
            </w:r>
            <w:r>
              <w:rPr>
                <w:noProof/>
                <w:color w:val="006100"/>
                <w:sz w:val="18"/>
                <w:szCs w:val="18"/>
              </w:rPr>
              <w:t>rakennuskantaa koskevat toimet</w:t>
            </w:r>
          </w:p>
        </w:tc>
        <w:tc>
          <w:tcPr>
            <w:tcW w:w="9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Väli-</w:t>
            </w:r>
          </w:p>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Kaupunkeja koskevat toimenpiteet – kaikkien töiden loppuun saattaminen</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Rakennustöiden ja palvelujen loppuun saattaminen on vahvistettu rakentamisesta vastaavan valvojan allekirjoittamalla valmistumislomakkeella.</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5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Saattaa kaikki työt päätökseen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 toimet, joilla pyritään parantamaan kaupunkiympäristöä ja julkista tilaa;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ii) Entisen teollisuusalueen Votanikos/Elaionas kaupunkialueiden elvyttäminen; </w:t>
            </w:r>
          </w:p>
          <w:p w:rsidR="00B0093E" w:rsidRDefault="00762CA6">
            <w:pPr>
              <w:spacing w:after="0" w:line="240" w:lineRule="auto"/>
              <w:jc w:val="both"/>
              <w:rPr>
                <w:rFonts w:eastAsia="Times New Roman" w:cs="Calibri"/>
                <w:noProof/>
                <w:color w:val="006100"/>
                <w:sz w:val="18"/>
                <w:szCs w:val="18"/>
              </w:rPr>
            </w:pPr>
            <w:r>
              <w:rPr>
                <w:noProof/>
                <w:color w:val="006100"/>
                <w:sz w:val="18"/>
                <w:szCs w:val="18"/>
              </w:rPr>
              <w:t>iii) Ateenan rannikko: pyöräilyinfrastruktuuri; ja</w:t>
            </w:r>
          </w:p>
          <w:p w:rsidR="00B0093E" w:rsidRDefault="00762CA6">
            <w:pPr>
              <w:spacing w:after="0" w:line="240" w:lineRule="auto"/>
              <w:jc w:val="both"/>
              <w:rPr>
                <w:rFonts w:eastAsia="Times New Roman" w:cs="Calibri"/>
                <w:noProof/>
                <w:color w:val="006100"/>
                <w:sz w:val="18"/>
                <w:szCs w:val="18"/>
              </w:rPr>
            </w:pPr>
            <w:r>
              <w:rPr>
                <w:noProof/>
                <w:color w:val="006100"/>
                <w:sz w:val="18"/>
                <w:szCs w:val="18"/>
              </w:rPr>
              <w:t>iv)</w:t>
            </w:r>
            <w:r>
              <w:rPr>
                <w:noProof/>
                <w:color w:val="006100"/>
                <w:sz w:val="18"/>
                <w:szCs w:val="18"/>
              </w:rPr>
              <w:t xml:space="preserve"> Muut strategiset toimet</w:t>
            </w:r>
          </w:p>
        </w:tc>
      </w:tr>
      <w:tr w:rsidR="00B0093E">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41</w:t>
            </w:r>
          </w:p>
        </w:tc>
        <w:tc>
          <w:tcPr>
            <w:tcW w:w="16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2 - 1.2. Kunnostaminen – 16875_Infrastruktuurin kehittäminen ja rakennusten kunnostus entisessä kuningaskunnassa Tatoissa</w:t>
            </w:r>
          </w:p>
        </w:tc>
        <w:tc>
          <w:tcPr>
            <w:tcW w:w="9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Tatoi – kaikkien töiden loppuun saattaminen</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Rakennusurakoiden ja -palvelujen </w:t>
            </w:r>
            <w:r>
              <w:rPr>
                <w:noProof/>
                <w:color w:val="006100"/>
                <w:sz w:val="18"/>
                <w:szCs w:val="18"/>
              </w:rPr>
              <w:t>loppuunsaattaminen, joka on vahvistettu rakenta-misesta vastaavan valvojan allekirjoittamalla lomakkeella</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5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Saatetaan päätökseen kaikki Tatoin entisen kuninkaallisen kiinteistön kunnostamiseen tähtäävään infrastruktuurin kehittämistä ja </w:t>
            </w:r>
            <w:r>
              <w:rPr>
                <w:noProof/>
                <w:color w:val="006100"/>
                <w:sz w:val="18"/>
                <w:szCs w:val="18"/>
              </w:rPr>
              <w:t>rakennuksia koskevaan ohjelmaan liittyvät työt, mukaan lukien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 infrastruktuuritöitä; </w:t>
            </w:r>
          </w:p>
          <w:p w:rsidR="00B0093E" w:rsidRDefault="00762CA6">
            <w:pPr>
              <w:spacing w:after="0" w:line="240" w:lineRule="auto"/>
              <w:rPr>
                <w:rFonts w:eastAsia="Times New Roman" w:cs="Calibri"/>
                <w:noProof/>
                <w:color w:val="006100"/>
                <w:sz w:val="18"/>
                <w:szCs w:val="18"/>
              </w:rPr>
            </w:pPr>
            <w:r>
              <w:rPr>
                <w:noProof/>
                <w:color w:val="006100"/>
                <w:sz w:val="18"/>
                <w:szCs w:val="18"/>
              </w:rPr>
              <w:t>ii) museokäyttöön tarkoitetun palatsin restaurointi;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iii) palatsin näyttely;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iv) maatalousrakennuksen restaurointi ja sen uudelleenkäyttö museona; </w:t>
            </w:r>
          </w:p>
          <w:p w:rsidR="00B0093E" w:rsidRDefault="00762CA6">
            <w:pPr>
              <w:spacing w:after="0" w:line="240" w:lineRule="auto"/>
              <w:rPr>
                <w:rFonts w:eastAsia="Times New Roman" w:cs="Calibri"/>
                <w:noProof/>
                <w:color w:val="006100"/>
                <w:sz w:val="18"/>
                <w:szCs w:val="18"/>
              </w:rPr>
            </w:pPr>
            <w:r>
              <w:rPr>
                <w:noProof/>
                <w:color w:val="006100"/>
                <w:sz w:val="18"/>
                <w:szCs w:val="18"/>
              </w:rPr>
              <w:t>v) uutta maatalousr</w:t>
            </w:r>
            <w:r>
              <w:rPr>
                <w:noProof/>
                <w:color w:val="006100"/>
                <w:sz w:val="18"/>
                <w:szCs w:val="18"/>
              </w:rPr>
              <w:t xml:space="preserve">akennusta koskeva museologinen tutkimus;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vi) palatsin puutarhojen kunnostaminen;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vii) artefaktien säilyttäminen ja ennallistaminen;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viii) artefaktien tallentaminen, dokumentointi ja rekisteröinti; ja </w:t>
            </w:r>
          </w:p>
          <w:p w:rsidR="00B0093E" w:rsidRDefault="00762CA6">
            <w:pPr>
              <w:spacing w:after="0" w:line="240" w:lineRule="auto"/>
              <w:rPr>
                <w:rFonts w:eastAsia="Times New Roman" w:cs="Calibri"/>
                <w:noProof/>
                <w:color w:val="006100"/>
                <w:sz w:val="18"/>
                <w:szCs w:val="18"/>
              </w:rPr>
            </w:pPr>
            <w:r>
              <w:rPr>
                <w:noProof/>
                <w:color w:val="006100"/>
                <w:sz w:val="18"/>
                <w:szCs w:val="18"/>
              </w:rPr>
              <w:t>(ix) löydetyn paperiarkistoaineiston digitointi.</w:t>
            </w:r>
          </w:p>
        </w:tc>
      </w:tr>
    </w:tbl>
    <w:p w:rsidR="00B0093E" w:rsidRDefault="00B0093E">
      <w:pPr>
        <w:framePr w:w="15464" w:wrap="auto" w:hAnchor="text"/>
        <w:spacing w:before="120" w:after="120" w:line="240" w:lineRule="auto"/>
        <w:rPr>
          <w:rFonts w:ascii="Times New Roman" w:hAnsi="Times New Roman" w:cs="Times New Roman"/>
          <w:noProof/>
          <w:sz w:val="24"/>
        </w:rPr>
        <w:sectPr w:rsidR="00B0093E">
          <w:headerReference w:type="even" r:id="rId39"/>
          <w:headerReference w:type="default" r:id="rId40"/>
          <w:footerReference w:type="even" r:id="rId41"/>
          <w:footerReference w:type="default" r:id="rId42"/>
          <w:headerReference w:type="first" r:id="rId43"/>
          <w:footerReference w:type="first" r:id="rId44"/>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C. KOMPONENTTI 1.3: LATAAMINEN JA TANKKAUS</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Kreikan elpymis- ja palautumissuunnitelman lataus- ja tankkauskomponentti käsittää kohdennettuja uudistuksia ja investointeja, joilla lisätään kestävää liikkuvuutta, lisätään talouskasvua, luodaan työllistymismahdollisuuksia ja edistetään sosiaalista selvi</w:t>
      </w:r>
      <w:r>
        <w:rPr>
          <w:rFonts w:ascii="Times New Roman" w:hAnsi="Times New Roman"/>
          <w:noProof/>
          <w:sz w:val="24"/>
        </w:rPr>
        <w:t>ytymiskykyä. Tähän komponenttiin sisältyvät toimenpiteet liittyvät valtakunnalliseen kestävän liikkuvuuden strategiaan, mikä tukee kansallisen energia- ja ilmastosuunnitelman täytäntöönpanoa. Niiden on myös edistettävä vihreää siirtymää tarjoamalla tukea y</w:t>
      </w:r>
      <w:r>
        <w:rPr>
          <w:rFonts w:ascii="Times New Roman" w:hAnsi="Times New Roman"/>
          <w:noProof/>
          <w:sz w:val="24"/>
        </w:rPr>
        <w:t>rityksille, jotka toteuttavat vähähiiliseen talouteen ja ilmastonmuutokseen sopeutumiseen liittyviä toimia. Lisäksi komponenttiin kuuluvat uudistukset, joilla tuetaan sähköisen liikkuvuuden infrastruktuurin rakentamista, sekä julkisten kaupunki- ja aluelii</w:t>
      </w:r>
      <w:r>
        <w:rPr>
          <w:rFonts w:ascii="Times New Roman" w:hAnsi="Times New Roman"/>
          <w:noProof/>
          <w:sz w:val="24"/>
        </w:rPr>
        <w:t xml:space="preserve">kennepalvelujen tarkistaminen. Komponentti sisältää myös investoinnit, joilla tuetaan sähköiseen liikkuvuuteen liittyvien toimitusten tuotantokapasiteetin kehittämistä ja bussien ja taksien korvaamista akkusähköajoneuvoilla.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Komponentilla tuetaan vuonna 2</w:t>
      </w:r>
      <w:r>
        <w:rPr>
          <w:rFonts w:ascii="Times New Roman" w:hAnsi="Times New Roman"/>
          <w:noProof/>
          <w:sz w:val="24"/>
        </w:rPr>
        <w:t>020 annettua maakohtaista suositusta 3 ja vuonna 2019 annettua maakohtaista suositusta nro 2 julkisista ja yksityisistä investoinneista. Minkään tähän osa-alueeseen kuuluvan toimenpiteen ei odoteta aiheuttavan merkittävää haittaa asetuksen (EU) 2020/852 17</w:t>
      </w:r>
      <w:r>
        <w:rPr>
          <w:rFonts w:ascii="Times New Roman" w:hAnsi="Times New Roman"/>
          <w:noProof/>
          <w:sz w:val="24"/>
        </w:rPr>
        <w:t xml:space="preserve"> artiklassa tarkoitetuille ympäristötavoitteille, kun otetaan huomioon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C.1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Produc-E Green (toimenpiteen tunniste: 16831)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kahdesta hankkeesta, joilla molemmilla pyritään edistämään vähähiilistä talo</w:t>
      </w:r>
      <w:r>
        <w:rPr>
          <w:rFonts w:ascii="Times New Roman" w:hAnsi="Times New Roman"/>
          <w:noProof/>
          <w:sz w:val="24"/>
        </w:rPr>
        <w:t>utta ja kykyä sietää ilmastonmuutosta. Ensimmäinen hanke koskee sähköisen liikkuvuuden tarjontapuolta. Siitä tuetaan yli kymmenen kohteen kehittämistä, joissa on T&amp;K-osastot innovatiivisia tuotteita tai palveluja varten, kuten autojen sähköakkujen kierräty</w:t>
      </w:r>
      <w:r>
        <w:rPr>
          <w:rFonts w:ascii="Times New Roman" w:hAnsi="Times New Roman"/>
          <w:noProof/>
          <w:sz w:val="24"/>
        </w:rPr>
        <w:t>s käyttämällä uudelleen raaka-aineita, kuten litiumia ja kobolttia, tai sähköajoneuvojen suunnittelua sekä tavanomaisia tai suuritehoisia latauspisteitä. Sen varmistamiseksi, että toimenpide on ”ei merkittävää haittaa” -periaatteen teknisten ohjeiden (2021</w:t>
      </w:r>
      <w:r>
        <w:rPr>
          <w:rFonts w:ascii="Times New Roman" w:hAnsi="Times New Roman"/>
          <w:noProof/>
          <w:sz w:val="24"/>
        </w:rPr>
        <w:t>/C58/01) mukainen, hanke-ehdotuspyyntöjä koskeviin 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i) fossiilisiin polttoaineisiin liittyvät toimet, mukaan lukien tuotantoketjun loppupään käyttö</w:t>
      </w:r>
      <w:r>
        <w:rPr>
          <w:rFonts w:ascii="Times New Roman" w:hAnsi="Times New Roman" w:cs="Times New Roman"/>
          <w:noProof/>
          <w:sz w:val="24"/>
          <w:vertAlign w:val="superscript"/>
        </w:rPr>
        <w:footnoteReference w:id="6"/>
      </w:r>
      <w:r>
        <w:rPr>
          <w:rFonts w:ascii="Times New Roman" w:hAnsi="Times New Roman"/>
          <w:noProof/>
          <w:sz w:val="24"/>
        </w:rPr>
        <w:t>; ii) EU:n päästökauppajärjestelm</w:t>
      </w:r>
      <w:r>
        <w:rPr>
          <w:rFonts w:ascii="Times New Roman" w:hAnsi="Times New Roman"/>
          <w:noProof/>
          <w:sz w:val="24"/>
        </w:rPr>
        <w:t>än mukaiset toimet, joilla saavutetaan ennustetut kasvihuonekaasupäästöt, jotka eivät alita asiaankuuluvia vertailuarvoja</w:t>
      </w:r>
      <w:r>
        <w:rPr>
          <w:rFonts w:ascii="Times New Roman" w:hAnsi="Times New Roman" w:cs="Times New Roman"/>
          <w:noProof/>
          <w:sz w:val="24"/>
          <w:vertAlign w:val="superscript"/>
        </w:rPr>
        <w:footnoteReference w:id="7"/>
      </w:r>
      <w:r>
        <w:rPr>
          <w:rFonts w:ascii="Times New Roman" w:hAnsi="Times New Roman"/>
          <w:noProof/>
          <w:sz w:val="24"/>
        </w:rPr>
        <w:t>; iii) kaatopaikkoja, polttolaitoksia</w:t>
      </w:r>
      <w:r>
        <w:rPr>
          <w:rFonts w:ascii="Times New Roman" w:hAnsi="Times New Roman" w:cs="Times New Roman"/>
          <w:noProof/>
          <w:sz w:val="24"/>
          <w:vertAlign w:val="superscript"/>
        </w:rPr>
        <w:footnoteReference w:id="8"/>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9"/>
      </w:r>
      <w:r>
        <w:rPr>
          <w:rFonts w:ascii="Times New Roman" w:hAnsi="Times New Roman"/>
          <w:noProof/>
          <w:sz w:val="24"/>
        </w:rPr>
        <w:t xml:space="preserve"> koskevat toimet; ja iv) toiminnot, joissa jätteide</w:t>
      </w:r>
      <w:r>
        <w:rPr>
          <w:rFonts w:ascii="Times New Roman" w:hAnsi="Times New Roman"/>
          <w:noProof/>
          <w:sz w:val="24"/>
        </w:rPr>
        <w:t>n pitkän aikavälin loppukäsittely voi aiheuttaa haittaa ympäristölle. Tehtävänkuvauksessa on lisäksi edellytettävä, että voidaan valita ainoastaan toimia, jotka ovat asiaa koskevan EU:n ja kansallisen ympäristölainsäädännön mukaisia.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Toisella hankkeella tu</w:t>
      </w:r>
      <w:r>
        <w:rPr>
          <w:rFonts w:ascii="Times New Roman" w:hAnsi="Times New Roman"/>
          <w:noProof/>
          <w:sz w:val="24"/>
        </w:rPr>
        <w:t xml:space="preserve">etaan ensimmäisen hiilidioksidin varastointilaitoksen kehittämistä Kreikassa. Hiilidioksidin talteenotto- ja varastointilaitos on suunniteltu tarjoamaan pitkäaikaista varastointia paikallisista päästöjen aiheuttajista talteen otettua hiilidioksidia varten </w:t>
      </w:r>
      <w:r>
        <w:rPr>
          <w:rFonts w:ascii="Times New Roman" w:hAnsi="Times New Roman"/>
          <w:noProof/>
          <w:sz w:val="24"/>
        </w:rPr>
        <w:t>(enintään 150 km etäisyydeltä), ja sen on saavuttava laitokseen putkea pitkin, kun taas syrjäisillä paikoilla talteenotetun hiilidioksidin on saavuttava laivalla ja siirryttävä puskurivarastoon. Hiilidioksidin talteenotto- ja varastointilaitoksen kapasitee</w:t>
      </w:r>
      <w:r>
        <w:rPr>
          <w:rFonts w:ascii="Times New Roman" w:hAnsi="Times New Roman"/>
          <w:noProof/>
          <w:sz w:val="24"/>
        </w:rPr>
        <w:t>tin on aluksi oltava 1 miljoona tonnia vuodessa ja kapasiteetin on oltava vähintään 25 vuotta. Minkään tähän osa-alueeseen kuuluvan toimenpiteen ei odoteta aiheuttavan merkittävää haittaa asetuksen (EU) 2020/852 17 artiklassa tarkoitetuille ympäristötavoit</w:t>
      </w:r>
      <w:r>
        <w:rPr>
          <w:rFonts w:ascii="Times New Roman" w:hAnsi="Times New Roman"/>
          <w:noProof/>
          <w:sz w:val="24"/>
        </w:rPr>
        <w:t>teille, kun otetaan huomioon elpymis- ja palautumissuunnitelmassa esitettyjen toimenpiteen kuvaus ja lieventävät toimet ”ei merkittävää haittaa -periaatteen” teknisten ohjeiden (2021/C58/01) mukaisesti. Hiilidioksidin talteenotto- ja varastointilaitoksen o</w:t>
      </w:r>
      <w:r>
        <w:rPr>
          <w:rFonts w:ascii="Times New Roman" w:hAnsi="Times New Roman"/>
          <w:noProof/>
          <w:sz w:val="24"/>
        </w:rPr>
        <w:t>n erityisesti toimittava ilman kaupallista öljynottoa tai öljyn talteenottoa (öljyn tai kaasun talteenottoa voidaan tarvita jossain määrin turvallisuussyistä tai teknisistä syistä). Lisäksi hiilidioksidin talteenotossa ja varastoinnissa on noudatettava vaa</w:t>
      </w:r>
      <w:r>
        <w:rPr>
          <w:rFonts w:ascii="Times New Roman" w:hAnsi="Times New Roman"/>
          <w:noProof/>
          <w:sz w:val="24"/>
        </w:rPr>
        <w:t>timusta, jonka mukaan ei ole olemassa teknisiä sovelluksia eikä mitään tiloja ja laitteita, jotka on suunniteltu öljyn laajennettuun talteenottoon (EOR) ja öljyntuotannon lisäämiseen. On huolehdittava siitä, että öljyn tai kaasun mahdollinen talteenotto ra</w:t>
      </w:r>
      <w:r>
        <w:rPr>
          <w:rFonts w:ascii="Times New Roman" w:hAnsi="Times New Roman"/>
          <w:noProof/>
          <w:sz w:val="24"/>
        </w:rPr>
        <w:t>joittuu välttämättömiin tarpeisiin, jotka liittyvät paineen hallintaan ja varastointipaikkojen turvallisuuden varmistamiseen, ja että tällainen talteenotto tapahtuu vain, jos se on välttämätöntä hiilidioksidin turvallisen varastoinnin varmistamiseksi. Hiil</w:t>
      </w:r>
      <w:r>
        <w:rPr>
          <w:rFonts w:ascii="Times New Roman" w:hAnsi="Times New Roman"/>
          <w:noProof/>
          <w:sz w:val="24"/>
        </w:rPr>
        <w:t>idioksidi ja mahdollinen öljy tai kaasu erotetaan toisistaan ja syötetään takaisin pysyvään varastointiin.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Sähköajoneuvojen latausinfrastruktuurin asennus- ja käyttöpuitteet (</w:t>
      </w:r>
      <w:r>
        <w:rPr>
          <w:rFonts w:ascii="Times New Roman" w:hAnsi="Times New Roman"/>
          <w:noProof/>
          <w:sz w:val="24"/>
        </w:rPr>
        <w:t>toimenpiteen tunniste: 16281)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Uudistuksessa vahvistetaan kattava sääntelykehys sähköajoneuvojen latauspisteiden asentamista ja käyttöä varten. Tämän on tarkoitus johtaa siihen, että Kreikka saavuttaa kansallisessa energia- ja ilmastosuunnitelmassa asetetun</w:t>
      </w:r>
      <w:r>
        <w:rPr>
          <w:rFonts w:ascii="Times New Roman" w:hAnsi="Times New Roman"/>
          <w:noProof/>
          <w:sz w:val="24"/>
        </w:rPr>
        <w:t xml:space="preserve"> tavoitteen, jonka mukaan sähköajoneuvojen osuus kotimarkkinoilla on 30 prosenttia vuoteen 2030 mennessä. Vuoden 2022 loppuun mennessä ympäristö- ja energiaministeriön on hyväksyttävä vähintään 300 paikallisviranomaisten toimittamaa suunnitelmaa yleisesti </w:t>
      </w:r>
      <w:r>
        <w:rPr>
          <w:rFonts w:ascii="Times New Roman" w:hAnsi="Times New Roman"/>
          <w:noProof/>
          <w:sz w:val="24"/>
        </w:rPr>
        <w:t>saatavilla olevien sähköajoneuvojen latauspisteiden asentamiseksi. Uudistus on määrä toteuttaa viimeistään 31 päivänä joulukuuta 2022.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Sähköinen liikkuvuus (toimenpiteen tunniste: 16924)</w:t>
      </w:r>
    </w:p>
    <w:p w:rsidR="00B0093E" w:rsidRDefault="00762CA6">
      <w:pPr>
        <w:spacing w:before="120" w:after="120" w:line="240" w:lineRule="auto"/>
        <w:jc w:val="both"/>
        <w:rPr>
          <w:rFonts w:ascii="Times New Roman" w:hAnsi="Times New Roman" w:cs="Times New Roman"/>
          <w:b/>
          <w:bCs/>
          <w:noProof/>
          <w:sz w:val="24"/>
          <w:u w:val="single"/>
        </w:rPr>
      </w:pPr>
      <w:r>
        <w:rPr>
          <w:rFonts w:ascii="Times New Roman" w:hAnsi="Times New Roman"/>
          <w:noProof/>
          <w:sz w:val="24"/>
        </w:rPr>
        <w:t>Investointi kohdistuu sähköiseen liikkuvuuteen kansalli</w:t>
      </w:r>
      <w:r>
        <w:rPr>
          <w:rFonts w:ascii="Times New Roman" w:hAnsi="Times New Roman"/>
          <w:noProof/>
          <w:sz w:val="24"/>
        </w:rPr>
        <w:t>sen energia- ja ilmastosuunnitelman tavoitteiden mukaisesti, ja siihen sisältyvät seuraavat: 1) tuki julkisten latauspisteiden asentamiseen keskeisille kaupunki- ja esikaupunkialueille ja kiinnostaville kohteille (kuten lentokentille, moottoriteille, satam</w:t>
      </w:r>
      <w:r>
        <w:rPr>
          <w:rFonts w:ascii="Times New Roman" w:hAnsi="Times New Roman"/>
          <w:noProof/>
          <w:sz w:val="24"/>
        </w:rPr>
        <w:t>iin ja pysäköintialueille); 2) vanhempien linja-autojen korvaaminen 220 uudella sähkölinja-autolla; 3) kannustimet vanhempien taksien korvaamiseksi 2 000 akkukäyttöisellä sähköajoneuvolla; 4) uudistaa linja-autoyhtiöiden julkisen palvelun velvoitteita kosk</w:t>
      </w:r>
      <w:r>
        <w:rPr>
          <w:rFonts w:ascii="Times New Roman" w:hAnsi="Times New Roman"/>
          <w:noProof/>
          <w:sz w:val="24"/>
        </w:rPr>
        <w:t>evaa lainsäädäntöä EU:n nykyisen säännöstön mukaisesti, jotta Ateenan ja Thessalonikin ulkopuolella sijaitsevat linja-autoyhtiöt voivat turvallisesti investoida julkisen liikenteen sähköajoneuvoihin; ja 5) toteutettavuustutkimuksen tekeminen sellaisen sähk</w:t>
      </w:r>
      <w:r>
        <w:rPr>
          <w:rFonts w:ascii="Times New Roman" w:hAnsi="Times New Roman"/>
          <w:noProof/>
          <w:sz w:val="24"/>
        </w:rPr>
        <w:t>öisen liikenneviraston perustamiseksi, joka varmistaa asianmukaisen suunnittelun ja koordinoinnin liikenne- ja energiainfrastruktuurien, alue- ja paikallishallinnon sekä muiden tutkimus- ja yksityissektorin sidosryhmien välillä. Vanhat linja-autot ja ajone</w:t>
      </w:r>
      <w:r>
        <w:rPr>
          <w:rFonts w:ascii="Times New Roman" w:hAnsi="Times New Roman"/>
          <w:noProof/>
          <w:sz w:val="24"/>
        </w:rPr>
        <w:t>uvot korvaavan investointikomponentin on oltava ”ei merkittävää haittaa” -periaatteen teknisten ohjeiden (2021/C58/01) mukainen erityisesti siltä osin kuin on kyse vanhojen ajoneuvojen/linja-autojen romusta, jonka suorittaa valtuutettu käsittelylaitos romu</w:t>
      </w:r>
      <w:r>
        <w:rPr>
          <w:rFonts w:ascii="Times New Roman" w:hAnsi="Times New Roman"/>
          <w:noProof/>
          <w:sz w:val="24"/>
        </w:rPr>
        <w:t>ajoneuvodirektiivin (2000/53/EY) mukaisesti. Investointi on määrä toteuttaa viimeistään 31 päivänä joulukuuta 2025.</w:t>
      </w: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45"/>
          <w:headerReference w:type="default" r:id="rId46"/>
          <w:footerReference w:type="even" r:id="rId47"/>
          <w:footerReference w:type="default" r:id="rId48"/>
          <w:headerReference w:type="first" r:id="rId49"/>
          <w:footerReference w:type="first" r:id="rId50"/>
          <w:pgSz w:w="11907" w:h="16839"/>
          <w:pgMar w:top="1134" w:right="1418" w:bottom="1134" w:left="1418" w:header="709" w:footer="709" w:gutter="0"/>
          <w:cols w:space="720"/>
          <w:docGrid w:linePitch="360"/>
        </w:sectPr>
      </w:pPr>
    </w:p>
    <w:p w:rsidR="00B0093E" w:rsidRDefault="00762CA6">
      <w:pPr>
        <w:keepNext/>
        <w:keepLines/>
        <w:spacing w:before="40" w:after="0" w:line="240" w:lineRule="auto"/>
        <w:jc w:val="both"/>
        <w:outlineLvl w:val="4"/>
        <w:rPr>
          <w:rFonts w:ascii="Times New Roman" w:hAnsi="Times New Roman" w:cs="Times New Roman"/>
          <w:b/>
          <w:bCs/>
          <w:noProof/>
          <w:sz w:val="24"/>
          <w:u w:val="single"/>
        </w:rPr>
      </w:pPr>
      <w:r>
        <w:rPr>
          <w:rFonts w:ascii="Times New Roman" w:hAnsi="Times New Roman"/>
          <w:b/>
          <w:bCs/>
          <w:noProof/>
          <w:sz w:val="24"/>
          <w:u w:val="single"/>
        </w:rPr>
        <w:t xml:space="preserve">C.2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w:t>
      </w:r>
      <w:r>
        <w:rPr>
          <w:rFonts w:ascii="Times New Roman" w:hAnsi="Times New Roman"/>
          <w:b/>
          <w:bCs/>
          <w:noProof/>
          <w:sz w:val="24"/>
          <w:u w:val="single"/>
        </w:rPr>
        <w:t xml:space="preserve"> aikataulu – rahoitustuki,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Keskeinen uudistus 3: Sähköajoneuvojen latausinfrastruktuurin asennusta ja toimintaa koskevat puitteet</w:t>
      </w:r>
    </w:p>
    <w:tbl>
      <w:tblPr>
        <w:tblpPr w:leftFromText="180" w:rightFromText="180" w:vertAnchor="text" w:tblpX="113" w:tblpY="1"/>
        <w:tblOverlap w:val="never"/>
        <w:tblW w:w="15745" w:type="dxa"/>
        <w:tblLook w:val="04A0" w:firstRow="1" w:lastRow="0" w:firstColumn="1" w:lastColumn="0" w:noHBand="0" w:noVBand="1"/>
      </w:tblPr>
      <w:tblGrid>
        <w:gridCol w:w="1027"/>
        <w:gridCol w:w="1813"/>
        <w:gridCol w:w="1626"/>
        <w:gridCol w:w="1837"/>
        <w:gridCol w:w="1717"/>
        <w:gridCol w:w="1600"/>
        <w:gridCol w:w="1090"/>
        <w:gridCol w:w="1006"/>
        <w:gridCol w:w="1387"/>
        <w:gridCol w:w="851"/>
        <w:gridCol w:w="4438"/>
      </w:tblGrid>
      <w:tr w:rsidR="00B0093E">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197"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b/>
                <w:bCs/>
                <w:noProof/>
                <w:sz w:val="18"/>
                <w:szCs w:val="18"/>
              </w:rPr>
              <w:t>(välitavoitteiden osalta)</w:t>
            </w:r>
          </w:p>
        </w:tc>
        <w:tc>
          <w:tcPr>
            <w:tcW w:w="2961"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4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97"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6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109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9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438"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42</w:t>
            </w:r>
          </w:p>
        </w:tc>
        <w:tc>
          <w:tcPr>
            <w:tcW w:w="1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Lataus ja tankkaus – 16281_Järjestelmä sähköajoneuvojen latausinfrastruktuurin asentamista ja käyttöä varten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Sähkökäyttöisten ajoneuvojen latauspisteet – lainsäädäntökehyksen voimaantulo</w:t>
            </w:r>
          </w:p>
        </w:tc>
        <w:tc>
          <w:tcPr>
            <w:tcW w:w="17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Hyväksyttyjen ministeripäätösten voimaantul</w:t>
            </w:r>
            <w:r>
              <w:rPr>
                <w:noProof/>
                <w:color w:val="006100"/>
                <w:sz w:val="18"/>
                <w:szCs w:val="18"/>
              </w:rPr>
              <w:t>o.</w:t>
            </w:r>
          </w:p>
        </w:tc>
        <w:tc>
          <w:tcPr>
            <w:tcW w:w="116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9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43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Kaikkien laissa 4710/2020 säädettyjen ja ympäristö- ja energiaministerin allekirjoittamien ministeripäätösten voimaantulo; Infrastruktuuri- ja liikenneministeri, sisäasiain- ja valtiovarainministeri, sähköajoneuvojen markkinoiden </w:t>
            </w:r>
            <w:r>
              <w:rPr>
                <w:noProof/>
                <w:color w:val="006100"/>
                <w:sz w:val="18"/>
                <w:szCs w:val="18"/>
              </w:rPr>
              <w:t>organisointi, erityisesti latauspalvelumarkkinat, ja tarjoaa veroperusteisia kannustimia sähköajoneuvojen ostamiseksi ja sähköajoneuvojen latausinfrastruktuurin asentamiseksi.</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43</w:t>
            </w:r>
          </w:p>
        </w:tc>
        <w:tc>
          <w:tcPr>
            <w:tcW w:w="1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3 - 1.3. Lataus ja tankkaus – 16281_Järjestelmä sähköajoneuvojen </w:t>
            </w:r>
            <w:r>
              <w:rPr>
                <w:noProof/>
                <w:color w:val="006100"/>
                <w:sz w:val="18"/>
                <w:szCs w:val="18"/>
              </w:rPr>
              <w:t>latausinfrastruktuurin asentamista ja käyttöä varten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1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Sähkökäyttöisten ajoneuvojen latauspisteet – paikalliset suunnitelmat hyväksytty</w:t>
            </w:r>
          </w:p>
        </w:tc>
        <w:tc>
          <w:tcPr>
            <w:tcW w:w="171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6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hyväksymien suunnitelmien lukumäärä</w:t>
            </w:r>
          </w:p>
        </w:tc>
        <w:tc>
          <w:tcPr>
            <w:tcW w:w="10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300</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43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Ympäristö- ja </w:t>
            </w:r>
            <w:r>
              <w:rPr>
                <w:noProof/>
                <w:color w:val="006100"/>
                <w:sz w:val="18"/>
                <w:szCs w:val="18"/>
              </w:rPr>
              <w:t>energiaministeriö hyväksyy vähintään 300 paikallisviranomaisten esittämää suunnitelmaa yleisesti saatavilla olevien sähköajoneuvojen latauspisteiden asentamisesta.</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4: Sähköinen liikkuvuus</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Tähän ryhmään kuuluvat seuraavat toimenpiteet:</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Produc-E </w:t>
      </w:r>
      <w:r>
        <w:rPr>
          <w:rFonts w:ascii="Times New Roman" w:hAnsi="Times New Roman"/>
          <w:noProof/>
          <w:sz w:val="24"/>
        </w:rPr>
        <w:t>Green (tunniste: 16831)</w:t>
      </w:r>
    </w:p>
    <w:p w:rsidR="00B0093E" w:rsidRDefault="00762CA6">
      <w:pPr>
        <w:spacing w:before="120" w:after="120" w:line="240" w:lineRule="auto"/>
        <w:ind w:left="709"/>
        <w:rPr>
          <w:rFonts w:ascii="Times New Roman" w:hAnsi="Times New Roman" w:cs="Times New Roman"/>
          <w:noProof/>
          <w:sz w:val="24"/>
        </w:rPr>
        <w:sectPr w:rsidR="00B0093E">
          <w:headerReference w:type="even" r:id="rId51"/>
          <w:headerReference w:type="default" r:id="rId52"/>
          <w:footerReference w:type="even" r:id="rId53"/>
          <w:footerReference w:type="default" r:id="rId54"/>
          <w:headerReference w:type="first" r:id="rId55"/>
          <w:footerReference w:type="first" r:id="rId56"/>
          <w:pgSz w:w="16839" w:h="11907" w:orient="landscape"/>
          <w:pgMar w:top="720" w:right="720" w:bottom="720" w:left="720" w:header="709" w:footer="709" w:gutter="0"/>
          <w:cols w:space="720"/>
          <w:docGrid w:linePitch="360"/>
        </w:sectPr>
      </w:pPr>
      <w:r>
        <w:rPr>
          <w:rFonts w:ascii="Times New Roman" w:hAnsi="Times New Roman"/>
          <w:noProof/>
          <w:sz w:val="24"/>
        </w:rPr>
        <w:t>●</w:t>
      </w:r>
      <w:r>
        <w:rPr>
          <w:rFonts w:ascii="Times New Roman" w:hAnsi="Times New Roman"/>
          <w:noProof/>
          <w:sz w:val="24"/>
        </w:rPr>
        <w:tab/>
        <w:t xml:space="preserve">Sähköinen liikkuvuus (tunniste: 16924) </w:t>
      </w:r>
    </w:p>
    <w:p w:rsidR="00B0093E" w:rsidRDefault="00B0093E">
      <w:pPr>
        <w:spacing w:before="120" w:after="120" w:line="240" w:lineRule="auto"/>
        <w:ind w:left="709"/>
        <w:rPr>
          <w:rFonts w:ascii="Times New Roman" w:hAnsi="Times New Roman" w:cs="Times New Roman"/>
          <w:noProof/>
          <w:sz w:val="24"/>
        </w:rPr>
      </w:pPr>
    </w:p>
    <w:tbl>
      <w:tblPr>
        <w:tblW w:w="15588" w:type="dxa"/>
        <w:tblInd w:w="113" w:type="dxa"/>
        <w:tblLook w:val="04A0" w:firstRow="1" w:lastRow="0" w:firstColumn="1" w:lastColumn="0" w:noHBand="0" w:noVBand="1"/>
      </w:tblPr>
      <w:tblGrid>
        <w:gridCol w:w="1027"/>
        <w:gridCol w:w="1378"/>
        <w:gridCol w:w="1626"/>
        <w:gridCol w:w="1961"/>
        <w:gridCol w:w="2377"/>
        <w:gridCol w:w="1622"/>
        <w:gridCol w:w="966"/>
        <w:gridCol w:w="1006"/>
        <w:gridCol w:w="1387"/>
        <w:gridCol w:w="709"/>
        <w:gridCol w:w="4200"/>
      </w:tblGrid>
      <w:tr w:rsidR="00B0093E">
        <w:trPr>
          <w:trHeight w:val="939"/>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37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418"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237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641"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w:t>
            </w:r>
            <w:r>
              <w:rPr>
                <w:rFonts w:ascii="Times New Roman" w:hAnsi="Times New Roman"/>
                <w:b/>
                <w:bCs/>
                <w:noProof/>
                <w:sz w:val="18"/>
                <w:szCs w:val="18"/>
              </w:rPr>
              <w:t xml:space="preserve"> indikaattorit   (tavoitteiden osalta)</w:t>
            </w:r>
          </w:p>
        </w:tc>
        <w:tc>
          <w:tcPr>
            <w:tcW w:w="1555"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trPr>
        <w:tc>
          <w:tcPr>
            <w:tcW w:w="102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18"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6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62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44</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3 </w:t>
            </w:r>
            <w:r>
              <w:rPr>
                <w:noProof/>
                <w:color w:val="006100"/>
                <w:sz w:val="18"/>
                <w:szCs w:val="18"/>
              </w:rPr>
              <w:t>– 1.3. Lataus ja tankkaus – 16924_ Sähköinen liikkuvuus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Julkinen liikenne – Julkisen palvelun velvoitetta koskevan markkinasääntelyn voimaantulo (linja-autot)</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Tarkistetun oikeudellisen kehyksen voimaantulo.</w:t>
            </w: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Lujitetaan markkinoiden </w:t>
            </w:r>
            <w:r>
              <w:rPr>
                <w:noProof/>
                <w:color w:val="006100"/>
                <w:sz w:val="18"/>
                <w:szCs w:val="18"/>
              </w:rPr>
              <w:t>sääntelyä saattamalla voimaan julkisia kaupunki- ja alueliikenteen henkilöliikennepalveluja koskeva tarkistettu lainsäädäntökehys (EU:n 1370/2007 mukaisesti). Tarkistetulla kehyksellä on tarkoitus a) varmistaa julkisen kaupunki- ja alueellisen maanteiden h</w:t>
            </w:r>
            <w:r>
              <w:rPr>
                <w:noProof/>
                <w:color w:val="006100"/>
                <w:sz w:val="18"/>
                <w:szCs w:val="18"/>
              </w:rPr>
              <w:t>enkilöliikenteen jatkuva tarjonta (suunniteltu reitti ja kiinteä reitti); b) valvoa liitännäisten liikenneverkkojen suunnittelua, organisointia ja toimintaa; c) varmistaa korkealaatuinen julkinen tieliikenne mahdollisimman alhaisin kustannuksin; d) säännel</w:t>
            </w:r>
            <w:r>
              <w:rPr>
                <w:noProof/>
                <w:color w:val="006100"/>
                <w:sz w:val="18"/>
                <w:szCs w:val="18"/>
              </w:rPr>
              <w:t>lä yksinoikeuksien myöntämismenettelyä alue- ja kaupunkiliikenteen julkisilla reiteillä (suunniteltu reitti ja kiinteä reitti); ja e) säännellä edellä mainittujen palvelujen tarjoamisesta maksettavan korvauksen tasoa. Lisäksi laissa on vahvistettava yleise</w:t>
            </w:r>
            <w:r>
              <w:rPr>
                <w:noProof/>
                <w:color w:val="006100"/>
                <w:sz w:val="18"/>
                <w:szCs w:val="18"/>
              </w:rPr>
              <w:t>t kriteerit tulevia henkilöliikennepalveluja koskeville hankinnoille. Vastaavien alueiden ja alueellisten yksiköiden on vahvistettava yksityiskohtaiset aluekohtaiset kriteerit, joissa otetaan asianmukaisesti huomioon aluekohtaiset kuljetustarpeet, ja hieno</w:t>
            </w:r>
            <w:r>
              <w:rPr>
                <w:noProof/>
                <w:color w:val="006100"/>
                <w:sz w:val="18"/>
                <w:szCs w:val="18"/>
              </w:rPr>
              <w:t>säädettävä hankintaprosessia vastaavasti.</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45</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Lataus ja tankkaus – 16924_ Sähköinen liikkuvuus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Julkinen liikenne – julkisen palvelun velvoitetta koskevan uuden markkinasääntelyn täytäntöönpano (bussit)</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 xml:space="preserve">Tarkistettuun oikeudelliseen </w:t>
            </w:r>
            <w:r>
              <w:rPr>
                <w:noProof/>
                <w:color w:val="006100"/>
                <w:sz w:val="18"/>
                <w:szCs w:val="18"/>
              </w:rPr>
              <w:t>kehykseen liittyvän johdetun oikeuden voimaantulo.</w:t>
            </w: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Sekundaarilainsäädännön voimaantulo mainitaan tarkistetussa oikeudellisessa kehyksessä, jolla vahvistetaan julkisten kaupunki- ja alueellisten henkilöliikennepalvelujen markkinasääntelyä.</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46</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3 - 1.3. Lataaminen ja tankkaus – 16831_Produc- E Green </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Teollisuusyksiköt – ohjelman käynnistäminen</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Ministeripäätöksen (päätösten) voimaantulo.</w:t>
            </w:r>
          </w:p>
          <w:p w:rsidR="00B0093E" w:rsidRDefault="00B0093E">
            <w:pPr>
              <w:spacing w:after="0" w:line="240" w:lineRule="auto"/>
              <w:rPr>
                <w:rFonts w:eastAsia="Times New Roman" w:cs="Calibri"/>
                <w:noProof/>
                <w:color w:val="006100"/>
                <w:sz w:val="18"/>
                <w:szCs w:val="18"/>
                <w:highlight w:val="yellow"/>
                <w:lang w:eastAsia="en-GB"/>
              </w:rPr>
            </w:pP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Teollisuusyksiköiden valintaa koskevan ohjelman käynnistäminen ja asiaa koskevien </w:t>
            </w:r>
            <w:r>
              <w:rPr>
                <w:noProof/>
                <w:color w:val="006100"/>
                <w:sz w:val="18"/>
                <w:szCs w:val="18"/>
              </w:rPr>
              <w:t>ministerien päätösten voimaantulo ympäristö- ja energiaministeriössä. Päätöksissä vahvistetaan</w:t>
            </w:r>
          </w:p>
          <w:p w:rsidR="00B0093E" w:rsidRDefault="00762CA6">
            <w:pPr>
              <w:spacing w:after="0" w:line="240" w:lineRule="auto"/>
              <w:rPr>
                <w:rFonts w:eastAsia="Times New Roman" w:cs="Calibri"/>
                <w:noProof/>
                <w:color w:val="006100"/>
                <w:sz w:val="18"/>
                <w:szCs w:val="18"/>
              </w:rPr>
            </w:pPr>
            <w:r>
              <w:rPr>
                <w:noProof/>
                <w:color w:val="006100"/>
                <w:sz w:val="18"/>
                <w:szCs w:val="18"/>
              </w:rPr>
              <w:t>Valintaprosessi, jossa keskitytään vähähiiliseen talouteen ja ilmastokestävyyteen;</w:t>
            </w:r>
          </w:p>
          <w:p w:rsidR="00B0093E" w:rsidRDefault="00762CA6">
            <w:pPr>
              <w:spacing w:after="0" w:line="240" w:lineRule="auto"/>
              <w:rPr>
                <w:rFonts w:eastAsia="Times New Roman" w:cs="Calibri"/>
                <w:noProof/>
                <w:color w:val="006100"/>
                <w:sz w:val="18"/>
                <w:szCs w:val="18"/>
              </w:rPr>
            </w:pPr>
            <w:r>
              <w:rPr>
                <w:noProof/>
                <w:color w:val="006100"/>
                <w:sz w:val="18"/>
                <w:szCs w:val="18"/>
              </w:rPr>
              <w:t>– Määritelty täytäntöönpanomekanismi;</w:t>
            </w:r>
          </w:p>
          <w:p w:rsidR="00B0093E" w:rsidRDefault="00762CA6">
            <w:pPr>
              <w:spacing w:after="0" w:line="240" w:lineRule="auto"/>
              <w:rPr>
                <w:rFonts w:eastAsia="Times New Roman" w:cs="Calibri"/>
                <w:noProof/>
                <w:color w:val="006100"/>
                <w:sz w:val="18"/>
                <w:szCs w:val="18"/>
              </w:rPr>
            </w:pPr>
            <w:r>
              <w:rPr>
                <w:noProof/>
                <w:color w:val="006100"/>
                <w:sz w:val="18"/>
                <w:szCs w:val="18"/>
              </w:rPr>
              <w:t>– Sertifiointimekanismi(t) sen todentami</w:t>
            </w:r>
            <w:r>
              <w:rPr>
                <w:noProof/>
                <w:color w:val="006100"/>
                <w:sz w:val="18"/>
                <w:szCs w:val="18"/>
              </w:rPr>
              <w:t>seksi, että ilmastonmuutostavoite on saavutettu (mukaan lukien tarvittaessa yksityiskohtaiset tiedot mahdollisista korjaavista toimista; ja</w:t>
            </w:r>
          </w:p>
          <w:p w:rsidR="00B0093E" w:rsidRDefault="00762CA6">
            <w:pPr>
              <w:spacing w:after="0" w:line="240" w:lineRule="auto"/>
              <w:rPr>
                <w:rFonts w:eastAsia="Times New Roman" w:cs="Calibri"/>
                <w:noProof/>
                <w:color w:val="006100"/>
                <w:sz w:val="18"/>
                <w:szCs w:val="18"/>
              </w:rPr>
            </w:pPr>
            <w:r>
              <w:rPr>
                <w:noProof/>
                <w:color w:val="006100"/>
                <w:sz w:val="18"/>
                <w:szCs w:val="18"/>
              </w:rPr>
              <w:t>– Aikataulu.</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Valinta-/tukikelpoisuusperusteilla on varmistettava, että valitut hankkeet ovat ”ei merkittävää haitta</w:t>
            </w:r>
            <w:r>
              <w:rPr>
                <w:noProof/>
                <w:color w:val="006100"/>
                <w:sz w:val="18"/>
                <w:szCs w:val="18"/>
              </w:rPr>
              <w:t>a” -periaatteen teknisten ohjeiden (2021/C58/01) mukaisia käyttämällä poissulkemisluetteloa ja vaatimusta asiaankuuluvan EU:n ja kansallisen ympäristölainsäädännön noudattamisesta.</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47</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Lataus ja tankkaus – 16924_ Sähköinen liikkuvuus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Sähköajoneuvojen latauspisteet – ohjelmien käynnistäminen</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Ministeripäätöksen (-päätösten) voimaantulo</w:t>
            </w:r>
          </w:p>
          <w:p w:rsidR="00B0093E" w:rsidRDefault="00B0093E">
            <w:pPr>
              <w:spacing w:after="0" w:line="240" w:lineRule="auto"/>
              <w:rPr>
                <w:rFonts w:eastAsia="Times New Roman" w:cs="Calibri"/>
                <w:noProof/>
                <w:color w:val="006100"/>
                <w:sz w:val="18"/>
                <w:szCs w:val="18"/>
                <w:lang w:eastAsia="en-GB"/>
              </w:rPr>
            </w:pP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Ohjelman käynnistäminen yli 8 000 sähköajoneuvojen julkisen latauspisteen valitsemiseksi strategisissa kaupunki- ja esikaupunkikohteissa ja </w:t>
            </w:r>
            <w:r>
              <w:rPr>
                <w:noProof/>
                <w:color w:val="006100"/>
                <w:sz w:val="18"/>
                <w:szCs w:val="18"/>
              </w:rPr>
              <w:t>kiinnostavissa kohteissa (”sähköinen liikkuvuus”) ja ympäristö- ja energiaministeriön asiaankuuluvien ministerien päätösten voimaantulo;</w:t>
            </w:r>
          </w:p>
          <w:p w:rsidR="00B0093E" w:rsidRDefault="00762CA6">
            <w:pPr>
              <w:spacing w:after="0" w:line="240" w:lineRule="auto"/>
              <w:rPr>
                <w:rFonts w:eastAsia="Times New Roman" w:cs="Calibri"/>
                <w:noProof/>
                <w:color w:val="006100"/>
                <w:sz w:val="18"/>
                <w:szCs w:val="18"/>
              </w:rPr>
            </w:pPr>
            <w:r>
              <w:rPr>
                <w:noProof/>
                <w:color w:val="006100"/>
                <w:sz w:val="18"/>
                <w:szCs w:val="18"/>
              </w:rPr>
              <w:t>Valintaprosessi;</w:t>
            </w:r>
          </w:p>
          <w:p w:rsidR="00B0093E" w:rsidRDefault="00762CA6">
            <w:pPr>
              <w:spacing w:after="0" w:line="240" w:lineRule="auto"/>
              <w:rPr>
                <w:rFonts w:eastAsia="Times New Roman" w:cs="Calibri"/>
                <w:noProof/>
                <w:color w:val="006100"/>
                <w:sz w:val="18"/>
                <w:szCs w:val="18"/>
              </w:rPr>
            </w:pPr>
            <w:r>
              <w:rPr>
                <w:noProof/>
                <w:color w:val="006100"/>
                <w:sz w:val="18"/>
                <w:szCs w:val="18"/>
              </w:rPr>
              <w:t>– Määritelty täytäntöönpanomekanismi;</w:t>
            </w:r>
          </w:p>
          <w:p w:rsidR="00B0093E" w:rsidRDefault="00762CA6">
            <w:pPr>
              <w:spacing w:after="0" w:line="240" w:lineRule="auto"/>
              <w:rPr>
                <w:rFonts w:eastAsia="Times New Roman" w:cs="Calibri"/>
                <w:noProof/>
                <w:color w:val="006100"/>
                <w:sz w:val="18"/>
                <w:szCs w:val="18"/>
              </w:rPr>
            </w:pPr>
            <w:r>
              <w:rPr>
                <w:noProof/>
                <w:color w:val="006100"/>
                <w:sz w:val="18"/>
                <w:szCs w:val="18"/>
              </w:rPr>
              <w:t>– Sertifiointimekanismi(t) sen todentamiseksi, että ilmastonmuut</w:t>
            </w:r>
            <w:r>
              <w:rPr>
                <w:noProof/>
                <w:color w:val="006100"/>
                <w:sz w:val="18"/>
                <w:szCs w:val="18"/>
              </w:rPr>
              <w:t>ostavoite on saavutettu (mukaan lukien tarvittaessa yksityiskohtaiset tiedot mahdollisista korjaavista toimista; ja</w:t>
            </w:r>
          </w:p>
          <w:p w:rsidR="00B0093E" w:rsidRDefault="00762CA6">
            <w:pPr>
              <w:spacing w:after="0" w:line="240" w:lineRule="auto"/>
              <w:rPr>
                <w:rFonts w:eastAsia="Times New Roman" w:cs="Calibri"/>
                <w:noProof/>
                <w:color w:val="006100"/>
                <w:sz w:val="18"/>
                <w:szCs w:val="18"/>
              </w:rPr>
            </w:pPr>
            <w:r>
              <w:rPr>
                <w:noProof/>
                <w:color w:val="006100"/>
                <w:sz w:val="18"/>
                <w:szCs w:val="18"/>
              </w:rPr>
              <w:t>– Aikataulu.</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48</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Lataus ja tankkaus – 16924_ Sähköinen liikkuvuus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Kestävä liikenne – toteutettavuustutkimus</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Voimaan </w:t>
            </w:r>
            <w:r>
              <w:rPr>
                <w:noProof/>
                <w:color w:val="006100"/>
                <w:sz w:val="18"/>
                <w:szCs w:val="18"/>
              </w:rPr>
              <w:t>tulee ministeriöiden yhteinen päätös, jolla hyväksytään sähköistä liikkuvuutta koskevan viraston toteutettavuustutkimus.</w:t>
            </w: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Voimaan tulee ministeriöiden yhteinen päätös, jolla hyväksytään toteutettavuustutkimus sellaisen sähköisen liikkuvuuden </w:t>
            </w:r>
            <w:r>
              <w:rPr>
                <w:noProof/>
                <w:color w:val="006100"/>
                <w:sz w:val="18"/>
                <w:szCs w:val="18"/>
              </w:rPr>
              <w:t>viraston perustamiseksi, jonka tehtävänä on varmistaa asianmukainen suunnittelu ja koordinointi liikenne- ja energiainfrastruktuurien, alue- ja paikallishallintojen välillä ja edistää sähköisen hankintaketjun – akkujen ja uusiutuvien energialähteiden tuott</w:t>
            </w:r>
            <w:r>
              <w:rPr>
                <w:noProof/>
                <w:color w:val="006100"/>
                <w:sz w:val="18"/>
                <w:szCs w:val="18"/>
              </w:rPr>
              <w:t>ajat mukaan luettuina – välisiä yhteyksiä tutkimus- ja innovointiperustaan.</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49</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Lataus ja tankkaus – 16924_ Sähköinen liikkuvuus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Sähkökäyttöisten ajoneuvojen latauspisteet – asennuspaikat vahvistettu</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Ympäristö- ja energiaministeriön </w:t>
            </w:r>
            <w:r>
              <w:rPr>
                <w:noProof/>
                <w:color w:val="006100"/>
                <w:sz w:val="18"/>
                <w:szCs w:val="18"/>
              </w:rPr>
              <w:t>ilmoitus hyväksytyn hakemuksen hyväksymisestä</w:t>
            </w: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ympäristö- ja energiaministeriön myöntämästä hyväksytystä hakemuksesta, joka koskee sähkökäyttöisten ajoneuvojen 8 656 julkisen latauspisteen (sähköinen liikkuvuus) asentamista</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3 – 1.3. </w:t>
            </w:r>
            <w:r>
              <w:rPr>
                <w:noProof/>
                <w:color w:val="006100"/>
                <w:sz w:val="18"/>
                <w:szCs w:val="18"/>
              </w:rPr>
              <w:t>Lataaminen ja tankkaus – 16831_Produc- E Green</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Teollisuusyksiköt – valitut yritykset</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ilmoitus hyväksytyistä hakemuksista</w:t>
            </w: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Ympäristö- ja energiaministeriön ilmoitus hyväksytyistä hakemuksista, jotka </w:t>
            </w:r>
            <w:r>
              <w:rPr>
                <w:noProof/>
                <w:color w:val="006100"/>
                <w:sz w:val="18"/>
                <w:szCs w:val="18"/>
              </w:rPr>
              <w:t>koskevat yli 10:tä teollisuusyksikköä (”Produce E-Green”).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Hakemukset on valittava valinta-/tukikelpoisuusperusteiden mukaisesti, ja niissä on varmistettava, että valitut hankkeet ovat ”ei merkittävää haittaa” -periaatteen teknisten ohjeiden (2021/C58/01) </w:t>
            </w:r>
            <w:r>
              <w:rPr>
                <w:noProof/>
                <w:color w:val="006100"/>
                <w:sz w:val="18"/>
                <w:szCs w:val="18"/>
              </w:rPr>
              <w:t>mukaisia käyttämällä poissulkemisluetteloa ja vaatimusta asiaankuuluvan EU:n ja kansallisen ympäristölainsäädännön noudattamisesta.</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51</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Lataaminen ja tankkaus – 16831_Produc- E Green</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Hiilidioksidin talteenotto ja varastointi (CCS) – </w:t>
            </w:r>
            <w:r>
              <w:rPr>
                <w:noProof/>
                <w:color w:val="006100"/>
                <w:sz w:val="18"/>
                <w:szCs w:val="18"/>
              </w:rPr>
              <w:t>varastointilupa</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Varastointiluvan myöntäminen ja ilmoitusjärjestelmän perustaminen</w:t>
            </w: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Hiilidioksidin talteenotosta ja varastoinnista vastaava ministeriö myöntää varastointiluvan vahvistetulle toiminnanharjoittajalle. Hakija toimittaa ympäristö- ja </w:t>
            </w:r>
            <w:r>
              <w:rPr>
                <w:noProof/>
                <w:color w:val="006100"/>
                <w:sz w:val="18"/>
                <w:szCs w:val="18"/>
              </w:rPr>
              <w:t xml:space="preserve">energiaministeriölle täydellisen hakemuksen, joka sisältää kaikki asiaa koskevat tutkimukset ja ympäristövaikutusten arviointitutkimuksen. Otetaan käyttöön raportointijärjestelmä varastoidun hiilidioksidin vuosittaista raportointia varten ja vahvistetaan, </w:t>
            </w:r>
            <w:r>
              <w:rPr>
                <w:noProof/>
                <w:color w:val="006100"/>
                <w:sz w:val="18"/>
                <w:szCs w:val="18"/>
              </w:rPr>
              <w:t>että öljyä ei ole erotettu, lukuun ottamatta sitä, joka rajoittuu välttämättömään tarpeeseen hallita painetta ja varmistaa varastointipaikkojen turvallisuus, ja että kaikki välttämättömään louhintaan liittyvät prosessihiilivedyt erotetaan toisistaan ja syö</w:t>
            </w:r>
            <w:r>
              <w:rPr>
                <w:noProof/>
                <w:color w:val="006100"/>
                <w:sz w:val="18"/>
                <w:szCs w:val="18"/>
              </w:rPr>
              <w:t>tetään takaisin pysyvään varastointiin.</w:t>
            </w:r>
          </w:p>
          <w:p w:rsidR="00B0093E" w:rsidRDefault="00762CA6">
            <w:pPr>
              <w:spacing w:after="0" w:line="240" w:lineRule="auto"/>
              <w:rPr>
                <w:rFonts w:eastAsia="Times New Roman" w:cs="Calibri"/>
                <w:noProof/>
                <w:color w:val="006100"/>
                <w:sz w:val="18"/>
                <w:szCs w:val="18"/>
              </w:rPr>
            </w:pPr>
            <w:r>
              <w:rPr>
                <w:noProof/>
                <w:color w:val="006100"/>
                <w:sz w:val="18"/>
                <w:szCs w:val="18"/>
              </w:rPr>
              <w:t>Tukitoimet on toteutettava ”ei merkittävää haittaa” -periaatteen teknisiin ohjeisiin (2021/C58/01) sisältyvien valinta-/tukikelpoisuusperusteiden mukaisesti, ja niissä on erityisesti viitattava vaatimukseen, jonka mu</w:t>
            </w:r>
            <w:r>
              <w:rPr>
                <w:noProof/>
                <w:color w:val="006100"/>
                <w:sz w:val="18"/>
                <w:szCs w:val="18"/>
              </w:rPr>
              <w:t>kaan käytettävissä ei saa olla teknisiä sovelluksia, tiloja ja laitteita, jotka on suunniteltu öljyn tehostettuun talteenottoon (EOR) ja öljyntuotannon lisäämiseen. On huolehdittava siitä, että öljyn tai kaasun mahdollinen talteenotto rajoittuu välttämättö</w:t>
            </w:r>
            <w:r>
              <w:rPr>
                <w:noProof/>
                <w:color w:val="006100"/>
                <w:sz w:val="18"/>
                <w:szCs w:val="18"/>
              </w:rPr>
              <w:t>miin tarpeisiin, jotka liittyvät paineen hallintaan ja varastointipaikkojen turvallisuuden varmistamiseen, ja että tällainen talteenotto on tehtävä vain, jos se on välttämätöntä hiilidioksidin turvallisen varastoinnin varmistamiseksi. Hiilidioksidi ja öljy</w:t>
            </w:r>
            <w:r>
              <w:rPr>
                <w:noProof/>
                <w:color w:val="006100"/>
                <w:sz w:val="18"/>
                <w:szCs w:val="18"/>
              </w:rPr>
              <w:t xml:space="preserve"> tai kaasu, joka voidaan ottaa talteen, on erotettava toisistaan ja syötettävä takaisin pysyvään varastointiin.</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52</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Lataus ja tankkaus – 16924_ Sähköinen liikkuvuus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Linja-autot ja taksit – vaihto sähköllä</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Niiden vanhojen taksien ja </w:t>
            </w:r>
            <w:r>
              <w:rPr>
                <w:noProof/>
                <w:color w:val="006100"/>
                <w:sz w:val="18"/>
                <w:szCs w:val="18"/>
              </w:rPr>
              <w:t>linja-autojen lukumäärä, jotka on romutettu valtuutetussa käsittelylaitoksessa ja korvattu akkukäyttöisillä sähköajoneuvoilla tai sähköbusseilla</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2 200</w:t>
            </w: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”Vihreän liikenteen” tukijärjestelmä saatetaan päätökseen a) korvaamalla 2 000 vanhaa taksia 2 </w:t>
            </w:r>
            <w:r>
              <w:rPr>
                <w:noProof/>
                <w:color w:val="006100"/>
                <w:sz w:val="18"/>
                <w:szCs w:val="18"/>
              </w:rPr>
              <w:t>000 uudella akkukäyttöisellä sähköajoneuvolla ja b) korvaamalla 220 vanhaa linja-autoa 220 uudella sähkölinja-autolla (163 sähköbussia on sijoitettava Ateenaan ja 57 sähköbussia Thessalonikissa), jossa vanhojen ajoneuvojen/bussien romutus tapahtuu romuajon</w:t>
            </w:r>
            <w:r>
              <w:rPr>
                <w:noProof/>
                <w:color w:val="006100"/>
                <w:sz w:val="18"/>
                <w:szCs w:val="18"/>
              </w:rPr>
              <w:t>euvodirektiivin (2000/53/EY) mukaisesti.</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53</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Lataaminen ja tankkaus – 16831_Produc- E Green</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CCS – toimintatodistus myönnetty </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Hiilidioksidin talteenottoa ja varastointia koskevan toimintatodistuksen antaminen.</w:t>
            </w: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Hiilidioksidin</w:t>
            </w:r>
            <w:r>
              <w:rPr>
                <w:noProof/>
                <w:color w:val="006100"/>
                <w:sz w:val="18"/>
                <w:szCs w:val="18"/>
              </w:rPr>
              <w:t xml:space="preserve"> talteenottoa ja varastointia koskevien töiden loppuun saattaminen eritelmien mukaisesti ja onnistuneen testauksen jälkeen</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54</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Lataaminen ja tankkaus – 16831_Produc- E Green</w:t>
            </w:r>
          </w:p>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Teollisuusyksiköt — </w:t>
            </w:r>
          </w:p>
          <w:p w:rsidR="00B0093E" w:rsidRDefault="00762CA6">
            <w:pPr>
              <w:spacing w:after="0" w:line="240" w:lineRule="auto"/>
              <w:rPr>
                <w:rFonts w:eastAsia="Times New Roman" w:cs="Calibri"/>
                <w:noProof/>
                <w:color w:val="006100"/>
                <w:sz w:val="18"/>
                <w:szCs w:val="18"/>
              </w:rPr>
            </w:pPr>
            <w:r>
              <w:rPr>
                <w:noProof/>
                <w:color w:val="006100"/>
                <w:sz w:val="18"/>
                <w:szCs w:val="18"/>
              </w:rPr>
              <w:t>toiminnassa</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Valmiiksi saattaminen </w:t>
            </w:r>
            <w:r>
              <w:rPr>
                <w:noProof/>
                <w:color w:val="006100"/>
                <w:sz w:val="18"/>
                <w:szCs w:val="18"/>
              </w:rPr>
              <w:t>ympäristö- ja energiaministeriön raportista täysin toimintavalmiista teollisuusyksiköistä</w:t>
            </w: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Tukea saaneiden teollisuusyksiköiden on toimittava täysimääräisesti kestävän liikkuvuuden alan innovatiivisista tuotteista ja palveluista vastaavan tutkimu</w:t>
            </w:r>
            <w:r>
              <w:rPr>
                <w:noProof/>
                <w:color w:val="006100"/>
                <w:sz w:val="18"/>
                <w:szCs w:val="18"/>
              </w:rPr>
              <w:t>s- ja kehitysosaston (T&amp;K) kanssa (kuten autojen sähköakkujen kierrätys käyttämällä uudelleen litiumin ja koboltin kaltaisia raaka-aineita, sähköajoneuvojen suunnittelu sekä tavanomaiset tai suuritehoiset latauspisteet).</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55</w:t>
            </w:r>
          </w:p>
        </w:tc>
        <w:tc>
          <w:tcPr>
            <w:tcW w:w="13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 – 1.3. Lataaminen ja tankkaus</w:t>
            </w:r>
            <w:r>
              <w:rPr>
                <w:noProof/>
                <w:color w:val="006100"/>
                <w:sz w:val="18"/>
                <w:szCs w:val="18"/>
              </w:rPr>
              <w:t xml:space="preserve"> – 16831_Produc- E Green</w:t>
            </w:r>
          </w:p>
          <w:p w:rsidR="00B0093E" w:rsidRDefault="00762CA6">
            <w:pPr>
              <w:spacing w:after="0" w:line="240" w:lineRule="auto"/>
              <w:rPr>
                <w:rFonts w:eastAsia="Times New Roman" w:cs="Calibri"/>
                <w:noProof/>
                <w:color w:val="006100"/>
                <w:sz w:val="18"/>
                <w:szCs w:val="18"/>
              </w:rPr>
            </w:pPr>
            <w:r>
              <w:rPr>
                <w:noProof/>
                <w:color w:val="006100"/>
                <w:sz w:val="18"/>
                <w:szCs w:val="18"/>
              </w:rPr>
              <w:t>16924_ Sähköliikenne</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41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Sähkökäyttöisten ajoneuvojen latauspisteet – asennustyöt valmiit</w:t>
            </w:r>
          </w:p>
        </w:tc>
        <w:tc>
          <w:tcPr>
            <w:tcW w:w="237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Sähkökäyttöisten ajoneuvojen latauspisteiden lukumäärä, kuten ympäristö- ja energiaministeriö on vahvistanut</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8 000</w:t>
            </w: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Sähkökäyttöisten ajoneuvojen vähintään 8 000 julkisen latauspisteen asentaminen strategisiin kaupunki- ja esikaupunkipaikkoihin kaupunkien sisällä ja kiinnostaviin kohteisiin sekä valittuihin operatiivisiin yksiköihin on saatettava päätökseen. </w:t>
            </w:r>
          </w:p>
        </w:tc>
      </w:tr>
    </w:tbl>
    <w:p w:rsidR="00B0093E" w:rsidRDefault="00B0093E">
      <w:pPr>
        <w:spacing w:before="120" w:after="120" w:line="240" w:lineRule="auto"/>
        <w:ind w:left="709"/>
        <w:rPr>
          <w:rFonts w:ascii="Times New Roman" w:hAnsi="Times New Roman" w:cs="Times New Roman"/>
          <w:noProof/>
          <w:sz w:val="24"/>
        </w:rPr>
      </w:pPr>
    </w:p>
    <w:p w:rsidR="00B0093E" w:rsidRDefault="00B0093E">
      <w:pPr>
        <w:spacing w:before="120" w:after="120" w:line="240" w:lineRule="auto"/>
        <w:ind w:left="709"/>
        <w:rPr>
          <w:rFonts w:ascii="Times New Roman" w:hAnsi="Times New Roman" w:cs="Times New Roman"/>
          <w:noProof/>
          <w:sz w:val="24"/>
        </w:rPr>
        <w:sectPr w:rsidR="00B0093E">
          <w:headerReference w:type="even" r:id="rId57"/>
          <w:headerReference w:type="default" r:id="rId58"/>
          <w:footerReference w:type="even" r:id="rId59"/>
          <w:footerReference w:type="default" r:id="rId60"/>
          <w:headerReference w:type="first" r:id="rId61"/>
          <w:footerReference w:type="first" r:id="rId62"/>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D. KOMPONENTTI 1.4: LUONNONVAROJEN KESTÄVÄ KÄYTTÖ, ILMASTOKESTÄVYYS JA YMPÄRISTÖNSUOJELU</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Kreikan elpymis- ja palautumissuunnitelman tällä komponentilla pyritään edistämään vihreää siirtymää. Se käsittää k</w:t>
      </w:r>
      <w:r>
        <w:rPr>
          <w:rFonts w:ascii="Times New Roman" w:hAnsi="Times New Roman"/>
          <w:noProof/>
          <w:sz w:val="24"/>
        </w:rPr>
        <w:t xml:space="preserve">ohdennettuja uudistuksia ja investointeja, joilla parannetaan luonnonympäristön suojelua ja ennallistamista, mukaan lukien biologisen monimuotoisuuden suojelu, parannetaan ympäristöinfrastruktuuria ja korjataan metsäpinta-alan menetykset. </w:t>
      </w:r>
      <w:r>
        <w:rPr>
          <w:noProof/>
        </w:rPr>
        <w:t>Lisäksi siihen si</w:t>
      </w:r>
      <w:r>
        <w:rPr>
          <w:noProof/>
        </w:rPr>
        <w:t>sältyy jätehuoltouudistus, johon kuuluu erityisesti kansallisen jätealan sääntelyviranomaisen perustaminen. Viranomaisen tehtävänä on tukea siirtymistä kiertotalouteen, joka perustuu jätteiden syntymisen ehkäisemiseen, uudelleenkäyttöön ja kierrätykseen.</w:t>
      </w:r>
      <w:r>
        <w:rPr>
          <w:rFonts w:ascii="Times New Roman" w:hAnsi="Times New Roman"/>
          <w:noProof/>
          <w:sz w:val="24"/>
        </w:rPr>
        <w:t xml:space="preserve"> L</w:t>
      </w:r>
      <w:r>
        <w:rPr>
          <w:rFonts w:ascii="Times New Roman" w:hAnsi="Times New Roman"/>
          <w:noProof/>
          <w:sz w:val="24"/>
        </w:rPr>
        <w:t>isäksi sillä perustetaan kansallinen vesialan sääntelyviranomainen vesihuoltoon liittyvien toimien ja investointien kestävyyden parantamiseksi. Komponenttiin sisältyvien uudistusten ja investointien täytäntöönpanolla lisätään luonnonvarojen käytön tehokkuu</w:t>
      </w:r>
      <w:r>
        <w:rPr>
          <w:rFonts w:ascii="Times New Roman" w:hAnsi="Times New Roman"/>
          <w:noProof/>
          <w:sz w:val="24"/>
        </w:rPr>
        <w:t xml:space="preserve">tta ja edistetään suojelua ympäristöön liittyviltä riskeiltä ja vaikutuksilta sekä yhteiskuntaan että talouteen kohdistuvilta vaikutuksilta. Komponenttiin kuuluvat myös investoinnit, joilla parannetaan juomaveden jakelua ja viemäröintiä sekä ehkäistään ja </w:t>
      </w:r>
      <w:r>
        <w:rPr>
          <w:rFonts w:ascii="Times New Roman" w:hAnsi="Times New Roman"/>
          <w:noProof/>
          <w:sz w:val="24"/>
        </w:rPr>
        <w:t xml:space="preserve">lievennetään ilmastonmuutoksesta johtuvia ympäristöhaasteita.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Komponentilla tuetaan vuonna 2020 annettua maakohtaista suositusta 3 ja vuonna 2019 annettua maakohtaista suositusta nro 2 julkisista ja yksityisistä investoinneista. Minkään tähän osa-alueesee</w:t>
      </w:r>
      <w:r>
        <w:rPr>
          <w:rFonts w:ascii="Times New Roman" w:hAnsi="Times New Roman"/>
          <w:noProof/>
          <w:sz w:val="24"/>
        </w:rPr>
        <w:t>n kuuluvan toimenpiteen ei odoteta aiheuttavan merkittävää haittaa asetuksen (EU) 2020/852 17 artiklassa tarkoitetuille ympäristötavoitteille, kun otetaan huomioon elpymis- ja palautumissuunnitelmassa esitettyjen toimenpiteiden kuvaus ja lieventävät toimet</w:t>
      </w:r>
      <w:r>
        <w:rPr>
          <w:rFonts w:ascii="Times New Roman" w:hAnsi="Times New Roman"/>
          <w:noProof/>
          <w:sz w:val="24"/>
        </w:rPr>
        <w:t xml:space="preserve"> ”ei merkittävää haittaa -periaatteen” teknisten ohjeiden (2021/C58/01) mukaisesti.</w:t>
      </w:r>
    </w:p>
    <w:p w:rsidR="00B0093E" w:rsidRDefault="00762CA6">
      <w:pPr>
        <w:tabs>
          <w:tab w:val="left" w:pos="1134"/>
        </w:tabs>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D.1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Vesihuoltohankkeet (toimenpiteen tunniste: 16898)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vesihuoltohankkeista Länsi-Kreikan alueilla sekä Lesboksen ja Korfun saarilla. Investoinnin tavoitteena on vastata kesäkuukausien suuriin vedensaantitarpeisiin ja puuttua vuodon aiheuttamiin ongelmiin. Rakennettujen järjestelmien on olt</w:t>
      </w:r>
      <w:r>
        <w:rPr>
          <w:rFonts w:ascii="Times New Roman" w:hAnsi="Times New Roman"/>
          <w:noProof/>
          <w:sz w:val="24"/>
        </w:rPr>
        <w:t>ava keskimäärin enintään 1,5 infrastruktuurivuotoindeksin (ILI) mukaisia. Toimenpide edellyttää, että kaikissa töissä noudatetaan seuraavia periaatteita: i) kaikki teknisesti toteutettavissa olevat ja ekologisesti merkittävät lieventävät toimenpiteet on to</w:t>
      </w:r>
      <w:r>
        <w:rPr>
          <w:rFonts w:ascii="Times New Roman" w:hAnsi="Times New Roman"/>
          <w:noProof/>
          <w:sz w:val="24"/>
        </w:rPr>
        <w:t>teutettava veteen ja merkityksellisiin luontotyyppeihin ja lajeihin kohdistuvien haitallisten vaikutusten vähentämiseksi; ii) varmistettava vasta rakennetun padon osalta, että se ei huononna eikä vaaranna asianomaisten ja siihen liittyvien vesistöjen hyvän</w:t>
      </w:r>
      <w:r>
        <w:rPr>
          <w:rFonts w:ascii="Times New Roman" w:hAnsi="Times New Roman"/>
          <w:noProof/>
          <w:sz w:val="24"/>
        </w:rPr>
        <w:t xml:space="preserve"> tilan saavuttamista. Minkään tähän osa-alueeseen kuuluvan toimenpiteen ei odoteta aiheuttavan merkittävää haittaa asetuksen (EU) 2020/852 17 artiklassa tarkoitetuille ympäristötavoitteille, kun otetaan huomioon elpymis- ja palautumissuunnitelmassa esitett</w:t>
      </w:r>
      <w:r>
        <w:rPr>
          <w:rFonts w:ascii="Times New Roman" w:hAnsi="Times New Roman"/>
          <w:noProof/>
          <w:sz w:val="24"/>
        </w:rPr>
        <w:t>yjen toimenpiteen kuvaus ja lieventävät toimet ”ei merkittävää haittaa -periaatteen” teknisten ohjeiden (2021/C58/01) mukaisesti. Kunkin ali-investoinnin osalta on erityisesti varmistettava vesipolitiikan puitedirektiivin (direktiivi 2000/60/EY) vaatimuste</w:t>
      </w:r>
      <w:r>
        <w:rPr>
          <w:rFonts w:ascii="Times New Roman" w:hAnsi="Times New Roman"/>
          <w:noProof/>
          <w:sz w:val="24"/>
        </w:rPr>
        <w:t xml:space="preserve">n täysimääräinen noudattaminen ennen rakennustöiden aloittamista. Lisäksi toimenpiteestä tehdään ympäristövaikutusten arviointi direktiivin 2011/92/EU mukaisesti sekä asiaankuuluvat arvioinnit direktiivien 2000/60/EY ja 92/43/ETY yhteydessä, mukaan lukien </w:t>
      </w:r>
      <w:r>
        <w:rPr>
          <w:rFonts w:ascii="Times New Roman" w:hAnsi="Times New Roman"/>
          <w:noProof/>
          <w:sz w:val="24"/>
        </w:rPr>
        <w:t>vaadittujen lieventävien toimenpiteiden täytäntöönpano.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Kansallinen uudelleenmetsityssuunnitelma ja Parnitha-lippulaivainvestointi (toimenpiteen tunniste: 16849)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w:t>
      </w:r>
      <w:r>
        <w:rPr>
          <w:rFonts w:ascii="Times New Roman" w:hAnsi="Times New Roman"/>
          <w:noProof/>
          <w:sz w:val="24"/>
        </w:rPr>
        <w:t xml:space="preserve">ti koostuu kahdesta osasta. Ensinnäkin Kreikan heikentyneitä metsäekosysteemejä on ennallistettava 16500 hehtaarilla. Hanke kattaa sekä uudelleenmetsittämistutkimukset että niiden toteuttamisen. Toiseksi Ateenan pohjoispuolella sijaitsevaa Parnitha-vuorta </w:t>
      </w:r>
      <w:r>
        <w:rPr>
          <w:rFonts w:ascii="Times New Roman" w:hAnsi="Times New Roman"/>
          <w:noProof/>
          <w:sz w:val="24"/>
        </w:rPr>
        <w:t>koskeva lippulaivahanke, jolla ennallistetaan sen luonnonympäristöä, suojellaan sitä paremmin maastopaloilta, parannetaan sen saatavuutta ja rakennetaan uudelleen käytöstä poistetut tilat lieviin käyttötarkoituksiin. Investointi on määrä toteuttaa viimeist</w:t>
      </w:r>
      <w:r>
        <w:rPr>
          <w:rFonts w:ascii="Times New Roman" w:hAnsi="Times New Roman"/>
          <w:noProof/>
          <w:sz w:val="24"/>
        </w:rPr>
        <w: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Jäteveden käsittelyssä syntyvät yhdyskuntajätevesien ja lietteen käsittelyinfrastruktuurit (toimenpiteen tunniste: 16846)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vähennetään jäteveden käsittelystä aiheutuvaa luonnonympäristöä ja ihmise</w:t>
      </w:r>
      <w:r>
        <w:rPr>
          <w:rFonts w:ascii="Times New Roman" w:hAnsi="Times New Roman"/>
          <w:noProof/>
          <w:sz w:val="24"/>
        </w:rPr>
        <w:t>n aiheuttamaa pilaantumista rakentamalla uutta infrastruktuuria ja parantamalla olemassa olevaa infrastruktuuria. Se koostuu kolmesta alahankkeesta: a) 37 uuden jätevedenpuhdistusverkon infrastruktuurin ja jätevedenpuhdistamojen rakentaminen, b) 11 jäteved</w:t>
      </w:r>
      <w:r>
        <w:rPr>
          <w:rFonts w:ascii="Times New Roman" w:hAnsi="Times New Roman"/>
          <w:noProof/>
          <w:sz w:val="24"/>
        </w:rPr>
        <w:t>enpuhdistamon parantaminen, laajentaminen ja nykyaikaistaminen sekä käsitellyn veden uudelleenkäyttö ja c) jätevedenpuhdistamojen 16 lietteenkäsittelyinfrastruktuurin rakentaminen. Yhdentoista jätevedenpuhdistamon nykyaikaistamiseen ja nykyaikaistamiseen l</w:t>
      </w:r>
      <w:r>
        <w:rPr>
          <w:rFonts w:ascii="Times New Roman" w:hAnsi="Times New Roman"/>
          <w:noProof/>
          <w:sz w:val="24"/>
        </w:rPr>
        <w:t>iittyvän investoinnin osan on oltava sen vaatimuksen mukainen, jonka mukaan koko jätevesijärjestelmän uudistamisen on johdettava keskimääräisen energiankulutuksen vähenemiseen vähintään 10 prosentilla, joka saavutetaan yksinomaan energiatehokkuustoimenpite</w:t>
      </w:r>
      <w:r>
        <w:rPr>
          <w:rFonts w:ascii="Times New Roman" w:hAnsi="Times New Roman"/>
          <w:noProof/>
          <w:sz w:val="24"/>
        </w:rPr>
        <w:t>illä eikä olennaisilla muutoksilla tai kuormituksen muutoksilla. Minkään tähän osa-alueeseen kuuluvan toimenpiteen ei odoteta aiheuttavan merkittävää haittaa asetuksen (EU) 2020/852 17 artiklassa tarkoitetuille ympäristötavoitteille, kun otetaan huomioon e</w:t>
      </w:r>
      <w:r>
        <w:rPr>
          <w:rFonts w:ascii="Times New Roman" w:hAnsi="Times New Roman"/>
          <w:noProof/>
          <w:sz w:val="24"/>
        </w:rPr>
        <w:t>lpymis- ja palautumissuunnitelmassa esitettyjen toimenpiteen kuvaus ja lieventävät toimet ”ei merkittävää haittaa -periaatteen” teknisten ohjeiden (2021/C58/01) mukaisesti. Toimenpiteestä tehdään erityisesti ympäristövaikutusten arviointi direktiivin 2011/</w:t>
      </w:r>
      <w:r>
        <w:rPr>
          <w:rFonts w:ascii="Times New Roman" w:hAnsi="Times New Roman"/>
          <w:noProof/>
          <w:sz w:val="24"/>
        </w:rPr>
        <w:t>92/EU mukaisesti sekä asiaankuuluvat arvioinnit direktiivien 2000/60/EY ja 92/43/ETY yhteydessä, mukaan lukien vaadittujen lieventävien toimenpiteiden täytäntöönpano.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Inve</w:t>
      </w:r>
      <w:r>
        <w:rPr>
          <w:rFonts w:ascii="Times New Roman" w:hAnsi="Times New Roman"/>
          <w:noProof/>
          <w:sz w:val="24"/>
        </w:rPr>
        <w:t>stoinnit kansalliseen kasteluverkostoon julkisen ja yksityisen sektorin kumppanuusohjelmien kautta (toimenpiteen tunniste: 16285)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on kokonaisvaltainen ohjelma, jolla parannetaan ja nykyaikaistetaan maatalouden ympäristöä, maanparannusta ja kunn</w:t>
      </w:r>
      <w:r>
        <w:rPr>
          <w:rFonts w:ascii="Times New Roman" w:hAnsi="Times New Roman"/>
          <w:noProof/>
          <w:sz w:val="24"/>
        </w:rPr>
        <w:t>ostamista koskevia kansallisia puitteita. Näillä investoinneilla on vahvistettava maatalousalan selviytymis- ja kilpailukykyä, parannettava saatavilla olevan veden tarjontaa ja laatua, järkeistettävä veden kulutusta, lievennettävä suolaantumis- ja aavikoit</w:t>
      </w:r>
      <w:r>
        <w:rPr>
          <w:rFonts w:ascii="Times New Roman" w:hAnsi="Times New Roman"/>
          <w:noProof/>
          <w:sz w:val="24"/>
        </w:rPr>
        <w:t>umisriskejä sekä puututtava biologisen monimuotoisuuden ja luonnollisten elinympäristöjen suojeluun ja suojeluun. Tähän toimenpiteeseen kuuluu myös yhteisten kasteluverkostojen institutionaalisten, organisatoristen ja toiminnallisten puitteiden uudistamine</w:t>
      </w:r>
      <w:r>
        <w:rPr>
          <w:rFonts w:ascii="Times New Roman" w:hAnsi="Times New Roman"/>
          <w:noProof/>
          <w:sz w:val="24"/>
        </w:rPr>
        <w:t>n. Toimenpide edellyttää, että kaikissa töissä noudatetaan seuraavia periaatteita: i) toteutetaan kaikki teknisesti toteutettavissa olevat ja ekologisesti merkittävät toimenpiteet ilmastonmuutokseen sopeutumiseksi sekä mahdollisten veteen ja luontotyyppeih</w:t>
      </w:r>
      <w:r>
        <w:rPr>
          <w:rFonts w:ascii="Times New Roman" w:hAnsi="Times New Roman"/>
          <w:noProof/>
          <w:sz w:val="24"/>
        </w:rPr>
        <w:t xml:space="preserve">in ja lajeihin kohdistuvien haitallisten vaikutusten lieventäminen, jos lisätoimenpiteet vaikuttavat tarpeellisilta; ii) varmistetaan vastarakennetun padon osalta, että se ei huononna eikä vaaranna asianomaisten ja siihen liittyvien vesistöjen hyvän tilan </w:t>
      </w:r>
      <w:r>
        <w:rPr>
          <w:rFonts w:ascii="Times New Roman" w:hAnsi="Times New Roman"/>
          <w:noProof/>
          <w:sz w:val="24"/>
        </w:rPr>
        <w:t>saavuttamista. Minkään tähän osa-alueeseen kuuluvan toimenpiteen ei odoteta aiheuttavan merkittävää haittaa asetuksen (EU) 2020/852 17 artiklassa tarkoitetuille ympäristötavoitteille, kun otetaan huomioon elpymis- ja palautumissuunnitelmassa esitettyjen to</w:t>
      </w:r>
      <w:r>
        <w:rPr>
          <w:rFonts w:ascii="Times New Roman" w:hAnsi="Times New Roman"/>
          <w:noProof/>
          <w:sz w:val="24"/>
        </w:rPr>
        <w:t>imenpiteen kuvaus ja lieventävät toimet ”ei merkittävää haittaa -periaatteen” teknisten ohjeiden (2021/C58/01) mukaisesti. Kunkin ali-investoinnin osalta on erityisesti varmistettava EU:n lainsäädännön vaatimusten noudattaminen kaikilta osin, vesipolitiika</w:t>
      </w:r>
      <w:r>
        <w:rPr>
          <w:rFonts w:ascii="Times New Roman" w:hAnsi="Times New Roman"/>
          <w:noProof/>
          <w:sz w:val="24"/>
        </w:rPr>
        <w:t>n puitedirektiivi mukaan lukien, ennen rakennustöiden aloittamista ja niiden jälkeen. Lisäksi toimenpiteestä tehdään ympäristövaikutusten arviointi direktiivin 2011/92/EU mukaisesti sekä asiaankuuluvat arvioinnit direktiivien 2000/60/EY ja 92/43/ETY yhteyd</w:t>
      </w:r>
      <w:r>
        <w:rPr>
          <w:rFonts w:ascii="Times New Roman" w:hAnsi="Times New Roman"/>
          <w:noProof/>
          <w:sz w:val="24"/>
        </w:rPr>
        <w:t>essä, mukaan lukien vaadittujen lieventävien toimenpiteiden täytäntöönpano.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Juomavesihuolto ja säästöinfrastruktuurit (toimenpiteen tunniste: 16850)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pyritää</w:t>
      </w:r>
      <w:r>
        <w:rPr>
          <w:rFonts w:ascii="Times New Roman" w:hAnsi="Times New Roman"/>
          <w:noProof/>
          <w:sz w:val="24"/>
        </w:rPr>
        <w:t>n parantamaan juomaveden saatavuutta ja laatua sekä vähentämään vesi-infrastruktuuriin liittyviä vuotoja ja kansanterveydellisiä riskejä. Investointi koostuu neljästä alahankkeesta: uusien vesihuoltoinfrastruktuurien rakentaminen seitsemälle alueelle ja ko</w:t>
      </w:r>
      <w:r>
        <w:rPr>
          <w:rFonts w:ascii="Times New Roman" w:hAnsi="Times New Roman"/>
          <w:noProof/>
          <w:sz w:val="24"/>
        </w:rPr>
        <w:t>lmeen suolanpoistolaitokseen, b) kaukomittausjärjestelmien perustaminen vesijohtoverkkojen vuotojen havaitsemiseksi, c) digitaalisten hydrometrien hankinta ja d) muut vettä säästävät toimet. Investoinnin on täytettävä seuraavat vaatimukset: i) vasta rakenn</w:t>
      </w:r>
      <w:r>
        <w:rPr>
          <w:rFonts w:ascii="Times New Roman" w:hAnsi="Times New Roman"/>
          <w:noProof/>
          <w:sz w:val="24"/>
        </w:rPr>
        <w:t>etun järjestelmän keskimääräinen infrastruktuurivuotoindeksi (ILI) on enintään 1,5 ja ii) peruskorjaustoiminta vähentää vuodon määrää yli 20 prosentilla ja iii) suolanpoistoyksiköt liitetään uusiutuviin energialähteisiin. Minkään tähän osa-alueeseen kuuluv</w:t>
      </w:r>
      <w:r>
        <w:rPr>
          <w:rFonts w:ascii="Times New Roman" w:hAnsi="Times New Roman"/>
          <w:noProof/>
          <w:sz w:val="24"/>
        </w:rPr>
        <w:t>an toimenpiteen ei odoteta aiheuttavan merkittävää haittaa asetuksen (EU) 2020/852 17 artiklassa tarkoitetuille ympäristötavoitteille, kun otetaan huomioon elpymis- ja palautumissuunnitelmassa esitettyjen toimenpiteen kuvaus ja lieventävät toimet ”ei merki</w:t>
      </w:r>
      <w:r>
        <w:rPr>
          <w:rFonts w:ascii="Times New Roman" w:hAnsi="Times New Roman"/>
          <w:noProof/>
          <w:sz w:val="24"/>
        </w:rPr>
        <w:t>ttävää haittaa -periaatteen” teknisten ohjeiden (2021/C58/01) mukaisesti. Toimenpiteestä tehdään erityisesti ympäristövaikutusten arviointi direktiivin 2011/92/EU mukaisesti sekä asiaankuuluvat arvioinnit direktiivien 2000/60/EY ja 92/43/ETY yhteydessä, mu</w:t>
      </w:r>
      <w:r>
        <w:rPr>
          <w:rFonts w:ascii="Times New Roman" w:hAnsi="Times New Roman"/>
          <w:noProof/>
          <w:sz w:val="24"/>
        </w:rPr>
        <w:t>kaan lukien vaadittujen lieventävien toimenpiteiden täytäntöönpano.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Ilma-alukset kriisinhallintaa varten (toimenpiteen tunniste: 16911)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hankittujen il</w:t>
      </w:r>
      <w:r>
        <w:rPr>
          <w:rFonts w:ascii="Times New Roman" w:hAnsi="Times New Roman"/>
          <w:noProof/>
          <w:sz w:val="24"/>
        </w:rPr>
        <w:t>ma-alusten toimittamisen ja pelastuspalveluun käytettävien käytössä olevien ilma-alusten nykyaikaistamisen. Tällaisia ilma-aluksia ovat esimerkiksi lääketieteelliseen käyttöön sekä hätäinfrastruktuurin kuljetukseen ja käyttöön tarkoitetut helikopterit, ilm</w:t>
      </w:r>
      <w:r>
        <w:rPr>
          <w:rFonts w:ascii="Times New Roman" w:hAnsi="Times New Roman"/>
          <w:noProof/>
          <w:sz w:val="24"/>
        </w:rPr>
        <w:t>avalvontaan tarkoitetut miehittämättömät ilma-alukset ja palontorjuntaan käytettävät ilma-alukset. Minkään tähän osa-alueeseen kuuluvan toimenpiteen ei odoteta aiheuttavan merkittävää haittaa asetuksen (EU) 2020/852 17 artiklassa tarkoitetuille ympäristöta</w:t>
      </w:r>
      <w:r>
        <w:rPr>
          <w:rFonts w:ascii="Times New Roman" w:hAnsi="Times New Roman"/>
          <w:noProof/>
          <w:sz w:val="24"/>
        </w:rPr>
        <w:t>voitteille, kun otetaan huomioon elpymis- ja palautumissuunnitelmassa esitettyjen toimenpiteen kuvaus ja lieventävät toimet ”ei merkittävää haittaa -periaatteen” teknisten ohjeiden (2021/C58/01) mukaisesti. Erityisesti kaikkien erikoiskäyttöön tarkoitettuj</w:t>
      </w:r>
      <w:r>
        <w:rPr>
          <w:rFonts w:ascii="Times New Roman" w:hAnsi="Times New Roman"/>
          <w:noProof/>
          <w:sz w:val="24"/>
        </w:rPr>
        <w:t>en ilma-alusten on oltava ”parhaimmistoon” kuuluvia omaisuuseriä.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Tulvien lieventämiseen tähtäävät hankkeet (toimenpiteen tunniste: 16882)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toimia, joilla vähennetään tulvariskejä, tarjotaan kasteluvettä kesän kuivuuden koettelemilla alueilla ja parannetaan pintavesien hoidon tehokkuutta useilla Kreikan alueilla. Toimenpide edellyttää, että kaikissa töissä noudatetaan seur</w:t>
      </w:r>
      <w:r>
        <w:rPr>
          <w:rFonts w:ascii="Times New Roman" w:hAnsi="Times New Roman"/>
          <w:noProof/>
          <w:sz w:val="24"/>
        </w:rPr>
        <w:t>aavia periaatteita: i) kaikki teknisesti toteutettavissa olevat ja ekologisesti merkittävät lieventävät toimenpiteet on toteutettava veteen ja merkityksellisiin luontotyyppeihin ja lajeihin kohdistuvien haitallisten vaikutusten vähentämiseksi; ii) varmiste</w:t>
      </w:r>
      <w:r>
        <w:rPr>
          <w:rFonts w:ascii="Times New Roman" w:hAnsi="Times New Roman"/>
          <w:noProof/>
          <w:sz w:val="24"/>
        </w:rPr>
        <w:t>ttava vasta rakennetun padon osalta, että se ei huononna eikä vaaranna asianomaisten ja siihen liittyvien vesistöjen hyvän tilan saavuttamista. Minkään tähän osa-alueeseen kuuluvan toimenpiteen ei odoteta aiheuttavan merkittävää haittaa asetuksen (EU) 2020</w:t>
      </w:r>
      <w:r>
        <w:rPr>
          <w:rFonts w:ascii="Times New Roman" w:hAnsi="Times New Roman"/>
          <w:noProof/>
          <w:sz w:val="24"/>
        </w:rPr>
        <w:t>/852 17 artiklassa tarkoitetuille ympäristötavoitteille, kun otetaan huomioon elpymis- ja palautumissuunnitelmassa esitettyjen toimenpiteen kuvaus ja lieventävät toimet ”ei merkittävää haittaa -periaatteen” teknisten ohjeiden (2021/C58/01) mukaisesti. Kunk</w:t>
      </w:r>
      <w:r>
        <w:rPr>
          <w:rFonts w:ascii="Times New Roman" w:hAnsi="Times New Roman"/>
          <w:noProof/>
          <w:sz w:val="24"/>
        </w:rPr>
        <w:t>in ali-investoinnin osalta on erityisesti varmistettava vesipolitiikan puitedirektiivin (direktiivi 2000/60/EY) vaatimusten täysimääräinen noudattaminen ennen rakennustöiden aloittamista ja niiden jälkeen. Lisäksi toimenpiteestä tehdään ympäristövaikutuste</w:t>
      </w:r>
      <w:r>
        <w:rPr>
          <w:rFonts w:ascii="Times New Roman" w:hAnsi="Times New Roman"/>
          <w:noProof/>
          <w:sz w:val="24"/>
        </w:rPr>
        <w:t>n arviointi direktiivin 2011/92/EU mukaisesti sekä asiaankuuluvat arvioinnit direktiivien 2000/60/EY ja 92/43/ETY yhteydessä, mukaan lukien vaadittujen lieventävien toimenpiteiden täytäntöönpano. Investointi on määrä toteuttaa viimeistään 31 päivänä jouluk</w:t>
      </w:r>
      <w:r>
        <w:rPr>
          <w:rFonts w:ascii="Times New Roman" w:hAnsi="Times New Roman"/>
          <w:noProof/>
          <w:sz w:val="24"/>
        </w:rPr>
        <w:t xml:space="preserve">uuta 2025.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Metsäpalojen torjuntatoimet, ennaltaehkäisy- ja torjuntalaitteet (toimenpiteen tunniste: 16912)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ostettujen metsäpalojen ennaltaehkäisy- ja torjuntavälineiden toimittamisen; ennalta ehkäisevien hankkeiden kehit</w:t>
      </w:r>
      <w:r>
        <w:rPr>
          <w:rFonts w:ascii="Times New Roman" w:hAnsi="Times New Roman"/>
          <w:noProof/>
          <w:sz w:val="24"/>
        </w:rPr>
        <w:t>täminen alueille ja paikallisviranomaisille; ja tuki pelastuspalvelualan vapaaehtoisjärjestöjen pääsihteeristölle.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Biologisen monimuotoisuuden suojelu kestävän kasvun edis</w:t>
      </w:r>
      <w:r>
        <w:rPr>
          <w:rFonts w:ascii="Times New Roman" w:hAnsi="Times New Roman"/>
          <w:noProof/>
          <w:sz w:val="24"/>
        </w:rPr>
        <w:t>täjänä (toimenpiteen tunniste: 16851)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muodostuu seuraavista hankkeista: a) teiden ja vaellusreittien kansallisen verkoston perustaminen, b) ympäristönsuojelun parantaminen panemalla täytäntöön kansallinen järjestelmä lajien ja luontotyyppien ja</w:t>
      </w:r>
      <w:r>
        <w:rPr>
          <w:rFonts w:ascii="Times New Roman" w:hAnsi="Times New Roman"/>
          <w:noProof/>
          <w:sz w:val="24"/>
        </w:rPr>
        <w:t>tkuvaa seurantaa varten, c) suojelualueiden kansallisen valvontajärjestelmän perustaminen, d) multimediasovellusten käyttöönotto, suojelualueiden hallintayksiköiden rakennustilojen bioilmaston ja energian parantaminen, e) suojeltujen alueiden digitaalisten</w:t>
      </w:r>
      <w:r>
        <w:rPr>
          <w:rFonts w:ascii="Times New Roman" w:hAnsi="Times New Roman"/>
          <w:noProof/>
          <w:sz w:val="24"/>
        </w:rPr>
        <w:t xml:space="preserve"> tietokeskusten nykyaikaistaminen, f) yhdennetyn digitaalisen alustan luominen suojeltuja alueita ja esimerkiksi ekomatkailua koskevien tietojen tarjoamiseksi ja g) Kreikan luonto -yleismerkillä merkittyjen paikallistuotteiden markkinoinnin edistäminen. In</w:t>
      </w:r>
      <w:r>
        <w:rPr>
          <w:rFonts w:ascii="Times New Roman" w:hAnsi="Times New Roman"/>
          <w:noProof/>
          <w:sz w:val="24"/>
        </w:rPr>
        <w:t>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Infrastruktuuri – Strategisen kansallisen katastrofiriskien hallinnan perustaminen (toimenpiteen tunniste: 16909)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pelastuspalvelurakennusten pääsihteeri</w:t>
      </w:r>
      <w:r>
        <w:rPr>
          <w:rFonts w:ascii="Times New Roman" w:hAnsi="Times New Roman"/>
          <w:noProof/>
          <w:sz w:val="24"/>
        </w:rPr>
        <w:t>stön digitaalisten laitteiden päivittämisen ja toimittamisen sekä liikkuvan hallinnon ja paikalla sijaitsevien hallintakeskusten kehittämisen, kuten lennonjohto- ja televiestintälaitteet. Investointi on määrä toteuttaa viimeistään 31 päivänä joulukuuta 202</w:t>
      </w:r>
      <w:r>
        <w:rPr>
          <w:rFonts w:ascii="Times New Roman" w:hAnsi="Times New Roman"/>
          <w:noProof/>
          <w:sz w:val="24"/>
        </w:rPr>
        <w:t>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Seuranta- ja hallintajärjestelmä (toimenpiteen tunniste: 16910)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digitaalisen infrastruktuurin toimittamisesta pelastuspalvelun pääsihteeristöön, kuten GPS-seurantajärjestelmästä, varhaisvaroitusjärjestelmästä, palonhava</w:t>
      </w:r>
      <w:r>
        <w:rPr>
          <w:rFonts w:ascii="Times New Roman" w:hAnsi="Times New Roman"/>
          <w:noProof/>
          <w:sz w:val="24"/>
        </w:rPr>
        <w:t>itsemis- ja palonsammutusjärjestelmistä sekä hätäviestintäasemista.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Alueellisten pelastuspalvelukeskusten (PEKEPP) täytäntöönpano julkisen ja yksityisen sektorin kumppanuu</w:t>
      </w:r>
      <w:r>
        <w:rPr>
          <w:rFonts w:ascii="Times New Roman" w:hAnsi="Times New Roman"/>
          <w:noProof/>
          <w:sz w:val="24"/>
        </w:rPr>
        <w:t>ksien avulla (toimenpiteen tunniste: 16283)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13 alueellisen pelastuspalvelukeskuksen rakentaminen julkisen ja yksityisen sektorin kumppanuuksien avulla. Investoinnin tavoitteena on varmistaa riskien ja kriisien oikea-aikainen ja tehokas hallinta aluetasolla</w:t>
      </w:r>
      <w:r>
        <w:rPr>
          <w:rFonts w:ascii="Times New Roman" w:hAnsi="Times New Roman"/>
          <w:noProof/>
          <w:sz w:val="24"/>
        </w:rPr>
        <w:t xml:space="preserve">. Uusien rakennusten on täytettävä primäärienergiantarve, joka on vähintään 20 prosenttia pienempi kuin lähes nollaenergiarakennuksia koskeva vaatimus (lähes nollaenergiarakennus, kansalliset direktiivit). Minkään tähän osa-alueeseen kuuluvan toimenpiteen </w:t>
      </w:r>
      <w:r>
        <w:rPr>
          <w:rFonts w:ascii="Times New Roman" w:hAnsi="Times New Roman"/>
          <w:noProof/>
          <w:sz w:val="24"/>
        </w:rPr>
        <w:t>ei odoteta aiheuttavan merkittävää haittaa asetuksen (EU) 2020/852 17 artiklassa tarkoitetuille ympäristötavoitteille, kun otetaan huomioon elpymis- ja palautumissuunnitelmassa esitettyjen toimenpiteen kuvaus ja lieventävät toimet ”ei merkittävää haittaa -</w:t>
      </w:r>
      <w:r>
        <w:rPr>
          <w:rFonts w:ascii="Times New Roman" w:hAnsi="Times New Roman"/>
          <w:noProof/>
          <w:sz w:val="24"/>
        </w:rPr>
        <w:t>periaatteen” teknisten ohjeiden (2021/C58/01) mukaisesti. Toimenpiteessä edellytetään erityisesti, että rakennustyöt suorittavien talouden toimijoiden on varmistettava, että vähintään 70 prosenttia (painoprosentteina) rakennustyömaalla tuotetusta vaarattom</w:t>
      </w:r>
      <w:r>
        <w:rPr>
          <w:rFonts w:ascii="Times New Roman" w:hAnsi="Times New Roman"/>
          <w:noProof/>
          <w:sz w:val="24"/>
        </w:rPr>
        <w:t>asta rakennus- ja purkujätteestä (lukuun ottamatta luokkaan 17 05 04 kuuluvaa luonnosta peräisin olevaa ainesta, joka sisältyy Euroopan jäteluetteloon, joka on perustettu 3 päivänä toukokuuta 2000 tehdyllä päätöksellä 2000/532/EY jätteistä annetun neuvosto</w:t>
      </w:r>
      <w:r>
        <w:rPr>
          <w:rFonts w:ascii="Times New Roman" w:hAnsi="Times New Roman"/>
          <w:noProof/>
          <w:sz w:val="24"/>
        </w:rPr>
        <w:t>n direktiivin 75/442/ETY 1 artiklan a alakohdan mukaisen jäteluettelon laatimisesta tehdyn komission päätöksen 94/3/EY ja vaarallisista jätteistä annetun neuvoston direktiivin 91/689/ETY 1 artiklan 4 kohdan mukaisen vaarallisten jätteiden luettelon laatimi</w:t>
      </w:r>
      <w:r>
        <w:rPr>
          <w:rFonts w:ascii="Times New Roman" w:hAnsi="Times New Roman"/>
          <w:noProof/>
          <w:sz w:val="24"/>
        </w:rPr>
        <w:t>sesta tehdyn neuvoston päätöksen 94/904/EY korvaamisesta (tiedoksiannettu numerolla K(2000) 1147)) valmistellaan uudelleenkäyttöön, kierrätykseen ja muuhun materiaalien hyödyntämiseen, mukaan lukien maantäyttötoimet, joissa käytetään jätettä korvaamaan mui</w:t>
      </w:r>
      <w:r>
        <w:rPr>
          <w:rFonts w:ascii="Times New Roman" w:hAnsi="Times New Roman"/>
          <w:noProof/>
          <w:sz w:val="24"/>
        </w:rPr>
        <w:t>ta materiaaleja, jätehierarkian ja EU:n rakennus- ja purkujätteen käsittely- ja kierrätysmallin mukaisesti. Investointi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Jätehuoltolaki kestävän kaatopaikalle sijoittamisen ja kierrätyksen</w:t>
      </w:r>
      <w:r>
        <w:rPr>
          <w:rFonts w:ascii="Times New Roman" w:hAnsi="Times New Roman"/>
          <w:noProof/>
          <w:sz w:val="24"/>
        </w:rPr>
        <w:t xml:space="preserve"> täytäntöönpanoa varten (toimenpiteen tunniste: 16772)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Uudistukseen kuuluu nykyisen jätehuoltolainsäädännön tarkistaminen kiertotalouteen siirtymisen mahdollistamiseksi. Uudistuksessa on erityisesti otettava käyttöön kannustimia, joilla kuntia kannustetaan</w:t>
      </w:r>
      <w:r>
        <w:rPr>
          <w:rFonts w:ascii="Times New Roman" w:hAnsi="Times New Roman"/>
          <w:noProof/>
          <w:sz w:val="24"/>
        </w:rPr>
        <w:t xml:space="preserve"> nostamaan kierrätysastetta, varmistamaan biojätteen erilliskeräys vuoden 2022 loppuun mennessä sekä metallin, paperin, lasin ja muovin erilliskeräystä, laajentamaan tuottajan vastuuta koskevaa järjestelmää, parantamaan lajittelulaitosten kierrätystä ja yk</w:t>
      </w:r>
      <w:r>
        <w:rPr>
          <w:rFonts w:ascii="Times New Roman" w:hAnsi="Times New Roman"/>
          <w:noProof/>
          <w:sz w:val="24"/>
        </w:rPr>
        <w:t>sinkertaistamaan lainsäädäntöä vihreiden kohtien ympärillä. Uudistuksella tuetaan kiinteän yhdyskuntajätteen uudelleenkäyttö- ja kierrätysasteen nostamista 60 prosenttiin ja kaatopaikalle sijoitetun jätteen määrän laskemista 10 prosenttiin vuoteen 2030 men</w:t>
      </w:r>
      <w:r>
        <w:rPr>
          <w:rFonts w:ascii="Times New Roman" w:hAnsi="Times New Roman"/>
          <w:noProof/>
          <w:sz w:val="24"/>
        </w:rPr>
        <w:t>nessä. Tämän uudistuksen yhteydessä perustettava kansallinen jätealan sääntelyviranomainen vastaa muun muassa hinnoittelupolitiikan asianmukaisuuden varmistamisesta, jätehuollon täytäntöönpanon valvonnasta koko maassa sekä alueellisten ja paikallisten jäte</w:t>
      </w:r>
      <w:r>
        <w:rPr>
          <w:rFonts w:ascii="Times New Roman" w:hAnsi="Times New Roman"/>
          <w:noProof/>
          <w:sz w:val="24"/>
        </w:rPr>
        <w:t>huoltolaitosten asianmukaisen toiminnan valvonnasta. Uudistus on määrä toteuttaa viimeistään 30 päivänä kesäkuuta 2023.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Uuden vesi- ja jätevesialan sääntelyviranomaisen perustaminen (toimenpiteen tunniste: 16979)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perustetaan yksi ai</w:t>
      </w:r>
      <w:r>
        <w:rPr>
          <w:rFonts w:ascii="Times New Roman" w:hAnsi="Times New Roman"/>
          <w:noProof/>
          <w:sz w:val="24"/>
        </w:rPr>
        <w:t>noa elin, kansallinen vedensääntelyviranomainen (National Water Regulatory Authority, NWRA), joka vastaa ympäristö- ja energiaministeriön suunnitteleman vesivarojen järkevää hoitoa koskevan politiikan täytäntöönpanosta. Uuden viranomaisen odotetaan vahvist</w:t>
      </w:r>
      <w:r>
        <w:rPr>
          <w:rFonts w:ascii="Times New Roman" w:hAnsi="Times New Roman"/>
          <w:noProof/>
          <w:sz w:val="24"/>
        </w:rPr>
        <w:t>avan institutionaalisia puitteita ja valvovan alaa, mukaan lukien vesitariffipolitiikan järkeistäminen aiheuttamisperiaatteen mukaisesti ja vesipalvelujen kestävyyden varmistaminen Kreikassa. Uudistus on määrä toteuttaa viimeistään 31 päivänä joulukuuta 20</w:t>
      </w:r>
      <w:r>
        <w:rPr>
          <w:rFonts w:ascii="Times New Roman" w:hAnsi="Times New Roman"/>
          <w:noProof/>
          <w:sz w:val="24"/>
        </w:rPr>
        <w:t>23.</w:t>
      </w:r>
    </w:p>
    <w:p w:rsidR="00B0093E" w:rsidRDefault="00B0093E">
      <w:pPr>
        <w:spacing w:before="120" w:after="120" w:line="240" w:lineRule="auto"/>
        <w:ind w:left="709"/>
        <w:jc w:val="both"/>
        <w:rPr>
          <w:rFonts w:ascii="Times New Roman" w:hAnsi="Times New Roman" w:cs="Times New Roman"/>
          <w:b/>
          <w:noProof/>
          <w:sz w:val="24"/>
          <w:u w:val="single"/>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63"/>
          <w:headerReference w:type="default" r:id="rId64"/>
          <w:footerReference w:type="even" r:id="rId65"/>
          <w:footerReference w:type="default" r:id="rId66"/>
          <w:headerReference w:type="first" r:id="rId67"/>
          <w:footerReference w:type="first" r:id="rId68"/>
          <w:pgSz w:w="11907" w:h="16839"/>
          <w:pgMar w:top="1134" w:right="1418" w:bottom="1134" w:left="1418" w:header="709" w:footer="709" w:gutter="0"/>
          <w:cols w:space="720"/>
          <w:docGrid w:linePitch="360"/>
        </w:sectPr>
      </w:pPr>
    </w:p>
    <w:p w:rsidR="00B0093E" w:rsidRDefault="00762CA6">
      <w:pPr>
        <w:keepNext/>
        <w:keepLines/>
        <w:spacing w:before="40" w:after="0" w:line="240" w:lineRule="auto"/>
        <w:jc w:val="both"/>
        <w:outlineLvl w:val="4"/>
        <w:rPr>
          <w:rFonts w:ascii="Times New Roman" w:hAnsi="Times New Roman" w:cs="Times New Roman"/>
          <w:b/>
          <w:bCs/>
          <w:noProof/>
          <w:sz w:val="24"/>
          <w:u w:val="single"/>
        </w:rPr>
      </w:pPr>
      <w:r>
        <w:rPr>
          <w:rFonts w:ascii="Times New Roman" w:hAnsi="Times New Roman"/>
          <w:b/>
          <w:bCs/>
          <w:noProof/>
          <w:sz w:val="24"/>
          <w:u w:val="single"/>
        </w:rPr>
        <w:t xml:space="preserve">D.2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Keskeinen uudistus 4: Jätehuolto- ja vesiuudistus </w:t>
      </w:r>
      <w:r>
        <w:rPr>
          <w:rFonts w:ascii="Cambria" w:hAnsi="Cambria"/>
          <w:noProof/>
          <w:color w:val="365F91"/>
          <w:sz w:val="24"/>
        </w:rPr>
        <w:t>luonnonvarojen kestävän käytön varmistamiseksi</w:t>
      </w:r>
    </w:p>
    <w:tbl>
      <w:tblPr>
        <w:tblpPr w:leftFromText="180" w:rightFromText="180" w:vertAnchor="text" w:tblpX="113" w:tblpY="1"/>
        <w:tblOverlap w:val="never"/>
        <w:tblW w:w="15759" w:type="dxa"/>
        <w:tblLayout w:type="fixed"/>
        <w:tblLook w:val="04A0" w:firstRow="1" w:lastRow="0" w:firstColumn="1" w:lastColumn="0" w:noHBand="0" w:noVBand="1"/>
      </w:tblPr>
      <w:tblGrid>
        <w:gridCol w:w="1027"/>
        <w:gridCol w:w="1797"/>
        <w:gridCol w:w="966"/>
        <w:gridCol w:w="1190"/>
        <w:gridCol w:w="1468"/>
        <w:gridCol w:w="1031"/>
        <w:gridCol w:w="857"/>
        <w:gridCol w:w="844"/>
        <w:gridCol w:w="851"/>
        <w:gridCol w:w="709"/>
        <w:gridCol w:w="5019"/>
      </w:tblGrid>
      <w:tr w:rsidR="00B0093E">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190"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46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732"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5019"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90"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68"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3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844"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5019"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56</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16772_Jätehuoltolaki kestävän kaatopaikkatoiminnan ja kierrätyksen täytäntöönpanemiseksi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Jätehuolto-lain voimaantulo</w:t>
            </w:r>
          </w:p>
        </w:tc>
        <w:tc>
          <w:tcPr>
            <w:tcW w:w="146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Lainsäädännön voimaantulo</w:t>
            </w:r>
          </w:p>
        </w:tc>
        <w:tc>
          <w:tcPr>
            <w:tcW w:w="103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50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Kierr</w:t>
            </w:r>
            <w:r>
              <w:rPr>
                <w:noProof/>
                <w:color w:val="006100"/>
                <w:sz w:val="18"/>
                <w:szCs w:val="18"/>
              </w:rPr>
              <w:t xml:space="preserve">ätystä ja kaatopaikalle sijoittamista koskevan lain voimaantulo sekä kannustimien käyttöönotto kunnille, jotta ne saavuttaisivat korkean uudelleenkäyttö- ja kierrätysasteen ja panisivat täytäntöön kaatopaikkaveron. Kaatopaikkaveroa sovelletaan vuoden 2022 </w:t>
            </w:r>
            <w:r>
              <w:rPr>
                <w:noProof/>
                <w:color w:val="006100"/>
                <w:sz w:val="18"/>
                <w:szCs w:val="18"/>
              </w:rPr>
              <w:t>ensimmäisestä neljänneksestä alkaen, ja tariffeja korotetaan asteittain, kunnes ne saavuttavat kaatopaikkaveron ylärajan vuoden 2024 kolmannella neljänneksellä.</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57</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4-1.4. Luonnonvarojen kestävä käyttö, ilmastokestävyys ja ympäristönsuojelu – </w:t>
            </w:r>
            <w:r>
              <w:rPr>
                <w:noProof/>
                <w:color w:val="006100"/>
                <w:sz w:val="18"/>
                <w:szCs w:val="18"/>
              </w:rPr>
              <w:t>16772_Jätehuoltolaki kestävän kaatopaikkatoiminnan ja kierrätyksen täytäntöönpanemiseksi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Jätehuolto-lain voimaantulo</w:t>
            </w:r>
          </w:p>
        </w:tc>
        <w:tc>
          <w:tcPr>
            <w:tcW w:w="146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Lainsäädännön voimaantulo </w:t>
            </w:r>
          </w:p>
        </w:tc>
        <w:tc>
          <w:tcPr>
            <w:tcW w:w="103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0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jc w:val="both"/>
              <w:rPr>
                <w:rFonts w:eastAsia="Times New Roman" w:cs="Calibri"/>
                <w:noProof/>
                <w:color w:val="006100"/>
                <w:sz w:val="18"/>
                <w:szCs w:val="18"/>
              </w:rPr>
            </w:pPr>
            <w:r>
              <w:rPr>
                <w:noProof/>
                <w:color w:val="006100"/>
                <w:sz w:val="18"/>
                <w:szCs w:val="18"/>
              </w:rPr>
              <w:t>Sellaisen lain voimaantulo, jolla</w:t>
            </w:r>
          </w:p>
          <w:p w:rsidR="00B0093E" w:rsidRDefault="00762CA6">
            <w:pPr>
              <w:numPr>
                <w:ilvl w:val="0"/>
                <w:numId w:val="52"/>
              </w:numPr>
              <w:spacing w:after="0" w:line="240" w:lineRule="auto"/>
              <w:jc w:val="both"/>
              <w:rPr>
                <w:rFonts w:eastAsia="Times New Roman" w:cs="Calibri"/>
                <w:noProof/>
                <w:color w:val="006100"/>
                <w:sz w:val="18"/>
                <w:szCs w:val="18"/>
              </w:rPr>
            </w:pPr>
            <w:r>
              <w:rPr>
                <w:noProof/>
                <w:color w:val="006100"/>
                <w:sz w:val="18"/>
                <w:szCs w:val="18"/>
              </w:rPr>
              <w:t xml:space="preserve">perustetaan kansallinen jätealan sääntelyviranomainen, </w:t>
            </w:r>
            <w:r>
              <w:rPr>
                <w:noProof/>
                <w:color w:val="006100"/>
                <w:sz w:val="18"/>
                <w:szCs w:val="18"/>
              </w:rPr>
              <w:t>sen toiminta ja vastuualueet;</w:t>
            </w:r>
          </w:p>
          <w:p w:rsidR="00B0093E" w:rsidRDefault="00762CA6">
            <w:pPr>
              <w:numPr>
                <w:ilvl w:val="0"/>
                <w:numId w:val="52"/>
              </w:numPr>
              <w:spacing w:after="0" w:line="240" w:lineRule="auto"/>
              <w:jc w:val="both"/>
              <w:rPr>
                <w:noProof/>
              </w:rPr>
            </w:pPr>
            <w:r>
              <w:rPr>
                <w:noProof/>
                <w:color w:val="006100"/>
                <w:sz w:val="18"/>
                <w:szCs w:val="18"/>
              </w:rPr>
              <w:t>Alueellisten ja paikallisten jätehuoltoelinten (FOSDA) uudistaminen ja</w:t>
            </w:r>
          </w:p>
          <w:p w:rsidR="00B0093E" w:rsidRDefault="00762CA6">
            <w:pPr>
              <w:numPr>
                <w:ilvl w:val="0"/>
                <w:numId w:val="52"/>
              </w:numPr>
              <w:spacing w:after="0" w:line="240" w:lineRule="auto"/>
              <w:jc w:val="both"/>
              <w:rPr>
                <w:noProof/>
              </w:rPr>
            </w:pPr>
            <w:r>
              <w:rPr>
                <w:noProof/>
                <w:color w:val="006100"/>
                <w:sz w:val="18"/>
                <w:szCs w:val="18"/>
              </w:rPr>
              <w:t>Otetaan käyttöön järkeviä kustannus- ja hinnoittelupolitiikkoja, jotka ovat ”maksa itse omat jätekustannuksesi”-periaatteen ja ”saastuttaja maksaa” -periaa</w:t>
            </w:r>
            <w:r>
              <w:rPr>
                <w:noProof/>
                <w:color w:val="006100"/>
                <w:sz w:val="18"/>
                <w:szCs w:val="18"/>
              </w:rPr>
              <w:t>tteen mukaisia.</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58</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4-1.4. Luonnonvarojen kestävä käyttö, ilmastokestävyys ja ympäristönsuojelu – 16979_Uuden vesi- ja jätevesialan sääntelyviranomaisen perustaminen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Vesialan sääntelylain voimaantulo</w:t>
            </w:r>
          </w:p>
        </w:tc>
        <w:tc>
          <w:tcPr>
            <w:tcW w:w="146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Lainsäädännön voimaantulo </w:t>
            </w:r>
          </w:p>
        </w:tc>
        <w:tc>
          <w:tcPr>
            <w:tcW w:w="103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0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Uuden </w:t>
            </w:r>
            <w:r>
              <w:rPr>
                <w:noProof/>
                <w:color w:val="006100"/>
                <w:sz w:val="18"/>
                <w:szCs w:val="18"/>
              </w:rPr>
              <w:t>vesi- ja jätevesialan sääntelyviranomaisen perustamista ja toimintaa koskevan lain voimaantulo.</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59</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4-1.4. Luonnonvarojen kestävä käyttö, ilmastokestävyys ja ympäristönsuojelu – 16772_Jätehuoltolaki kestävän kaatopaikkatoiminnan ja kierrätyksen </w:t>
            </w:r>
            <w:r>
              <w:rPr>
                <w:noProof/>
                <w:color w:val="006100"/>
                <w:sz w:val="18"/>
                <w:szCs w:val="18"/>
              </w:rPr>
              <w:t>täytäntöönpanemiseksi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Jätehuolto-alan sääntely-viranomai-sen perusta-minen ja toiminta</w:t>
            </w:r>
          </w:p>
        </w:tc>
        <w:tc>
          <w:tcPr>
            <w:tcW w:w="146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Ministeriöiden yhteisen päätöksen voimaantulo ja kaikki viranomaisen perustamiseen tarvittavat hallinnolliset ja lainsäädännölliset toimenpiteet </w:t>
            </w:r>
          </w:p>
        </w:tc>
        <w:tc>
          <w:tcPr>
            <w:tcW w:w="103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0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Uudella kansallisella jätealan sääntelyviranomaisella on henkilöstöä ja toimitilat.</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60</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4-1.4. Luonnonvarojen kestävä käyttö, ilmastokestävyys ja ympäristönsuojelu – 16979_Uuden vesi- ja jätevesialan sääntelyviranomaisen perustaminen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Vesihuollon sääntely-viranomai-sen perustaminen ja toiminta</w:t>
            </w:r>
          </w:p>
        </w:tc>
        <w:tc>
          <w:tcPr>
            <w:tcW w:w="146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Ministeriöiden yhteisen päätöksen voimaantulo ja kaikki viranomaisen perustamiseen tarvittavat hallinnolliset ja lainsäädännölliset toimenpiteet </w:t>
            </w:r>
          </w:p>
        </w:tc>
        <w:tc>
          <w:tcPr>
            <w:tcW w:w="103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0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Uudella kansallisella vesi- ja jätevesi</w:t>
            </w:r>
            <w:r>
              <w:rPr>
                <w:noProof/>
                <w:color w:val="006100"/>
                <w:sz w:val="18"/>
                <w:szCs w:val="18"/>
              </w:rPr>
              <w:t>alan sääntelyviranomaisella on henkilöstöä ja toimitilat.</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5: Kansallinen uudelleenmetsityssuunnitelma ja biologisen monimuotoisuuden suojelu</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Tähän ryhmään kuuluvat seuraavat toimenpiteet:</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Kansallinen uudelleenmetsityssuunnitelma ja </w:t>
      </w:r>
      <w:r>
        <w:rPr>
          <w:rFonts w:ascii="Times New Roman" w:hAnsi="Times New Roman"/>
          <w:noProof/>
          <w:sz w:val="24"/>
        </w:rPr>
        <w:t>Parnitha-lippulaivainvestointi (toimenpiteen tunniste: 16849)</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Biologisen monimuotoisuuden suojelu kestävän kasvun vauhdittajana (toimenpiteen tunniste: 16851) </w:t>
      </w:r>
    </w:p>
    <w:tbl>
      <w:tblPr>
        <w:tblpPr w:leftFromText="180" w:rightFromText="180" w:vertAnchor="text" w:tblpX="113" w:tblpY="1"/>
        <w:tblOverlap w:val="never"/>
        <w:tblW w:w="15615" w:type="dxa"/>
        <w:tblLook w:val="04A0" w:firstRow="1" w:lastRow="0" w:firstColumn="1" w:lastColumn="0" w:noHBand="0" w:noVBand="1"/>
      </w:tblPr>
      <w:tblGrid>
        <w:gridCol w:w="1062"/>
        <w:gridCol w:w="2475"/>
        <w:gridCol w:w="1626"/>
        <w:gridCol w:w="2043"/>
        <w:gridCol w:w="2120"/>
        <w:gridCol w:w="1247"/>
        <w:gridCol w:w="992"/>
        <w:gridCol w:w="1006"/>
        <w:gridCol w:w="1387"/>
        <w:gridCol w:w="823"/>
        <w:gridCol w:w="4440"/>
      </w:tblGrid>
      <w:tr w:rsidR="00B0093E">
        <w:trPr>
          <w:trHeight w:val="328"/>
        </w:trPr>
        <w:tc>
          <w:tcPr>
            <w:tcW w:w="1062" w:type="dxa"/>
            <w:vMerge w:val="restart"/>
            <w:tcBorders>
              <w:top w:val="single" w:sz="4" w:space="0" w:color="auto"/>
              <w:left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Numero</w:t>
            </w:r>
          </w:p>
        </w:tc>
        <w:tc>
          <w:tcPr>
            <w:tcW w:w="1881" w:type="dxa"/>
            <w:vMerge w:val="restart"/>
            <w:tcBorders>
              <w:top w:val="single" w:sz="4" w:space="0" w:color="auto"/>
              <w:left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Toimenpide (uudistus tai investointi)</w:t>
            </w:r>
          </w:p>
        </w:tc>
        <w:tc>
          <w:tcPr>
            <w:tcW w:w="993" w:type="dxa"/>
            <w:vMerge w:val="restart"/>
            <w:tcBorders>
              <w:top w:val="single" w:sz="4" w:space="0" w:color="auto"/>
              <w:left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Välitavoite/tavoite</w:t>
            </w:r>
          </w:p>
        </w:tc>
        <w:tc>
          <w:tcPr>
            <w:tcW w:w="1275" w:type="dxa"/>
            <w:vMerge w:val="restart"/>
            <w:tcBorders>
              <w:top w:val="single" w:sz="4" w:space="0" w:color="auto"/>
              <w:left w:val="nil"/>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Nimi</w:t>
            </w:r>
          </w:p>
        </w:tc>
        <w:tc>
          <w:tcPr>
            <w:tcW w:w="1560" w:type="dxa"/>
            <w:vMerge w:val="restart"/>
            <w:tcBorders>
              <w:top w:val="single" w:sz="4" w:space="0" w:color="auto"/>
              <w:left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Laadulliset indikaattori</w:t>
            </w:r>
            <w:r>
              <w:rPr>
                <w:rFonts w:ascii="Times New Roman" w:hAnsi="Times New Roman"/>
                <w:b/>
                <w:bCs/>
                <w:noProof/>
                <w:sz w:val="18"/>
                <w:szCs w:val="18"/>
              </w:rPr>
              <w:t>t   (välitavoitteiden osalta)</w:t>
            </w:r>
          </w:p>
        </w:tc>
        <w:tc>
          <w:tcPr>
            <w:tcW w:w="2693" w:type="dxa"/>
            <w:gridSpan w:val="3"/>
            <w:tcBorders>
              <w:top w:val="single" w:sz="4" w:space="0" w:color="auto"/>
              <w:left w:val="nil"/>
              <w:bottom w:val="single" w:sz="4" w:space="0" w:color="auto"/>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Määrälliset indikaattorit   (tavoitteiden osalta)</w:t>
            </w:r>
          </w:p>
        </w:tc>
        <w:tc>
          <w:tcPr>
            <w:tcW w:w="1711" w:type="dxa"/>
            <w:gridSpan w:val="2"/>
            <w:tcBorders>
              <w:top w:val="single" w:sz="4" w:space="0" w:color="auto"/>
              <w:left w:val="nil"/>
              <w:bottom w:val="single" w:sz="4" w:space="0" w:color="auto"/>
              <w:right w:val="single" w:sz="4" w:space="0" w:color="auto"/>
            </w:tcBorders>
            <w:shd w:val="clear" w:color="auto" w:fill="B8CCE4"/>
            <w:noWrap/>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Alustava toteutusaikataulu</w:t>
            </w:r>
          </w:p>
        </w:tc>
        <w:tc>
          <w:tcPr>
            <w:tcW w:w="4440" w:type="dxa"/>
            <w:vMerge w:val="restart"/>
            <w:tcBorders>
              <w:top w:val="single" w:sz="4" w:space="0" w:color="auto"/>
              <w:left w:val="nil"/>
              <w:right w:val="single" w:sz="4" w:space="0" w:color="auto"/>
            </w:tcBorders>
            <w:shd w:val="clear" w:color="auto" w:fill="B8CCE4"/>
            <w:noWrap/>
            <w:vAlign w:val="center"/>
          </w:tcPr>
          <w:p w:rsidR="00B0093E" w:rsidRDefault="00762CA6">
            <w:pPr>
              <w:spacing w:after="0" w:line="240" w:lineRule="auto"/>
              <w:rPr>
                <w:rFonts w:eastAsia="Times New Roman" w:cs="Calibri"/>
                <w:noProof/>
                <w:color w:val="006100"/>
                <w:sz w:val="18"/>
                <w:szCs w:val="18"/>
              </w:rPr>
            </w:pPr>
            <w:r>
              <w:rPr>
                <w:rFonts w:ascii="Times New Roman" w:hAnsi="Times New Roman"/>
                <w:b/>
                <w:bCs/>
                <w:noProof/>
                <w:sz w:val="18"/>
                <w:szCs w:val="18"/>
              </w:rPr>
              <w:t>Kunkin välitavoitteen ja tavoitteen kuvaus</w:t>
            </w:r>
          </w:p>
        </w:tc>
      </w:tr>
      <w:tr w:rsidR="00B0093E">
        <w:trPr>
          <w:trHeight w:val="328"/>
        </w:trPr>
        <w:tc>
          <w:tcPr>
            <w:tcW w:w="1062" w:type="dxa"/>
            <w:vMerge/>
            <w:tcBorders>
              <w:left w:val="single" w:sz="4" w:space="0" w:color="auto"/>
              <w:bottom w:val="single" w:sz="4" w:space="0" w:color="000000"/>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881" w:type="dxa"/>
            <w:vMerge/>
            <w:tcBorders>
              <w:left w:val="single" w:sz="4" w:space="0" w:color="auto"/>
              <w:bottom w:val="single" w:sz="4" w:space="0" w:color="000000"/>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3" w:type="dxa"/>
            <w:vMerge/>
            <w:tcBorders>
              <w:left w:val="single" w:sz="4" w:space="0" w:color="auto"/>
              <w:bottom w:val="single" w:sz="4" w:space="0" w:color="000000"/>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75" w:type="dxa"/>
            <w:vMerge/>
            <w:tcBorders>
              <w:left w:val="nil"/>
              <w:bottom w:val="single" w:sz="4" w:space="0" w:color="000000"/>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60" w:type="dxa"/>
            <w:vMerge/>
            <w:tcBorders>
              <w:left w:val="single" w:sz="4" w:space="0" w:color="auto"/>
              <w:bottom w:val="single" w:sz="4" w:space="0" w:color="000000"/>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2" w:type="dxa"/>
            <w:tcBorders>
              <w:left w:val="nil"/>
              <w:bottom w:val="single" w:sz="4" w:space="0" w:color="auto"/>
              <w:right w:val="single" w:sz="4" w:space="0" w:color="auto"/>
            </w:tcBorders>
            <w:shd w:val="clear" w:color="auto" w:fill="B8CCE4"/>
            <w:noWrap/>
            <w:vAlign w:val="center"/>
          </w:tcPr>
          <w:p w:rsidR="00B0093E" w:rsidRDefault="00762CA6">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92" w:type="dxa"/>
            <w:tcBorders>
              <w:left w:val="nil"/>
              <w:bottom w:val="single" w:sz="4" w:space="0" w:color="auto"/>
              <w:right w:val="single" w:sz="4" w:space="0" w:color="auto"/>
            </w:tcBorders>
            <w:shd w:val="clear" w:color="auto" w:fill="B8CCE4"/>
            <w:vAlign w:val="center"/>
          </w:tcPr>
          <w:p w:rsidR="00B0093E" w:rsidRDefault="00762CA6">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Perustaso</w:t>
            </w:r>
          </w:p>
        </w:tc>
        <w:tc>
          <w:tcPr>
            <w:tcW w:w="709" w:type="dxa"/>
            <w:tcBorders>
              <w:top w:val="single" w:sz="4" w:space="0" w:color="auto"/>
              <w:left w:val="nil"/>
              <w:bottom w:val="single" w:sz="4" w:space="0" w:color="auto"/>
              <w:right w:val="single" w:sz="4" w:space="0" w:color="auto"/>
            </w:tcBorders>
            <w:shd w:val="clear" w:color="auto" w:fill="B8CCE4"/>
            <w:vAlign w:val="center"/>
          </w:tcPr>
          <w:p w:rsidR="00B0093E" w:rsidRDefault="00762CA6">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88" w:type="dxa"/>
            <w:tcBorders>
              <w:top w:val="single" w:sz="4" w:space="0" w:color="auto"/>
              <w:left w:val="nil"/>
              <w:bottom w:val="single" w:sz="4" w:space="0" w:color="auto"/>
              <w:right w:val="single" w:sz="4" w:space="0" w:color="auto"/>
            </w:tcBorders>
            <w:shd w:val="clear" w:color="auto" w:fill="B8CCE4"/>
            <w:noWrap/>
            <w:vAlign w:val="center"/>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823" w:type="dxa"/>
            <w:tcBorders>
              <w:top w:val="single" w:sz="4" w:space="0" w:color="auto"/>
              <w:left w:val="nil"/>
              <w:bottom w:val="single" w:sz="4" w:space="0" w:color="auto"/>
              <w:right w:val="single" w:sz="4" w:space="0" w:color="auto"/>
            </w:tcBorders>
            <w:shd w:val="clear" w:color="auto" w:fill="B8CCE4"/>
            <w:vAlign w:val="center"/>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440" w:type="dxa"/>
            <w:vMerge/>
            <w:tcBorders>
              <w:left w:val="nil"/>
              <w:bottom w:val="single" w:sz="4" w:space="0" w:color="auto"/>
              <w:right w:val="single" w:sz="4" w:space="0" w:color="auto"/>
            </w:tcBorders>
            <w:shd w:val="clear" w:color="auto" w:fill="B8CCE4"/>
            <w:noWrap/>
            <w:vAlign w:val="center"/>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61</w:t>
            </w:r>
          </w:p>
        </w:tc>
        <w:tc>
          <w:tcPr>
            <w:tcW w:w="18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4-1.4. Luonnonvarojen kestävä käyttö, ilmastokestävyys ja ympäristönsuojelu – 16849_Kansallinen uudelleenmetsityssuunnitelma ja Parnitha-lippulaivainvestointi</w:t>
            </w: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7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Uudelleenmetsittäminen – sopimukset </w:t>
            </w:r>
          </w:p>
        </w:tc>
        <w:tc>
          <w:tcPr>
            <w:tcW w:w="156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kaikkien hankintasopimusten</w:t>
            </w:r>
            <w:r>
              <w:rPr>
                <w:noProof/>
                <w:color w:val="006100"/>
                <w:sz w:val="18"/>
                <w:szCs w:val="18"/>
              </w:rPr>
              <w:t xml:space="preserve"> tekemisestä</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8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44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molempia uudelleenmetsitystä koskevien osahankkeiden sopimusten tekemisestä:</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Kreikan rappeutuneiden metsäekosysteemien ennallistaminen 16 500 hehtaarilla, jossa käytetään pääasiassa kotoperäisiä lajeja; ja </w:t>
            </w:r>
          </w:p>
          <w:p w:rsidR="00B0093E" w:rsidRDefault="00762CA6">
            <w:pPr>
              <w:spacing w:after="0" w:line="240" w:lineRule="auto"/>
              <w:rPr>
                <w:rFonts w:eastAsia="Times New Roman" w:cs="Calibri"/>
                <w:noProof/>
                <w:color w:val="006100"/>
                <w:sz w:val="18"/>
                <w:szCs w:val="18"/>
              </w:rPr>
            </w:pPr>
            <w:r>
              <w:rPr>
                <w:noProof/>
                <w:color w:val="006100"/>
                <w:sz w:val="18"/>
                <w:szCs w:val="18"/>
              </w:rPr>
              <w:t>2. Parnitha-v</w:t>
            </w:r>
            <w:r>
              <w:rPr>
                <w:noProof/>
                <w:color w:val="006100"/>
                <w:sz w:val="18"/>
                <w:szCs w:val="18"/>
              </w:rPr>
              <w:t>uoren ympäristön ennallistaminen.</w:t>
            </w:r>
          </w:p>
        </w:tc>
      </w:tr>
      <w:tr w:rsidR="00B0093E">
        <w:trPr>
          <w:trHeight w:val="313"/>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62</w:t>
            </w:r>
          </w:p>
        </w:tc>
        <w:tc>
          <w:tcPr>
            <w:tcW w:w="18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4-1.4. Luonnonvarojen kestävä käyttö, ilmastokestävyys ja ympäristönsuojelu – 16849_Kansallinen uudelleenmetsityssuunnitelma ja Parnitha-lippulaivainvestointi</w:t>
            </w: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7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Uudelleenmetsittäminen – alahankkeen 2 loppuun </w:t>
            </w:r>
            <w:r>
              <w:rPr>
                <w:noProof/>
                <w:color w:val="006100"/>
                <w:sz w:val="18"/>
                <w:szCs w:val="18"/>
              </w:rPr>
              <w:t>saattaminen (Parnitha-vuori)</w:t>
            </w:r>
          </w:p>
        </w:tc>
        <w:tc>
          <w:tcPr>
            <w:tcW w:w="156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Ympäristöministeriön todistus alahankkeen 2 loppuun saattamisesta</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8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44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Parnitha-vuorta koskevan hankkeen loppuun saattaminen (toinen uudelleenmetsitys).</w:t>
            </w:r>
          </w:p>
        </w:tc>
      </w:tr>
      <w:tr w:rsidR="00B0093E">
        <w:trPr>
          <w:trHeight w:val="313"/>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63</w:t>
            </w:r>
          </w:p>
        </w:tc>
        <w:tc>
          <w:tcPr>
            <w:tcW w:w="18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4-1.4. Luonnonvarojen kestävä käyttö, ilmastokestävyys ja </w:t>
            </w:r>
            <w:r>
              <w:rPr>
                <w:noProof/>
                <w:color w:val="006100"/>
                <w:sz w:val="18"/>
                <w:szCs w:val="18"/>
              </w:rPr>
              <w:t>ympäristönsuojelu – 16849_Kansallinen uudelleenmetsityssuunnitelma ja Parnitha-lippulaivainvestointi</w:t>
            </w: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7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Uudelleenmetsittäminen – Alahankkeen 1 loppuun saattaminen (16 500 hehtaarin suojelu)</w:t>
            </w:r>
          </w:p>
        </w:tc>
        <w:tc>
          <w:tcPr>
            <w:tcW w:w="156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Ympäristöministeriön todistus 16 500 hehtaarin </w:t>
            </w:r>
            <w:r>
              <w:rPr>
                <w:noProof/>
                <w:color w:val="006100"/>
                <w:sz w:val="18"/>
                <w:szCs w:val="18"/>
              </w:rPr>
              <w:t>uudelleenmetsittämisestä</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8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44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Kaikkien 16 500 hehtaarin heikentyneiden metsäekosysteemien ennallistamistöiden saattaminen päätökseen Kreikassa. (Uudelleenmetsitys – alahanke 1).</w:t>
            </w:r>
          </w:p>
        </w:tc>
      </w:tr>
      <w:tr w:rsidR="00B0093E">
        <w:trPr>
          <w:trHeight w:val="313"/>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64</w:t>
            </w:r>
          </w:p>
        </w:tc>
        <w:tc>
          <w:tcPr>
            <w:tcW w:w="18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4-1.4. Luonnonvarojen kestävä käyttö, ilmastokestävyys ja </w:t>
            </w:r>
            <w:r>
              <w:rPr>
                <w:noProof/>
                <w:color w:val="006100"/>
                <w:sz w:val="18"/>
                <w:szCs w:val="18"/>
              </w:rPr>
              <w:t>ympäristönsuojelu – 16851_Biodiversiteetin suojelu kestävän kasvun vauhdittajana</w:t>
            </w: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7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Biologinen monimuotoisuus – Loppuun saattaminen</w:t>
            </w:r>
          </w:p>
        </w:tc>
        <w:tc>
          <w:tcPr>
            <w:tcW w:w="156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Ympäristöministeriön todistus kaikkien alahankkeiden loppuun saattamisesta</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8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44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Kaikkien biologisen </w:t>
            </w:r>
            <w:r>
              <w:rPr>
                <w:noProof/>
                <w:color w:val="006100"/>
                <w:sz w:val="18"/>
                <w:szCs w:val="18"/>
              </w:rPr>
              <w:t>monimuotoisuuden suojelua koskevien alahankkeiden loppuun saattaminen, mukaan lukien kansallisen reittien ja vaellusreittien verkoston perustaminen, biologisen monimuotoisuuden suojeluun liittyvien pengerrysten ennallistaminen, yhdenmukaisten seurantakäytä</w:t>
            </w:r>
            <w:r>
              <w:rPr>
                <w:noProof/>
                <w:color w:val="006100"/>
                <w:sz w:val="18"/>
                <w:szCs w:val="18"/>
              </w:rPr>
              <w:t>ntöjen ja vastaavan operatiivisen järjestelmän käyttöönotto sekä horisontaalisen partiointijärjestelmän suunnitelma kaikille Kreikan suojelualueille.</w:t>
            </w:r>
          </w:p>
        </w:tc>
      </w:tr>
    </w:tbl>
    <w:p w:rsidR="00B0093E" w:rsidRDefault="00762CA6">
      <w:pPr>
        <w:keepNext/>
        <w:keepLines/>
        <w:spacing w:before="240" w:after="0" w:line="240" w:lineRule="auto"/>
        <w:jc w:val="both"/>
        <w:outlineLvl w:val="4"/>
        <w:rPr>
          <w:rFonts w:ascii="Cambria" w:eastAsia="Times New Roman" w:hAnsi="Cambria"/>
          <w:noProof/>
          <w:color w:val="365F91"/>
          <w:sz w:val="24"/>
        </w:rPr>
      </w:pPr>
      <w:r>
        <w:rPr>
          <w:rFonts w:ascii="Cambria" w:hAnsi="Cambria"/>
          <w:noProof/>
          <w:color w:val="365F91"/>
          <w:sz w:val="24"/>
        </w:rPr>
        <w:t>Ryhmä 6: Jätevesi- ja vesihuoltoinfrastruktuuri, veden säästäminen</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 xml:space="preserve">Tähän ryhmään kuuluvat seuraavat </w:t>
      </w:r>
      <w:r>
        <w:rPr>
          <w:rFonts w:ascii="Times New Roman" w:hAnsi="Times New Roman"/>
          <w:noProof/>
          <w:sz w:val="24"/>
        </w:rPr>
        <w:t>toimenpiteet:</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Yhdyskuntajätevesien ja lietteenkäsittelyinfrastruktuurit (tunniste: 16846)</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Juomavesihuolto- ja säästöinfrastruktuurit (tunniste: 16850)</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Tulvasuojeluhanke (toimenpiteen tunniste: 16882)</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Vesihuoltohankkeet (tunniste: 16898)</w:t>
      </w:r>
    </w:p>
    <w:p w:rsidR="00B0093E" w:rsidRDefault="00B0093E">
      <w:pPr>
        <w:spacing w:before="120" w:after="120" w:line="240" w:lineRule="auto"/>
        <w:rPr>
          <w:rFonts w:ascii="Times New Roman" w:hAnsi="Times New Roman" w:cs="Times New Roman"/>
          <w:noProof/>
          <w:sz w:val="24"/>
        </w:rPr>
      </w:pPr>
    </w:p>
    <w:tbl>
      <w:tblPr>
        <w:tblpPr w:leftFromText="180" w:rightFromText="180" w:vertAnchor="text" w:tblpX="154" w:tblpY="1"/>
        <w:tblOverlap w:val="never"/>
        <w:tblW w:w="15276" w:type="dxa"/>
        <w:tblLook w:val="04A0" w:firstRow="1" w:lastRow="0" w:firstColumn="1" w:lastColumn="0" w:noHBand="0" w:noVBand="1"/>
      </w:tblPr>
      <w:tblGrid>
        <w:gridCol w:w="1027"/>
        <w:gridCol w:w="2721"/>
        <w:gridCol w:w="1626"/>
        <w:gridCol w:w="2643"/>
        <w:gridCol w:w="2253"/>
        <w:gridCol w:w="1247"/>
        <w:gridCol w:w="966"/>
        <w:gridCol w:w="1006"/>
        <w:gridCol w:w="1387"/>
        <w:gridCol w:w="709"/>
        <w:gridCol w:w="4600"/>
      </w:tblGrid>
      <w:tr w:rsidR="00B0093E">
        <w:trPr>
          <w:trHeight w:val="939"/>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37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0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02"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7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310"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600"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4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02"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58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1134"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600"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65</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4-1.4. Luonnonvarojen kestävä käyttö, ilmastokestävyys ja ympäristönsuojelu – 16882_Tulvien lieventämistä koskevat hankkeet</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tulvasuojelusopimusten tekemisestä</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sopimuksen tekemis</w:t>
            </w:r>
            <w:r>
              <w:rPr>
                <w:noProof/>
                <w:color w:val="006100"/>
                <w:sz w:val="18"/>
                <w:szCs w:val="18"/>
              </w:rPr>
              <w:t>estä kaikkien hankintasopimusten osalta</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Ilmoitus kaikkien tulvien lieventämistä koskevien sopimusten tekemisestä neljällä alueella: Lasithi Kreeta, Amvrakian–Amfilohian-alue, Loutrakin alue ja Oreokastron alue. Kunkin ali-investoinnin osalta on </w:t>
            </w:r>
            <w:r>
              <w:rPr>
                <w:noProof/>
                <w:color w:val="006100"/>
                <w:sz w:val="18"/>
                <w:szCs w:val="18"/>
              </w:rPr>
              <w:t>varmistettava ja osoitettava vesipuitedirektiivin vaatimusten täysimääräinen noudattaminen ennen rakennustöiden aloittamista.</w:t>
            </w: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66</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4 - 1.4. Luonnonvarojen kestävä käyttö, ilmastokestävyys ja ympäristönsuojelu – 16850_Juomavesihuolto- ja </w:t>
            </w:r>
            <w:r>
              <w:rPr>
                <w:noProof/>
                <w:color w:val="006100"/>
                <w:sz w:val="18"/>
                <w:szCs w:val="18"/>
              </w:rPr>
              <w:t>juomavedensäästöinfrastruktuurit</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Kiinnostuksenilmaisupyynnön julkaiseminen vedensäästötoimia varten</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Ympäristöministeriön julkaisema kiinnostuksenilmaisupyyntö </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Julkaistaan vedensäästötoimia koskeva kiinnostuksenilmaisupyyntö, johon </w:t>
            </w:r>
            <w:r>
              <w:rPr>
                <w:noProof/>
                <w:color w:val="006100"/>
                <w:sz w:val="18"/>
                <w:szCs w:val="18"/>
              </w:rPr>
              <w:t>sisältyy vaatimus siitä, että järjestelmä on rakennettava siten, että keskimääräinen energiankulutus on&lt; = 0,5 kWh tai infrastruktuurivuotoindeksi (ILI) of &lt;= 1,5.</w:t>
            </w: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67</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4 - 1.4. Luonnonvarojen kestävä käyttö, ilmastokestävyys ja ympäristönsuojelu – </w:t>
            </w:r>
            <w:r>
              <w:rPr>
                <w:noProof/>
                <w:color w:val="006100"/>
                <w:sz w:val="18"/>
                <w:szCs w:val="18"/>
              </w:rPr>
              <w:t>16898_Vesihuoltohankkeet</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vesihuoltohankkeita koskevan hankintasopimuksen tekemisestä</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kaikkien hankintasopimusten tekemisestä</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kaikkien vesihuoltoinfrastruktuurihankkeiden hankintasopimuksen tekemisestä: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w:t>
            </w:r>
            <w:r>
              <w:rPr>
                <w:noProof/>
                <w:color w:val="006100"/>
                <w:sz w:val="18"/>
                <w:szCs w:val="18"/>
              </w:rPr>
              <w:t>Vesihuoltojärjestelmät Prevezan, Artan ja Lefkadan prefektuureja varten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Lesboksen saaren vesihuoltojärjestelmät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3. Korfun saaren vesihuolto </w:t>
            </w:r>
          </w:p>
          <w:p w:rsidR="00B0093E" w:rsidRDefault="00B0093E">
            <w:pPr>
              <w:spacing w:after="0" w:line="240" w:lineRule="auto"/>
              <w:ind w:left="56"/>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Kunkin ali-investoinnin osalta on varmistettava ja osoitettava vesipuitedirektiivin vaatimusten täysimääräinen</w:t>
            </w:r>
            <w:r>
              <w:rPr>
                <w:noProof/>
                <w:color w:val="006100"/>
                <w:sz w:val="18"/>
                <w:szCs w:val="18"/>
              </w:rPr>
              <w:t xml:space="preserve"> noudattaminen ennen rakennustöiden aloittamista.</w:t>
            </w: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68</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16846_Uudet infrastruktuurit yhdyskuntajätevesien ja jätevesien käsittelyssä syntyvän lietteen käsittelemiseksi</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jätevesihankkeita koskevan hankintasopimuksen tekemisestä</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kaikkien hankintasopimusten tekemisestä</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jätevesi- ja lietteenkäsittelyhankkeita koskevien hankintasopimusten tekemisestä:</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w:t>
            </w:r>
            <w:r>
              <w:rPr>
                <w:noProof/>
                <w:color w:val="006100"/>
                <w:sz w:val="18"/>
                <w:szCs w:val="18"/>
              </w:rPr>
              <w:t>Viemäriverkkoinfrastruktuuri ja jätevedenpuhdistamot.</w:t>
            </w:r>
          </w:p>
          <w:p w:rsidR="00B0093E" w:rsidRDefault="00762CA6">
            <w:pPr>
              <w:spacing w:after="0" w:line="240" w:lineRule="auto"/>
              <w:rPr>
                <w:rFonts w:eastAsia="Times New Roman" w:cs="Calibri"/>
                <w:noProof/>
                <w:color w:val="006100"/>
                <w:sz w:val="18"/>
                <w:szCs w:val="18"/>
              </w:rPr>
            </w:pPr>
            <w:r>
              <w:rPr>
                <w:noProof/>
                <w:color w:val="006100"/>
                <w:sz w:val="18"/>
                <w:szCs w:val="18"/>
              </w:rPr>
              <w:t>2. Jätevedenpuhdistamojen parantaminen, laajentaminen ja nykyaikaistaminen sekä käsitellyn veden uudelleenkäyttö.</w:t>
            </w:r>
          </w:p>
          <w:p w:rsidR="00B0093E" w:rsidRDefault="00762CA6">
            <w:pPr>
              <w:spacing w:after="0" w:line="240" w:lineRule="auto"/>
              <w:rPr>
                <w:rFonts w:eastAsia="Times New Roman" w:cs="Calibri"/>
                <w:noProof/>
                <w:color w:val="006100"/>
                <w:sz w:val="18"/>
                <w:szCs w:val="18"/>
              </w:rPr>
            </w:pPr>
            <w:r>
              <w:rPr>
                <w:noProof/>
                <w:color w:val="006100"/>
                <w:sz w:val="18"/>
                <w:szCs w:val="18"/>
              </w:rPr>
              <w:t>3. Jätevedenpuhdistamoista peräisin olevan lietteen käsittelyinfrastruktuurin toteuttami</w:t>
            </w:r>
            <w:r>
              <w:rPr>
                <w:noProof/>
                <w:color w:val="006100"/>
                <w:sz w:val="18"/>
                <w:szCs w:val="18"/>
              </w:rPr>
              <w:t>nen.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Kaikkiin sopimuksiin on sisällyttävä vaatimus, jonka mukaan rakennetun koko jätevesijärjestelmän nettoenergiankulutus on nolla.</w:t>
            </w: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69</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4 - 1.4. Luonnonvarojen kestävä käyttö, ilmastokestävyys ja ympäristönsuojelu – 16882_Tulvien lieventämistä koskevat </w:t>
            </w:r>
            <w:r>
              <w:rPr>
                <w:noProof/>
                <w:color w:val="006100"/>
                <w:sz w:val="18"/>
                <w:szCs w:val="18"/>
              </w:rPr>
              <w:t>hankkeet</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Tulvantorjuntatöiden loppuun saattaminen 60-prosenttisesti</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Infrastruktuuriministeriön varmentama riippumattoman insinöörin raportti</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Saadaan päätökseen 60 prosenttia tulvantorjuntahankkeisiin liittyvien töiden arvosta </w:t>
            </w:r>
            <w:r>
              <w:rPr>
                <w:noProof/>
                <w:color w:val="006100"/>
                <w:sz w:val="18"/>
                <w:szCs w:val="18"/>
              </w:rPr>
              <w:t>neljällä alueella: Lasithi Kreeta, Amvrakian Amfilohian alue, Loutrakin alue ja Oreokastron alue.</w:t>
            </w: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70</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16898_Vesihuoltohankkeet</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60 prosenttia vesihuoltohankkeista on</w:t>
            </w:r>
            <w:r>
              <w:rPr>
                <w:noProof/>
                <w:color w:val="006100"/>
                <w:sz w:val="18"/>
                <w:szCs w:val="18"/>
              </w:rPr>
              <w:t xml:space="preserve"> saatettu päätökseen</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Infrastruktuuriministeriön varmentama riippumattoman insinöörin raportti </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60 prosenttia seuraavien kolmen vesihuoltoalan osahankkeen rakennustöiden arvosta on saatu päätökseen:</w:t>
            </w:r>
          </w:p>
          <w:p w:rsidR="00B0093E" w:rsidRDefault="00762CA6">
            <w:pPr>
              <w:spacing w:after="0" w:line="240" w:lineRule="auto"/>
              <w:rPr>
                <w:rFonts w:eastAsia="Times New Roman" w:cs="Calibri"/>
                <w:noProof/>
                <w:color w:val="006100"/>
                <w:sz w:val="18"/>
                <w:szCs w:val="18"/>
              </w:rPr>
            </w:pPr>
            <w:r>
              <w:rPr>
                <w:noProof/>
                <w:color w:val="006100"/>
                <w:sz w:val="18"/>
                <w:szCs w:val="18"/>
              </w:rPr>
              <w:t>1. Prevezan, Artan ja Lefkadan prefektuurien ve</w:t>
            </w:r>
            <w:r>
              <w:rPr>
                <w:noProof/>
                <w:color w:val="006100"/>
                <w:sz w:val="18"/>
                <w:szCs w:val="18"/>
              </w:rPr>
              <w:t>sihuoltojärjestelmät;</w:t>
            </w:r>
          </w:p>
          <w:p w:rsidR="00B0093E" w:rsidRDefault="00762CA6">
            <w:pPr>
              <w:spacing w:after="0" w:line="240" w:lineRule="auto"/>
              <w:rPr>
                <w:rFonts w:eastAsia="Times New Roman" w:cs="Calibri"/>
                <w:noProof/>
                <w:color w:val="006100"/>
                <w:sz w:val="18"/>
                <w:szCs w:val="18"/>
              </w:rPr>
            </w:pPr>
            <w:r>
              <w:rPr>
                <w:noProof/>
                <w:color w:val="006100"/>
                <w:sz w:val="18"/>
                <w:szCs w:val="18"/>
              </w:rPr>
              <w:t>2. Lesboksen saaren vesihuoltojärjestelmät; ja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3. Korfun vesihuolto. </w:t>
            </w: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71</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16850_Juomavesihuolto- ja juomavedensäästöinfrastruktuurit</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Vettä </w:t>
            </w:r>
            <w:r>
              <w:rPr>
                <w:noProof/>
                <w:color w:val="006100"/>
                <w:sz w:val="18"/>
                <w:szCs w:val="18"/>
              </w:rPr>
              <w:t>säästävien toimien ja vesihuollon loppuun saattaminen 50 prosentin osalta</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varmentama riippumattoman insinöörin raportti</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Vettä säästävien toimien loppuun saattaminen puolissa kotitalouksista ja 50.prosenttisesti v</w:t>
            </w:r>
            <w:r>
              <w:rPr>
                <w:noProof/>
                <w:color w:val="006100"/>
                <w:sz w:val="18"/>
                <w:szCs w:val="18"/>
              </w:rPr>
              <w:t xml:space="preserve">esihuoltohankkeisiin liittyvien töiden arvosta. </w:t>
            </w: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72</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16846_Uudet infrastruktuurit yhdyskuntajätevesien ja jätevesien käsittelyssä syntyvän lietteen käsittelemiseksi</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Puolet jätevedenkäsittelytöistä on saatu päätökseen</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varmentama riippumattoman insinöörin loppukertomus</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Kaupunkien jätevesi- ja lietteenkäsittelyinfrastruktuurien rakennustöiden arvosta on saavutettu 50 </w:t>
            </w:r>
            <w:r>
              <w:rPr>
                <w:noProof/>
                <w:color w:val="006100"/>
                <w:sz w:val="18"/>
                <w:szCs w:val="18"/>
              </w:rPr>
              <w:t>prosenttia.</w:t>
            </w:r>
          </w:p>
        </w:tc>
      </w:tr>
      <w:tr w:rsidR="00B0093E">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73</w:t>
            </w:r>
          </w:p>
        </w:tc>
        <w:tc>
          <w:tcPr>
            <w:tcW w:w="13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16846_Uudet infrastruktuurit yhdyskuntajätevesien ja jätevesien käsittelyssä syntyvän lietteen käsittelemiseksi</w:t>
            </w:r>
          </w:p>
        </w:tc>
        <w:tc>
          <w:tcPr>
            <w:tcW w:w="1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Yhdyskuntajätevesien ja </w:t>
            </w:r>
            <w:r>
              <w:rPr>
                <w:noProof/>
                <w:color w:val="006100"/>
                <w:sz w:val="18"/>
                <w:szCs w:val="18"/>
              </w:rPr>
              <w:t>lietteenkäsittelyinfrastruktuurien loppuun saattaminen</w:t>
            </w:r>
          </w:p>
        </w:tc>
        <w:tc>
          <w:tcPr>
            <w:tcW w:w="17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varmentama riippumattoman insinöörin loppukertomus</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6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Yhdyskuntajätevesien ja jätevesien käsittelyssä syntyvän lietteen käsittelemiseen liittyvien hankkeiden loppuun saattaminen </w:t>
            </w:r>
          </w:p>
          <w:p w:rsidR="00B0093E" w:rsidRDefault="00762CA6">
            <w:pPr>
              <w:spacing w:after="0" w:line="240" w:lineRule="auto"/>
              <w:rPr>
                <w:rFonts w:eastAsia="Times New Roman" w:cs="Calibri"/>
                <w:noProof/>
                <w:color w:val="006100"/>
                <w:sz w:val="18"/>
                <w:szCs w:val="18"/>
              </w:rPr>
            </w:pPr>
            <w:r>
              <w:rPr>
                <w:noProof/>
                <w:color w:val="006100"/>
                <w:sz w:val="18"/>
                <w:szCs w:val="18"/>
              </w:rPr>
              <w:t>1. Viemäriverkkoinfrastruktuuri ja jätevedenpuhdistamot;</w:t>
            </w:r>
          </w:p>
          <w:p w:rsidR="00B0093E" w:rsidRDefault="00762CA6">
            <w:pPr>
              <w:spacing w:after="0" w:line="240" w:lineRule="auto"/>
              <w:rPr>
                <w:rFonts w:eastAsia="Times New Roman" w:cs="Calibri"/>
                <w:noProof/>
                <w:color w:val="006100"/>
                <w:sz w:val="18"/>
                <w:szCs w:val="18"/>
              </w:rPr>
            </w:pPr>
            <w:r>
              <w:rPr>
                <w:noProof/>
                <w:color w:val="006100"/>
                <w:sz w:val="18"/>
                <w:szCs w:val="18"/>
              </w:rPr>
              <w:t>2. Jätevedenpuhdistamojen parantaminen, laajentaminen ja nykyaikaistaminen</w:t>
            </w:r>
            <w:r>
              <w:rPr>
                <w:noProof/>
                <w:color w:val="006100"/>
                <w:sz w:val="18"/>
                <w:szCs w:val="18"/>
              </w:rPr>
              <w:t xml:space="preserve"> sekä käsitellyn veden uudelleenkäyttö; ja</w:t>
            </w:r>
          </w:p>
          <w:p w:rsidR="00B0093E" w:rsidRDefault="00762CA6">
            <w:pPr>
              <w:spacing w:after="0" w:line="240" w:lineRule="auto"/>
              <w:rPr>
                <w:rFonts w:eastAsia="Times New Roman" w:cs="Calibri"/>
                <w:noProof/>
                <w:color w:val="006100"/>
                <w:sz w:val="18"/>
                <w:szCs w:val="18"/>
              </w:rPr>
            </w:pPr>
            <w:r>
              <w:rPr>
                <w:noProof/>
                <w:color w:val="006100"/>
                <w:sz w:val="18"/>
                <w:szCs w:val="18"/>
              </w:rPr>
              <w:t>3. Jätevedenpuhdistamoista peräisin olevan lietteen käsittelyinfrastruktuurin toteuttaminen.</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74</w:t>
            </w:r>
          </w:p>
        </w:tc>
        <w:tc>
          <w:tcPr>
            <w:tcW w:w="13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4 - 1.4. Luonnonvarojen kestävä käyttö, ilmastokestävyys ja ympäristönsuojelu – 16850_Juomavesihuolto- ja </w:t>
            </w:r>
            <w:r>
              <w:rPr>
                <w:noProof/>
                <w:color w:val="006100"/>
                <w:sz w:val="18"/>
                <w:szCs w:val="18"/>
              </w:rPr>
              <w:t>juomavedensäästöinfrastruktuurit</w:t>
            </w:r>
          </w:p>
        </w:tc>
        <w:tc>
          <w:tcPr>
            <w:tcW w:w="10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Juomaveden jakelun ja säästöinfrastruktuurien loppuun saattaminen</w:t>
            </w:r>
          </w:p>
        </w:tc>
        <w:tc>
          <w:tcPr>
            <w:tcW w:w="17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varmentama riippumattoman insinöörin loppukertomus</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6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Kaikkien hankkeiden loppuun saattaminen, mukaan lukien: </w:t>
            </w:r>
          </w:p>
          <w:p w:rsidR="00B0093E" w:rsidRDefault="00762CA6">
            <w:pPr>
              <w:spacing w:after="0" w:line="240" w:lineRule="auto"/>
              <w:rPr>
                <w:rFonts w:eastAsia="Times New Roman" w:cs="Calibri"/>
                <w:noProof/>
                <w:color w:val="006100"/>
                <w:sz w:val="18"/>
                <w:szCs w:val="18"/>
              </w:rPr>
            </w:pPr>
            <w:r>
              <w:rPr>
                <w:noProof/>
                <w:color w:val="006100"/>
                <w:sz w:val="18"/>
                <w:szCs w:val="18"/>
              </w:rPr>
              <w:t>1: Vesihuoltoinfrastruktuurit seitsemällä alueella</w:t>
            </w:r>
          </w:p>
          <w:p w:rsidR="00B0093E" w:rsidRDefault="00762CA6">
            <w:pPr>
              <w:spacing w:after="0" w:line="240" w:lineRule="auto"/>
              <w:rPr>
                <w:rFonts w:eastAsia="Times New Roman" w:cs="Calibri"/>
                <w:noProof/>
                <w:color w:val="006100"/>
                <w:sz w:val="18"/>
                <w:szCs w:val="18"/>
              </w:rPr>
            </w:pPr>
            <w:r>
              <w:rPr>
                <w:noProof/>
                <w:color w:val="006100"/>
                <w:sz w:val="18"/>
                <w:szCs w:val="18"/>
              </w:rPr>
              <w:t>2: Kolme suolanpoistolaitosta</w:t>
            </w:r>
          </w:p>
          <w:p w:rsidR="00B0093E" w:rsidRDefault="00762CA6">
            <w:pPr>
              <w:spacing w:after="0" w:line="240" w:lineRule="auto"/>
              <w:rPr>
                <w:rFonts w:eastAsia="Times New Roman" w:cs="Calibri"/>
                <w:noProof/>
                <w:color w:val="006100"/>
                <w:sz w:val="18"/>
                <w:szCs w:val="18"/>
              </w:rPr>
            </w:pPr>
            <w:r>
              <w:rPr>
                <w:noProof/>
                <w:color w:val="006100"/>
                <w:sz w:val="18"/>
                <w:szCs w:val="18"/>
              </w:rPr>
              <w:t>3: Kaukomittaus – etävalvontahankkeet vuotojen havaitsemiseksi vedenjakeluverkoissa</w:t>
            </w:r>
          </w:p>
          <w:p w:rsidR="00B0093E" w:rsidRDefault="00762CA6">
            <w:pPr>
              <w:spacing w:after="0" w:line="240" w:lineRule="auto"/>
              <w:rPr>
                <w:rFonts w:eastAsia="Times New Roman" w:cs="Calibri"/>
                <w:noProof/>
                <w:color w:val="006100"/>
                <w:sz w:val="18"/>
                <w:szCs w:val="18"/>
              </w:rPr>
            </w:pPr>
            <w:r>
              <w:rPr>
                <w:noProof/>
                <w:color w:val="006100"/>
                <w:sz w:val="18"/>
                <w:szCs w:val="18"/>
              </w:rPr>
              <w:t>4: Digitaalisten vesimittareiden h</w:t>
            </w:r>
            <w:r>
              <w:rPr>
                <w:noProof/>
                <w:color w:val="006100"/>
                <w:sz w:val="18"/>
                <w:szCs w:val="18"/>
              </w:rPr>
              <w:t xml:space="preserve">ankinta </w:t>
            </w:r>
          </w:p>
          <w:p w:rsidR="00B0093E" w:rsidRDefault="00762CA6">
            <w:pPr>
              <w:spacing w:after="0" w:line="240" w:lineRule="auto"/>
              <w:rPr>
                <w:rFonts w:eastAsia="Times New Roman" w:cs="Calibri"/>
                <w:noProof/>
                <w:color w:val="006100"/>
                <w:sz w:val="18"/>
                <w:szCs w:val="18"/>
              </w:rPr>
            </w:pPr>
            <w:r>
              <w:rPr>
                <w:noProof/>
                <w:color w:val="006100"/>
                <w:sz w:val="18"/>
                <w:szCs w:val="18"/>
              </w:rPr>
              <w:t>5: Vesisäästötoimet vähintään 45 000 kotitalouden ja 10 000 yrityksen osalta</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75</w:t>
            </w:r>
          </w:p>
        </w:tc>
        <w:tc>
          <w:tcPr>
            <w:tcW w:w="13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16882_Tulvien lieventämistä koskevat hankkeet</w:t>
            </w:r>
          </w:p>
        </w:tc>
        <w:tc>
          <w:tcPr>
            <w:tcW w:w="10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Tulvien lieventämistä </w:t>
            </w:r>
            <w:r>
              <w:rPr>
                <w:noProof/>
                <w:color w:val="006100"/>
                <w:sz w:val="18"/>
                <w:szCs w:val="18"/>
              </w:rPr>
              <w:t>koskevien hankkeiden loppuun saattaminen</w:t>
            </w:r>
          </w:p>
        </w:tc>
        <w:tc>
          <w:tcPr>
            <w:tcW w:w="17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varmentama riippumattoman insinöörin loppukertomus</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6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Tulvien lieventämistä koskevien hankkeiden loppuun saattaminen neljällä alueella: Lasithi Kreeta, Amvrakian Amfilohian </w:t>
            </w:r>
            <w:r>
              <w:rPr>
                <w:noProof/>
                <w:color w:val="006100"/>
                <w:sz w:val="18"/>
                <w:szCs w:val="18"/>
              </w:rPr>
              <w:t>alue, Loutrakin alue ja Oreokastron alue.</w:t>
            </w:r>
          </w:p>
        </w:tc>
      </w:tr>
      <w:tr w:rsidR="00B0093E">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76</w:t>
            </w:r>
          </w:p>
        </w:tc>
        <w:tc>
          <w:tcPr>
            <w:tcW w:w="13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16898_Vesihuoltohankkeet</w:t>
            </w:r>
          </w:p>
        </w:tc>
        <w:tc>
          <w:tcPr>
            <w:tcW w:w="10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Vesihuoltohankkeiden toteuttaminen</w:t>
            </w:r>
          </w:p>
        </w:tc>
        <w:tc>
          <w:tcPr>
            <w:tcW w:w="17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Ympäristö- ja energiaministeriön varmentama riippumattoman</w:t>
            </w:r>
            <w:r>
              <w:rPr>
                <w:noProof/>
                <w:color w:val="006100"/>
                <w:sz w:val="18"/>
                <w:szCs w:val="18"/>
              </w:rPr>
              <w:t xml:space="preserve"> insinöörin loppukertomus</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60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Kolmen vesihuoltoa koskevan osahankkeen loppuun saattaminen: a) Preveza–Arta–Lefkada, b) Korfu ja c) Lesbos: vedenotto- ja syöttötyöt, putkistot sekä varastointi- ja pumppausasemat ovat valmiina ja toiminnassa.</w:t>
            </w:r>
          </w:p>
        </w:tc>
      </w:tr>
    </w:tbl>
    <w:p w:rsidR="00B0093E" w:rsidRDefault="00762CA6">
      <w:pPr>
        <w:keepNext/>
        <w:keepLines/>
        <w:spacing w:before="36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Ryhmä </w:t>
      </w:r>
      <w:r>
        <w:rPr>
          <w:rFonts w:ascii="Cambria" w:hAnsi="Cambria"/>
          <w:noProof/>
          <w:color w:val="365F91"/>
          <w:sz w:val="24"/>
        </w:rPr>
        <w:t>7: Pelastuspalveluhankkeet</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Tähän ryhmään kuuluvat seuraavat toimenpiteet:</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Ilma-alukset kriisinhallintaa varten (tunniste: 16911)</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Innovatiivisen seuranta- ja hallintajärjestelmän kehittäminen (toimenpiteen tunniste: 16910)</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Strategisen kansallisen </w:t>
      </w:r>
      <w:r>
        <w:rPr>
          <w:rFonts w:ascii="Times New Roman" w:hAnsi="Times New Roman"/>
          <w:noProof/>
          <w:sz w:val="24"/>
        </w:rPr>
        <w:t>katastrofiriskien hallinnan (toimenpiteen tunniste: 16909)</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Metsäpalojen ennaltaehkäisy- ja torjuntavälineet (toimenpiteen tunniste: 16912)</w:t>
      </w:r>
    </w:p>
    <w:p w:rsidR="00B0093E" w:rsidRDefault="00762CA6">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Alueellisten pelastuspalvelukeskusten (PEKEPP) täytäntöönpano julkisen ja yksityisen sektorin kumppanuuksien avul</w:t>
      </w:r>
      <w:r>
        <w:rPr>
          <w:rFonts w:ascii="Times New Roman" w:hAnsi="Times New Roman"/>
          <w:noProof/>
          <w:sz w:val="24"/>
        </w:rPr>
        <w:t>la (toimenpiteen tunniste: 16283)</w:t>
      </w:r>
    </w:p>
    <w:tbl>
      <w:tblPr>
        <w:tblW w:w="15588" w:type="dxa"/>
        <w:tblInd w:w="113" w:type="dxa"/>
        <w:tblLayout w:type="fixed"/>
        <w:tblLook w:val="04A0" w:firstRow="1" w:lastRow="0" w:firstColumn="1" w:lastColumn="0" w:noHBand="0" w:noVBand="1"/>
      </w:tblPr>
      <w:tblGrid>
        <w:gridCol w:w="1129"/>
        <w:gridCol w:w="1276"/>
        <w:gridCol w:w="993"/>
        <w:gridCol w:w="1134"/>
        <w:gridCol w:w="1134"/>
        <w:gridCol w:w="992"/>
        <w:gridCol w:w="992"/>
        <w:gridCol w:w="709"/>
        <w:gridCol w:w="850"/>
        <w:gridCol w:w="851"/>
        <w:gridCol w:w="5528"/>
      </w:tblGrid>
      <w:tr w:rsidR="00B0093E">
        <w:trPr>
          <w:trHeight w:val="927"/>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134"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693"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w:t>
            </w:r>
            <w:r>
              <w:rPr>
                <w:rFonts w:ascii="Times New Roman" w:hAnsi="Times New Roman"/>
                <w:b/>
                <w:bCs/>
                <w:noProof/>
                <w:sz w:val="18"/>
                <w:szCs w:val="18"/>
              </w:rPr>
              <w:t>n ja tavoitteen kuvaus</w:t>
            </w:r>
          </w:p>
        </w:tc>
      </w:tr>
      <w:tr w:rsidR="00B0093E">
        <w:trPr>
          <w:trHeight w:val="1013"/>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77</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4 - 1.4. Resurssien kestävä käyttö, ilmasto-kestävyys ja ympäristön-suojelu – 16283_Alueellisten pelastuspalvelukeskusten (PEKEPP) täytäntöönpano julkisen ja </w:t>
            </w:r>
            <w:r>
              <w:rPr>
                <w:noProof/>
                <w:color w:val="006100"/>
                <w:sz w:val="18"/>
                <w:szCs w:val="18"/>
              </w:rPr>
              <w:t>yksityisen sektorin kumppanuusjärjestelmien avulla</w:t>
            </w: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13:a aluekes-kusta koskeva tarjous-pyyntö</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Tarjouskilpailuilmoituksen julkaisemi-nen</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552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 alueellisen pelastuspalvelukeskuksen rakentamista koskevan tarjouskilpailuilmoituksen julkaisem</w:t>
            </w:r>
            <w:r>
              <w:rPr>
                <w:noProof/>
                <w:color w:val="006100"/>
                <w:sz w:val="18"/>
                <w:szCs w:val="18"/>
              </w:rPr>
              <w:t>inen.</w:t>
            </w: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78</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16910_Seuranta- ja hallintajärjestelmä</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GPS:ää koskeva sopimus</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hankinta-sopimusten tekemisestä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52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sopimuksen tekemisestä GPS-seurantajärjestelmää ja varhaisvaroitusjärjestelmää varten. </w:t>
            </w: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79</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16911_Ilma-alukset kriisinhallintaa varten</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Kahden </w:t>
            </w:r>
            <w:r>
              <w:rPr>
                <w:noProof/>
                <w:color w:val="006100"/>
                <w:sz w:val="18"/>
                <w:szCs w:val="18"/>
              </w:rPr>
              <w:t>Sikorsky-helikopterin osto</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hankinta-sopimusten tekemisestä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52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kahden Sikorsky-helikopterin hankintasopimuksen tekemisestä pelastuspalvelu- ja palontorjuntatarpeita varten.</w:t>
            </w: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80</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4 - 1.4. Resurssien kestävä käyttö, ilmastokestävyys </w:t>
            </w:r>
            <w:r>
              <w:rPr>
                <w:noProof/>
                <w:color w:val="006100"/>
                <w:sz w:val="18"/>
                <w:szCs w:val="18"/>
              </w:rPr>
              <w:t>ja ympäristönsuojelu – 16283_Alueellisten pelastuspalvelukeskusten (PEKEPP) täytäntöönpano julkisen ja yksityisen sektorin kumppanuusjärjestelmien avulla</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 rakennuk-sen valmistu-minen</w:t>
            </w:r>
          </w:p>
        </w:tc>
        <w:tc>
          <w:tcPr>
            <w:tcW w:w="113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Niiden alueel-listen pelastus-palvelu-keskusten luku-määrä, jo</w:t>
            </w:r>
            <w:r>
              <w:rPr>
                <w:noProof/>
                <w:color w:val="006100"/>
                <w:sz w:val="18"/>
                <w:szCs w:val="18"/>
              </w:rPr>
              <w:t xml:space="preserve">tka on otettu käyttöön rakenta-misen päätty-misen jälkeen </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w:t>
            </w: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552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 alueellisen pelastuspalvelukeskuksen rakentamisen ja käyttöönoton loppuun saattaminen.</w:t>
            </w: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81</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magenta"/>
              </w:rPr>
            </w:pPr>
            <w:r>
              <w:rPr>
                <w:noProof/>
                <w:color w:val="006100"/>
                <w:sz w:val="18"/>
                <w:szCs w:val="18"/>
              </w:rPr>
              <w:t xml:space="preserve">4 - 1.4. Luonnonvarojen kestävä käyttö, ilmastokestävyys ja ympäristönsuojelu – </w:t>
            </w:r>
            <w:r>
              <w:rPr>
                <w:noProof/>
                <w:color w:val="006100"/>
                <w:sz w:val="18"/>
                <w:szCs w:val="18"/>
              </w:rPr>
              <w:t>16910_Seuranta- ja hallintajärjestelmä</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Pelastus-palvelun seuranta- ja hallinta-järjestelmän loppuun saattaminen</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Loppuun saattaminen vahvistettu sisäasiain-ministeriön selvityk-sessä.</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52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Seuraavien toimien loppuun saattaminen:</w:t>
            </w:r>
          </w:p>
          <w:p w:rsidR="00B0093E" w:rsidRDefault="00762CA6">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Kreikan pa</w:t>
            </w:r>
            <w:r>
              <w:rPr>
                <w:noProof/>
                <w:color w:val="006100"/>
                <w:sz w:val="18"/>
                <w:szCs w:val="18"/>
              </w:rPr>
              <w:t>lolaitoksen käyttämä GPS-seurantajärjestelmä sekä alueellisen pelastuspalvelukeskuksen ajoneuvot (hankekoneet jne.). Kreikan palolaitoksen tietojärjestelmän laajentaminen;</w:t>
            </w:r>
          </w:p>
          <w:p w:rsidR="00B0093E" w:rsidRDefault="00762CA6">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ennakkovaroitusjärjestelmä;</w:t>
            </w:r>
          </w:p>
          <w:p w:rsidR="00B0093E" w:rsidRDefault="00762CA6">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palonhavaitsemis- ja palonsammutusjärjestelmät;</w:t>
            </w:r>
          </w:p>
          <w:p w:rsidR="00B0093E" w:rsidRDefault="00762CA6">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hätävies</w:t>
            </w:r>
            <w:r>
              <w:rPr>
                <w:noProof/>
                <w:color w:val="006100"/>
                <w:sz w:val="18"/>
                <w:szCs w:val="18"/>
              </w:rPr>
              <w:t>tintäasemat ja ilmastoa koskevien tietojen toimittaminen kiinnostavista alueista; ja</w:t>
            </w:r>
          </w:p>
          <w:p w:rsidR="00B0093E" w:rsidRDefault="00762CA6">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langaton viestintäverkko.</w:t>
            </w:r>
          </w:p>
          <w:p w:rsidR="00B0093E" w:rsidRDefault="00B0093E">
            <w:pPr>
              <w:spacing w:after="0" w:line="240" w:lineRule="auto"/>
              <w:rPr>
                <w:rFonts w:eastAsia="Times New Roman" w:cs="Calibri"/>
                <w:noProof/>
                <w:color w:val="006100"/>
                <w:sz w:val="18"/>
                <w:szCs w:val="18"/>
                <w:lang w:eastAsia="en-GB"/>
              </w:rPr>
            </w:pP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82</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4 - 1.4. Luonnonvarojen kestävä käyttö, ilmastokestävyys ja ympäristönsuojelu – 16911_Ilma-alukset kriisin-hallintaa varten</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Kriisin-hallinnan ilmavoima-varoja koskevan hankkeen loppuun saattaminen</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Loppuun saattaminen on vahvistettu sisä-asiain-ministeriön raportissa.</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52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Seuraavien toimien loppuun saattaminen:</w:t>
            </w:r>
          </w:p>
          <w:p w:rsidR="00B0093E" w:rsidRDefault="00762CA6">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 xml:space="preserve">Kahden keskikokoisen hyötyhelikopterin toimittaminen </w:t>
            </w:r>
            <w:r>
              <w:rPr>
                <w:noProof/>
                <w:color w:val="006100"/>
                <w:sz w:val="18"/>
                <w:szCs w:val="18"/>
              </w:rPr>
              <w:t>lääketieteelliseen käyttöön;</w:t>
            </w:r>
          </w:p>
          <w:p w:rsidR="00B0093E" w:rsidRDefault="00762CA6">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Miehittämättömien ilma-alusten toimittaminen ilmavalvontaa varten;</w:t>
            </w:r>
          </w:p>
          <w:p w:rsidR="00B0093E" w:rsidRDefault="00762CA6">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Päivitys – 7 Canadair CL415:n nykyaikaistaminen;</w:t>
            </w:r>
          </w:p>
          <w:p w:rsidR="00B0093E" w:rsidRDefault="00762CA6">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S-64-luokan raskaat nosturihelikopterit;</w:t>
            </w:r>
          </w:p>
          <w:p w:rsidR="00B0093E" w:rsidRDefault="00762CA6">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Yhden helikopterin toimittaminen GSCP:n vaaratilanteiden hallintaryhmä</w:t>
            </w:r>
            <w:r>
              <w:rPr>
                <w:noProof/>
                <w:color w:val="006100"/>
                <w:sz w:val="18"/>
                <w:szCs w:val="18"/>
              </w:rPr>
              <w:t>n kuljetukseen;</w:t>
            </w:r>
          </w:p>
          <w:p w:rsidR="00B0093E" w:rsidRDefault="00762CA6">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11 amfibiotraktorityyppisten sammutuslentokoneiden toimittaminen saarella sijaitseviin komplekseihin; ja</w:t>
            </w:r>
          </w:p>
          <w:p w:rsidR="00B0093E" w:rsidRDefault="00762CA6">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Päivitys: kahden (2) Super Pumasin nykyaikaistaminen.</w:t>
            </w: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83</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magenta"/>
              </w:rPr>
            </w:pPr>
            <w:r>
              <w:rPr>
                <w:noProof/>
                <w:color w:val="006100"/>
                <w:sz w:val="18"/>
                <w:szCs w:val="18"/>
              </w:rPr>
              <w:t>4 - 1.4. Luonnonvarojen kestävä käyttö, ilmastokestävyys ja ympäristönsuojelu</w:t>
            </w:r>
            <w:r>
              <w:rPr>
                <w:noProof/>
                <w:color w:val="006100"/>
                <w:sz w:val="18"/>
                <w:szCs w:val="18"/>
              </w:rPr>
              <w:t xml:space="preserve"> – 16912_Metsäsammutus-, ennaltaehkäisy- ja torjuntalaitteet</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Metsä-palojen torjunta-kalustoon liittyvien hankintojen toteut-taminen</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Loppuun saattaminen on vahvistettu sisäasiain-ministeriön raportissa.</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52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Seuraavien toimien loppuun </w:t>
            </w:r>
            <w:r>
              <w:rPr>
                <w:noProof/>
                <w:color w:val="006100"/>
                <w:sz w:val="18"/>
                <w:szCs w:val="18"/>
              </w:rPr>
              <w:t>saattaminen:</w:t>
            </w:r>
          </w:p>
          <w:p w:rsidR="00B0093E" w:rsidRDefault="00762CA6">
            <w:pPr>
              <w:numPr>
                <w:ilvl w:val="0"/>
                <w:numId w:val="49"/>
              </w:numPr>
              <w:spacing w:before="120" w:after="0" w:line="259" w:lineRule="auto"/>
              <w:contextualSpacing/>
              <w:jc w:val="both"/>
              <w:rPr>
                <w:rFonts w:eastAsia="Times New Roman" w:cs="Calibri"/>
                <w:noProof/>
                <w:color w:val="006100"/>
                <w:sz w:val="18"/>
                <w:szCs w:val="18"/>
              </w:rPr>
            </w:pPr>
            <w:r>
              <w:rPr>
                <w:noProof/>
                <w:color w:val="006100"/>
                <w:sz w:val="18"/>
                <w:szCs w:val="18"/>
              </w:rPr>
              <w:t>Palomoottoreihin ja muihin reaktioajoneuvoihin liittyvät toimitukset;</w:t>
            </w:r>
          </w:p>
          <w:p w:rsidR="00B0093E" w:rsidRDefault="00762CA6">
            <w:pPr>
              <w:numPr>
                <w:ilvl w:val="0"/>
                <w:numId w:val="49"/>
              </w:numPr>
              <w:spacing w:before="120" w:after="0" w:line="259" w:lineRule="auto"/>
              <w:contextualSpacing/>
              <w:jc w:val="both"/>
              <w:rPr>
                <w:rFonts w:eastAsia="Times New Roman" w:cs="Calibri"/>
                <w:noProof/>
                <w:color w:val="006100"/>
                <w:sz w:val="18"/>
                <w:szCs w:val="18"/>
              </w:rPr>
            </w:pPr>
            <w:r>
              <w:rPr>
                <w:noProof/>
                <w:color w:val="006100"/>
                <w:sz w:val="18"/>
                <w:szCs w:val="18"/>
              </w:rPr>
              <w:t>Ennaltaehkäisyhankkeiden kehittäminen. Rakennuslaitteiden toimittaminen;</w:t>
            </w:r>
          </w:p>
          <w:p w:rsidR="00B0093E" w:rsidRDefault="00762CA6">
            <w:pPr>
              <w:numPr>
                <w:ilvl w:val="0"/>
                <w:numId w:val="49"/>
              </w:numPr>
              <w:spacing w:before="120" w:after="0" w:line="259" w:lineRule="auto"/>
              <w:contextualSpacing/>
              <w:jc w:val="both"/>
              <w:rPr>
                <w:rFonts w:eastAsia="Times New Roman" w:cs="Calibri"/>
                <w:noProof/>
                <w:color w:val="006100"/>
                <w:sz w:val="18"/>
                <w:szCs w:val="18"/>
              </w:rPr>
            </w:pPr>
            <w:r>
              <w:rPr>
                <w:noProof/>
                <w:color w:val="006100"/>
                <w:sz w:val="18"/>
                <w:szCs w:val="18"/>
              </w:rPr>
              <w:t xml:space="preserve">Ajoneuvojen toimittaminen pääsihteeristölle, alueellisille/paikallisille pelastuspalvelukeskuksille </w:t>
            </w:r>
            <w:r>
              <w:rPr>
                <w:noProof/>
                <w:color w:val="006100"/>
                <w:sz w:val="18"/>
                <w:szCs w:val="18"/>
              </w:rPr>
              <w:t>ja vapaaehtoisjärjestöille; ja</w:t>
            </w:r>
          </w:p>
          <w:p w:rsidR="00B0093E" w:rsidRDefault="00762CA6">
            <w:pPr>
              <w:numPr>
                <w:ilvl w:val="0"/>
                <w:numId w:val="49"/>
              </w:numPr>
              <w:spacing w:before="120" w:after="0" w:line="259" w:lineRule="auto"/>
              <w:contextualSpacing/>
              <w:jc w:val="both"/>
              <w:rPr>
                <w:rFonts w:eastAsia="Times New Roman" w:cs="Calibri"/>
                <w:noProof/>
                <w:color w:val="006100"/>
                <w:sz w:val="18"/>
                <w:szCs w:val="18"/>
              </w:rPr>
            </w:pPr>
            <w:r>
              <w:rPr>
                <w:noProof/>
                <w:color w:val="006100"/>
                <w:sz w:val="18"/>
                <w:szCs w:val="18"/>
              </w:rPr>
              <w:t xml:space="preserve">Kokoonpantavien kuljetettavien siltojen toimittaminen. </w:t>
            </w: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84</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4 - 1.4. Resurssien kestävä käyttö, ilmastonmuutokseen sopeutu-minen ja ympäristön-suojelu – 16909_Infra-struktuuri – Strategisen kansallisen </w:t>
            </w:r>
            <w:r>
              <w:rPr>
                <w:noProof/>
                <w:color w:val="006100"/>
                <w:sz w:val="18"/>
                <w:szCs w:val="18"/>
              </w:rPr>
              <w:t>katastrofi-riskin-hallinnan käyttöönotto</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Kansallisen katastrofi-riskin- hallinnan loppuun saattaminen</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Loppuun saattaminen on vahvistettu sisäasiain-ministeriön raportissa.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52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Seuraavien toimien loppuun saattaminen:</w:t>
            </w:r>
          </w:p>
          <w:p w:rsidR="00B0093E" w:rsidRDefault="00762CA6">
            <w:pPr>
              <w:numPr>
                <w:ilvl w:val="0"/>
                <w:numId w:val="50"/>
              </w:numPr>
              <w:spacing w:before="120" w:after="0" w:line="259" w:lineRule="auto"/>
              <w:contextualSpacing/>
              <w:jc w:val="both"/>
              <w:rPr>
                <w:rFonts w:eastAsia="Times New Roman" w:cs="Calibri"/>
                <w:noProof/>
                <w:color w:val="006100"/>
                <w:sz w:val="18"/>
                <w:szCs w:val="18"/>
              </w:rPr>
            </w:pPr>
            <w:r>
              <w:rPr>
                <w:noProof/>
                <w:color w:val="006100"/>
                <w:sz w:val="18"/>
                <w:szCs w:val="18"/>
              </w:rPr>
              <w:t xml:space="preserve">Strategisen </w:t>
            </w:r>
            <w:r>
              <w:rPr>
                <w:noProof/>
                <w:color w:val="006100"/>
                <w:sz w:val="18"/>
                <w:szCs w:val="18"/>
              </w:rPr>
              <w:t>kansallisen katastrofiriskien hallintakeskuksen perustaminen Atlantas- ja Faros-rakennukseen.</w:t>
            </w:r>
          </w:p>
          <w:p w:rsidR="00B0093E" w:rsidRDefault="00762CA6">
            <w:pPr>
              <w:numPr>
                <w:ilvl w:val="0"/>
                <w:numId w:val="51"/>
              </w:numPr>
              <w:spacing w:before="120" w:after="0" w:line="259" w:lineRule="auto"/>
              <w:contextualSpacing/>
              <w:jc w:val="both"/>
              <w:rPr>
                <w:rFonts w:eastAsia="Times New Roman" w:cs="Calibri"/>
                <w:noProof/>
                <w:color w:val="006100"/>
                <w:sz w:val="18"/>
                <w:szCs w:val="18"/>
              </w:rPr>
            </w:pPr>
            <w:r>
              <w:rPr>
                <w:noProof/>
                <w:color w:val="006100"/>
                <w:sz w:val="18"/>
                <w:szCs w:val="18"/>
              </w:rPr>
              <w:t>Televiestintälaitteiden toimittaminen 13 alueelliselle pelastuspalvelukeskukselle.</w:t>
            </w:r>
          </w:p>
          <w:p w:rsidR="00B0093E" w:rsidRDefault="00762CA6">
            <w:pPr>
              <w:numPr>
                <w:ilvl w:val="0"/>
                <w:numId w:val="51"/>
              </w:numPr>
              <w:spacing w:before="120" w:after="0" w:line="259" w:lineRule="auto"/>
              <w:contextualSpacing/>
              <w:jc w:val="both"/>
              <w:rPr>
                <w:rFonts w:eastAsia="Times New Roman" w:cs="Calibri"/>
                <w:noProof/>
                <w:color w:val="006100"/>
                <w:sz w:val="18"/>
                <w:szCs w:val="18"/>
              </w:rPr>
            </w:pPr>
            <w:r>
              <w:rPr>
                <w:noProof/>
                <w:color w:val="006100"/>
                <w:sz w:val="18"/>
                <w:szCs w:val="18"/>
              </w:rPr>
              <w:t>Uusien rakennustilojen ja toimistolaitteiden rakentaminen pelastuspalvelua ja p</w:t>
            </w:r>
            <w:r>
              <w:rPr>
                <w:noProof/>
                <w:color w:val="006100"/>
                <w:sz w:val="18"/>
                <w:szCs w:val="18"/>
              </w:rPr>
              <w:t>alokuntaa käsitteleviä oppilaitoksia varten.</w:t>
            </w:r>
          </w:p>
          <w:p w:rsidR="00B0093E" w:rsidRDefault="00762CA6">
            <w:pPr>
              <w:numPr>
                <w:ilvl w:val="0"/>
                <w:numId w:val="51"/>
              </w:numPr>
              <w:spacing w:before="120" w:after="0" w:line="259" w:lineRule="auto"/>
              <w:contextualSpacing/>
              <w:jc w:val="both"/>
              <w:rPr>
                <w:rFonts w:eastAsia="Times New Roman" w:cs="Calibri"/>
                <w:noProof/>
                <w:color w:val="006100"/>
                <w:sz w:val="18"/>
                <w:szCs w:val="18"/>
              </w:rPr>
            </w:pPr>
            <w:r>
              <w:rPr>
                <w:noProof/>
                <w:color w:val="006100"/>
                <w:sz w:val="18"/>
                <w:szCs w:val="18"/>
              </w:rPr>
              <w:t>Ilmavalvonnan valvonta- ja hallintakeskuksen rakentaminen.</w:t>
            </w:r>
          </w:p>
          <w:p w:rsidR="00B0093E" w:rsidRDefault="00762CA6">
            <w:pPr>
              <w:numPr>
                <w:ilvl w:val="0"/>
                <w:numId w:val="51"/>
              </w:numPr>
              <w:spacing w:before="120" w:after="0" w:line="259" w:lineRule="auto"/>
              <w:contextualSpacing/>
              <w:jc w:val="both"/>
              <w:rPr>
                <w:rFonts w:eastAsia="Times New Roman" w:cs="Calibri"/>
                <w:noProof/>
                <w:color w:val="006100"/>
                <w:sz w:val="18"/>
                <w:szCs w:val="18"/>
              </w:rPr>
            </w:pPr>
            <w:r>
              <w:rPr>
                <w:noProof/>
                <w:color w:val="006100"/>
                <w:sz w:val="18"/>
                <w:szCs w:val="18"/>
              </w:rPr>
              <w:t>Liikkuvien hallinto- ja valvontakeskusten toimittaminen 13 alueella.</w:t>
            </w:r>
          </w:p>
        </w:tc>
      </w:tr>
    </w:tbl>
    <w:p w:rsidR="00B0093E" w:rsidRDefault="00762CA6">
      <w:pPr>
        <w:spacing w:before="120" w:after="120" w:line="240" w:lineRule="auto"/>
        <w:rPr>
          <w:rFonts w:ascii="Times New Roman" w:hAnsi="Times New Roman" w:cs="Times New Roman"/>
          <w:noProof/>
          <w:sz w:val="24"/>
        </w:rPr>
        <w:sectPr w:rsidR="00B0093E">
          <w:headerReference w:type="even" r:id="rId69"/>
          <w:headerReference w:type="default" r:id="rId70"/>
          <w:footerReference w:type="even" r:id="rId71"/>
          <w:footerReference w:type="default" r:id="rId72"/>
          <w:headerReference w:type="first" r:id="rId73"/>
          <w:footerReference w:type="first" r:id="rId74"/>
          <w:pgSz w:w="16839" w:h="11907" w:orient="landscape"/>
          <w:pgMar w:top="720" w:right="720" w:bottom="720" w:left="720" w:header="709" w:footer="709" w:gutter="0"/>
          <w:cols w:space="720"/>
          <w:docGrid w:linePitch="360"/>
        </w:sectPr>
      </w:pP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r>
    </w:p>
    <w:p w:rsidR="00B0093E" w:rsidRDefault="00762CA6">
      <w:pPr>
        <w:spacing w:before="120" w:after="120" w:line="240" w:lineRule="auto"/>
        <w:ind w:firstLine="709"/>
        <w:jc w:val="both"/>
        <w:rPr>
          <w:rFonts w:ascii="Times New Roman" w:hAnsi="Times New Roman" w:cs="Times New Roman"/>
          <w:b/>
          <w:bCs/>
          <w:noProof/>
          <w:sz w:val="24"/>
        </w:rPr>
      </w:pPr>
      <w:r>
        <w:rPr>
          <w:rFonts w:ascii="Times New Roman" w:hAnsi="Times New Roman"/>
          <w:b/>
          <w:bCs/>
          <w:noProof/>
          <w:sz w:val="24"/>
        </w:rPr>
        <w:t xml:space="preserve">E. </w:t>
      </w:r>
      <w:r>
        <w:rPr>
          <w:rFonts w:ascii="Times New Roman" w:hAnsi="Times New Roman"/>
          <w:b/>
          <w:bCs/>
          <w:noProof/>
          <w:sz w:val="24"/>
        </w:rPr>
        <w:t>KOMPONENTTI 2.1: YHDISTÄ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Tämä Kreikan elpymis- ja palautumissuunnitelman komponentti sisältää toimenpiteitä, joilla pyritään edistämään ja helpottamaan erittäin suuren kapasiteetin verkkojen, myös 5G- ja valokuituverkkojen, laajamittaista käyttöönottoa EU:</w:t>
      </w:r>
      <w:r>
        <w:rPr>
          <w:rFonts w:ascii="Times New Roman" w:hAnsi="Times New Roman"/>
          <w:noProof/>
          <w:sz w:val="24"/>
        </w:rPr>
        <w:t>n vuoden 2025 5G- ja gigabittiyhteyksiä koskevien tavoitteiden mukaisesti sekä kehittämään pieniä satelliitteja. Tähän komponenttiin sisältyvät investoinnit koskevat valokuituinfrastruktuurin asentamista rakennuksiin, 5G-verkkojen kehittämistä Kreikan kaik</w:t>
      </w:r>
      <w:r>
        <w:rPr>
          <w:rFonts w:ascii="Times New Roman" w:hAnsi="Times New Roman"/>
          <w:noProof/>
          <w:sz w:val="24"/>
        </w:rPr>
        <w:t>ki suuret valtaväylät kattavien 5G-verkkojen kehittämiseksi, merenalaisten kuitukaapeleiden käyttöönottoa Manner-Kreikan sekä Kreikan saarien ja Kyproksen liittämiseksi toisiinsa sekä avaruusteknologian ja -sovellusten käyttöä kehittämällä piensatelliittie</w:t>
      </w:r>
      <w:r>
        <w:rPr>
          <w:rFonts w:ascii="Times New Roman" w:hAnsi="Times New Roman"/>
          <w:noProof/>
          <w:sz w:val="24"/>
        </w:rPr>
        <w:t>n kokonaisuus, joka tukee turvallisia yhteyspalveluja ja monikäyttösovelluksia maanhavainnointia varten. Tähän komponenttiin sisältyvillä uudistuksilla luodaan puitteet, joilla helpotetaan siirtymistä nopeisiin laajakaistayhteyksiin ja siirtymistä 5G-tekno</w:t>
      </w:r>
      <w:r>
        <w:rPr>
          <w:rFonts w:ascii="Times New Roman" w:hAnsi="Times New Roman"/>
          <w:noProof/>
          <w:sz w:val="24"/>
        </w:rPr>
        <w:t>logiaan.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Kaikissa ehdotetuissa investoinneissa ja uudistuksissa käsitellään haasteita, jotka johtuvat yhteyksien sekä maanhavainnoinnin ja -seurannan kasvavasta tarpeesta. Toimenpiteillä tuetaan julkisia ja yksityisiä investointeja koskevaa maakohtaista su</w:t>
      </w:r>
      <w:r>
        <w:rPr>
          <w:rFonts w:ascii="Times New Roman" w:hAnsi="Times New Roman"/>
          <w:noProof/>
          <w:sz w:val="24"/>
        </w:rPr>
        <w:t>ositusta (maakohtainen suositus 3 2020), jossa Kreikkaa kehotetaan keskittämään investoinnit digitaaliseen siirtymään ja erityisesti erittäin suuren kapasiteetin digitaaliseen infrastruktuuriin. Ne myös reagoivat tehokkaasti digitaaliseen siirtymään ja/tai</w:t>
      </w:r>
      <w:r>
        <w:rPr>
          <w:rFonts w:ascii="Times New Roman" w:hAnsi="Times New Roman"/>
          <w:noProof/>
          <w:sz w:val="24"/>
        </w:rPr>
        <w:t xml:space="preserve"> siitä aiheutuviin haasteisiin, sillä niiden odotetaan parantavan merkittävästi erittäin nopeita yhteyksiä Kreikassa. Minkään tähän osa-alueeseen kuuluvan toimenpiteen ei odoteta aiheuttavan merkittävää haittaa asetuksen (EU) 2020/852 17 artiklassa tarkoit</w:t>
      </w:r>
      <w:r>
        <w:rPr>
          <w:rFonts w:ascii="Times New Roman" w:hAnsi="Times New Roman"/>
          <w:noProof/>
          <w:sz w:val="24"/>
        </w:rPr>
        <w:t>etuille ympäristötavoitteille, kun otetaan huomioon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E.1 </w:t>
      </w:r>
      <w:r>
        <w:rPr>
          <w:rFonts w:ascii="Times New Roman" w:hAnsi="Times New Roman"/>
          <w:b/>
          <w:noProof/>
          <w:sz w:val="24"/>
          <w:u w:val="single"/>
        </w:rPr>
        <w:tab/>
      </w:r>
      <w:r>
        <w:rPr>
          <w:rFonts w:ascii="Times New Roman" w:hAnsi="Times New Roman"/>
          <w:b/>
          <w:bCs/>
          <w:noProof/>
          <w:sz w:val="24"/>
          <w:u w:val="single"/>
        </w:rPr>
        <w:t>Kuvaus uudistuksista ja</w:t>
      </w:r>
      <w:r>
        <w:rPr>
          <w:rFonts w:ascii="Times New Roman" w:hAnsi="Times New Roman"/>
          <w:b/>
          <w:bCs/>
          <w:noProof/>
          <w:sz w:val="24"/>
          <w:u w:val="single"/>
        </w:rPr>
        <w:t xml:space="preserve">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Pienet satelliitit (toimenpiteen tunniste: 16855)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koskee sellaisten pienten satelliittien kehittämistä, jotka tukevat yhteyspalveluja sekä maanhavainnoin</w:t>
      </w:r>
      <w:r>
        <w:rPr>
          <w:rFonts w:ascii="Times New Roman" w:hAnsi="Times New Roman"/>
          <w:noProof/>
          <w:sz w:val="24"/>
        </w:rPr>
        <w:t>tisovelluksia kartoituksen, merenkulun, täsmäviljelyn, aluesuunnittelun ja muiden alojen aloilla.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Siirtyminen 5G-teknologiaan, jolla helpotetaan innovatiivisten etäpalvelujen </w:t>
      </w:r>
      <w:r>
        <w:rPr>
          <w:rFonts w:ascii="Times New Roman" w:hAnsi="Times New Roman"/>
          <w:noProof/>
          <w:sz w:val="24"/>
        </w:rPr>
        <w:t>kehittämistä (toimenpiteen tunniste: 16844)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luodaan perusta siirtymiselle 5G-teknologiaan. Uudistuksen ensimmäisessä vaiheessa keskitytään sääntely- ja lainsäädäntökehyksen täytäntöönpanoon ja erityisesti siihen, että 25 prosenttia 5G-huutoka</w:t>
      </w:r>
      <w:r>
        <w:rPr>
          <w:rFonts w:ascii="Times New Roman" w:hAnsi="Times New Roman"/>
          <w:noProof/>
          <w:sz w:val="24"/>
        </w:rPr>
        <w:t>uppojen tuotoista käytetään tukemaan innovatiivista Phaistos-rahastoa, joka sijoittaa yrityksiin ja hankkeisiin, jotka tarjoavat 5G-tuotteita ja -palveluja. Toiseen vaiheeseen sisältyy prosessi, jolla tunnistetaan uusia mahdollisuuksia ja riskejä 5G-verkko</w:t>
      </w:r>
      <w:r>
        <w:rPr>
          <w:rFonts w:ascii="Times New Roman" w:hAnsi="Times New Roman"/>
          <w:noProof/>
          <w:sz w:val="24"/>
        </w:rPr>
        <w:t>jen kehittämisessä, menettelyjen virtaviivaistamisessa sekä vaatimusten ja riskien arvioinnissa tietyissä taloudellisissa sovelluksissa (kuten liikenteessä). Uudistus on määrä toteuttaa viimeistään 30 päivänä syyskuuta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5G-käytävät – Kehitetään 5G-verkkoja, joiden on katettava kaikki Kreikan moottoritiet, jotka ovat osa Euroopan laajuisia liikenneverkkoja (toimenpiteen tunniste: 16834)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5G-verkkoinfrastruktuurin kehittämisen tärkeimmillä Kreikan valta</w:t>
      </w:r>
      <w:r>
        <w:rPr>
          <w:rFonts w:ascii="Times New Roman" w:hAnsi="Times New Roman"/>
          <w:noProof/>
          <w:sz w:val="24"/>
        </w:rPr>
        <w:t>teillä, jotka ovat osa Euroopan laajuisia liikenneverkkoja, jotta voidaan vastata verkotetun ja autonomisen liikkuvuuden tarpeisiin. Investoinnin täytäntöönpano on määrä aloittaa viimeistään 31 päivänä joulukuuta 2021 ja saattaa päätökseen viimeistään 31 p</w:t>
      </w:r>
      <w:r>
        <w:rPr>
          <w:rFonts w:ascii="Times New Roman" w:hAnsi="Times New Roman"/>
          <w:noProof/>
          <w:sz w:val="24"/>
        </w:rPr>
        <w:t>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Siirtyminen nopeisiin laajakaistayhteyksiin – Siirtyminen 100/200 Mbit/s:n (ultranopeisiin) laajakaistayhteyksiin ja erittäin nopean laajakaistan kysynnän vahvistaminen (toimenpiteen tunniste: 16857)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Uudistuksessa suunnite</w:t>
      </w:r>
      <w:r>
        <w:rPr>
          <w:rFonts w:ascii="Times New Roman" w:hAnsi="Times New Roman"/>
          <w:noProof/>
          <w:sz w:val="24"/>
        </w:rPr>
        <w:t>llaan ja pannaan täytäntöön toimintasuunnitelma, joka koskee siirtymistä 100/200 Mbit/s (ultranopeisiin) laajakaistayhteyksiin asentamalla valokuituoptiikkaa ja siihen liittyviä laitteita rakennuksiin sekä Kreikan saarien osalta merenalaisia kaapeleita, mi</w:t>
      </w:r>
      <w:r>
        <w:rPr>
          <w:rFonts w:ascii="Times New Roman" w:hAnsi="Times New Roman"/>
          <w:noProof/>
          <w:sz w:val="24"/>
        </w:rPr>
        <w:t>kä mahdollistaa ultranopeiden verkkoyhteyksien laajemman kattavuuden. Suunnitelmaan on sisällyttävä toimia, ennakkotoimia, aikatauluja sekä voimassa olevaan lainsäädäntö- ja sääntelykehykseen mahdollisesti tarvittavia muutoksia, joilla tuetaan ja seurataan</w:t>
      </w:r>
      <w:r>
        <w:rPr>
          <w:rFonts w:ascii="Times New Roman" w:hAnsi="Times New Roman"/>
          <w:noProof/>
          <w:sz w:val="24"/>
        </w:rPr>
        <w:t xml:space="preserve"> siirtymistä ultranopeisiin laajakaistayhteyksiin. Uudistus on määrä toteuttaa viimeistään 30 päivänä kesäkuuta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Merenalaiset kuitukaapelit (toimenpiteen tunniste: 16962)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sellaisten nykyaikaisten merenalaisten kuituka</w:t>
      </w:r>
      <w:r>
        <w:rPr>
          <w:rFonts w:ascii="Times New Roman" w:hAnsi="Times New Roman"/>
          <w:noProof/>
          <w:sz w:val="24"/>
        </w:rPr>
        <w:t>apelien käyttöönotosta, jotka yhdistävät Manner-Kreikan saariinsa ja Kyprokseen. Sen tavoitteena on poistaa suuri este nopeiden laajakaistapalvelujen saatavuudelta loppukäyttäjille sekä kiinteiden että matkaviestinverkkojen kautta ja parantaa runkoliityntä</w:t>
      </w:r>
      <w:r>
        <w:rPr>
          <w:rFonts w:ascii="Times New Roman" w:hAnsi="Times New Roman"/>
          <w:noProof/>
          <w:sz w:val="24"/>
        </w:rPr>
        <w:t>infrastruktuurin kapasiteettia ja häiriönsietokykyä 5G:n tueksi.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Rakennusten kuituoptinen infrastruktuuri (toimenpiteen tunniste: 16818)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edistetään valokuit</w:t>
      </w:r>
      <w:r>
        <w:rPr>
          <w:rFonts w:ascii="Times New Roman" w:hAnsi="Times New Roman"/>
          <w:noProof/>
          <w:sz w:val="24"/>
        </w:rPr>
        <w:t>uinfrastruktuurin asentamista asuinrakennuksiin ja liikerakennuksiin sekä loppukäyttäjien liittämistä erittäin suuren kapasiteetin verkkoihin (VHCN), jotka perustuvat kysyntätukijärjestelmään (voucher), jolla tuetaan a) sisäisen kaapeloinnin kustannuksia j</w:t>
      </w:r>
      <w:r>
        <w:rPr>
          <w:rFonts w:ascii="Times New Roman" w:hAnsi="Times New Roman"/>
          <w:noProof/>
          <w:sz w:val="24"/>
        </w:rPr>
        <w:t>a b) liityntämaksuja (laajakaistapalvelujen kertaluonteinen perustamismaksu). Investointi on määrä toteuttaa viimeistään 31 päivänä joulukuuta 2025.</w:t>
      </w:r>
    </w:p>
    <w:p w:rsidR="00B0093E" w:rsidRDefault="00B0093E">
      <w:pPr>
        <w:spacing w:before="120" w:after="120" w:line="240" w:lineRule="auto"/>
        <w:ind w:left="709"/>
        <w:jc w:val="both"/>
        <w:rPr>
          <w:rFonts w:ascii="Times New Roman" w:hAnsi="Times New Roman" w:cs="Times New Roman"/>
          <w:b/>
          <w:bCs/>
          <w:noProof/>
          <w:sz w:val="24"/>
          <w:u w:val="single"/>
        </w:rPr>
      </w:pP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75"/>
          <w:headerReference w:type="default" r:id="rId76"/>
          <w:footerReference w:type="even" r:id="rId77"/>
          <w:footerReference w:type="default" r:id="rId78"/>
          <w:headerReference w:type="first" r:id="rId79"/>
          <w:footerReference w:type="first" r:id="rId80"/>
          <w:pgSz w:w="11907" w:h="16839"/>
          <w:pgMar w:top="1134" w:right="1418" w:bottom="1134" w:left="1418"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E.2 </w:t>
      </w:r>
      <w:r>
        <w:rPr>
          <w:rFonts w:ascii="Times New Roman" w:hAnsi="Times New Roman"/>
          <w:b/>
          <w:noProof/>
          <w:sz w:val="24"/>
          <w:u w:val="single"/>
        </w:rPr>
        <w:tab/>
      </w:r>
      <w:r>
        <w:rPr>
          <w:rFonts w:ascii="Times New Roman" w:hAnsi="Times New Roman"/>
          <w:b/>
          <w:bCs/>
          <w:noProof/>
          <w:sz w:val="24"/>
          <w:u w:val="single"/>
        </w:rPr>
        <w:t xml:space="preserve">Seurantaa ja täytäntöönpanoa koskevat </w:t>
      </w:r>
      <w:r>
        <w:rPr>
          <w:rFonts w:ascii="Times New Roman" w:hAnsi="Times New Roman"/>
          <w:b/>
          <w:bCs/>
          <w:noProof/>
          <w:sz w:val="24"/>
          <w:u w:val="single"/>
        </w:rPr>
        <w:t>välitavoitteet, tavoitteet, indikaattorit ja aikataulu – rahoitustuki, jota ei makseta takaisin</w:t>
      </w:r>
    </w:p>
    <w:p w:rsidR="00B0093E" w:rsidRDefault="00B0093E">
      <w:pPr>
        <w:keepNext/>
        <w:keepLines/>
        <w:spacing w:before="40" w:after="0" w:line="240" w:lineRule="auto"/>
        <w:ind w:firstLine="709"/>
        <w:jc w:val="both"/>
        <w:outlineLvl w:val="4"/>
        <w:rPr>
          <w:rFonts w:ascii="Cambria" w:eastAsia="Times New Roman" w:hAnsi="Cambria"/>
          <w:noProof/>
          <w:color w:val="365F91"/>
          <w:sz w:val="24"/>
        </w:rPr>
      </w:pPr>
    </w:p>
    <w:p w:rsidR="00B0093E" w:rsidRDefault="00762CA6">
      <w:pPr>
        <w:keepNext/>
        <w:keepLines/>
        <w:spacing w:before="40" w:after="0" w:line="240" w:lineRule="auto"/>
        <w:ind w:firstLine="709"/>
        <w:jc w:val="both"/>
        <w:outlineLvl w:val="4"/>
        <w:rPr>
          <w:rFonts w:ascii="Cambria" w:eastAsia="Times New Roman" w:hAnsi="Cambria"/>
          <w:noProof/>
          <w:color w:val="365F91"/>
          <w:sz w:val="24"/>
        </w:rPr>
      </w:pPr>
      <w:r>
        <w:rPr>
          <w:rFonts w:ascii="Cambria" w:hAnsi="Cambria"/>
          <w:noProof/>
          <w:color w:val="365F91"/>
          <w:sz w:val="24"/>
        </w:rPr>
        <w:t>Ryhmä 8: Yhteydet</w:t>
      </w:r>
    </w:p>
    <w:p w:rsidR="00B0093E" w:rsidRDefault="00762CA6">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Tähän ryhmään kuuluvat seuraavat toimenpiteet:</w:t>
      </w:r>
    </w:p>
    <w:p w:rsidR="00B0093E" w:rsidRDefault="00762CA6">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Siirtyminen 5G-teknologiaan, mikä helpottaa innovatiivisten etäpalvelujen kehittämistä. (TUN</w:t>
      </w:r>
      <w:r>
        <w:rPr>
          <w:rFonts w:ascii="Times New Roman" w:hAnsi="Times New Roman"/>
          <w:noProof/>
          <w:sz w:val="24"/>
        </w:rPr>
        <w:t>NISTE: 16844)</w:t>
      </w:r>
    </w:p>
    <w:p w:rsidR="00B0093E" w:rsidRDefault="00762CA6">
      <w:pPr>
        <w:spacing w:before="120" w:after="120" w:line="240" w:lineRule="auto"/>
        <w:ind w:left="1418" w:hanging="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Siirtyminen nopeisiin laajakaistayhteyksiin – Siirtyminen 100/200 Mbit/s:n (ultranopeisiin) laajakaistayhteyksiin ja erittäin nopean laajakaistan kysynnän vahvistaminen (tunniste: 16857)</w:t>
      </w:r>
    </w:p>
    <w:p w:rsidR="00B0093E" w:rsidRDefault="00762CA6">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Rakennusten kuituoptinen infrastruktuuri (tunniste:</w:t>
      </w:r>
      <w:r>
        <w:rPr>
          <w:rFonts w:ascii="Times New Roman" w:hAnsi="Times New Roman"/>
          <w:noProof/>
          <w:sz w:val="24"/>
        </w:rPr>
        <w:t xml:space="preserve"> 16818)</w:t>
      </w:r>
    </w:p>
    <w:p w:rsidR="00B0093E" w:rsidRDefault="00762CA6">
      <w:pPr>
        <w:spacing w:before="120" w:after="120" w:line="240" w:lineRule="auto"/>
        <w:ind w:left="1418" w:hanging="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5G-käytävät – Kehitetään 5G-verkkoja, jotka kattavat kaikki Kreikan moottoritiet, jotka ovat osa Euroopan laajuisia liikenneverkkoja (toimenpiteen tunniste: 16834)</w:t>
      </w:r>
    </w:p>
    <w:p w:rsidR="00B0093E" w:rsidRDefault="00762CA6">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Piensatelliitit (tunniste: 16855)</w:t>
      </w:r>
    </w:p>
    <w:p w:rsidR="00B0093E" w:rsidRDefault="00762CA6">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Merenalaiset kuitukaapelit (toimenpiteen tun</w:t>
      </w:r>
      <w:r>
        <w:rPr>
          <w:rFonts w:ascii="Times New Roman" w:hAnsi="Times New Roman"/>
          <w:noProof/>
          <w:sz w:val="24"/>
        </w:rPr>
        <w:t>niste: 16962)</w:t>
      </w:r>
    </w:p>
    <w:tbl>
      <w:tblPr>
        <w:tblW w:w="15446" w:type="dxa"/>
        <w:jc w:val="center"/>
        <w:tblLayout w:type="fixed"/>
        <w:tblLook w:val="04A0" w:firstRow="1" w:lastRow="0" w:firstColumn="1" w:lastColumn="0" w:noHBand="0" w:noVBand="1"/>
      </w:tblPr>
      <w:tblGrid>
        <w:gridCol w:w="1129"/>
        <w:gridCol w:w="1152"/>
        <w:gridCol w:w="992"/>
        <w:gridCol w:w="851"/>
        <w:gridCol w:w="1134"/>
        <w:gridCol w:w="992"/>
        <w:gridCol w:w="992"/>
        <w:gridCol w:w="709"/>
        <w:gridCol w:w="992"/>
        <w:gridCol w:w="1276"/>
        <w:gridCol w:w="5227"/>
      </w:tblGrid>
      <w:tr w:rsidR="00B0093E">
        <w:trPr>
          <w:trHeight w:val="927"/>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851"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693"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226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52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Kunkin välitavoitteen ja tavoitteen </w:t>
            </w:r>
            <w:r>
              <w:rPr>
                <w:rFonts w:ascii="Times New Roman" w:hAnsi="Times New Roman"/>
                <w:b/>
                <w:bCs/>
                <w:noProof/>
                <w:sz w:val="18"/>
                <w:szCs w:val="18"/>
              </w:rPr>
              <w:t>kuvaus</w:t>
            </w:r>
          </w:p>
        </w:tc>
      </w:tr>
      <w:tr w:rsidR="00B0093E">
        <w:trPr>
          <w:trHeight w:val="1013"/>
          <w:tblHeader/>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51"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1276"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522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85</w:t>
            </w:r>
          </w:p>
        </w:tc>
        <w:tc>
          <w:tcPr>
            <w:tcW w:w="11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5 - </w:t>
            </w:r>
            <w:r>
              <w:rPr>
                <w:noProof/>
                <w:color w:val="006100"/>
                <w:sz w:val="18"/>
                <w:szCs w:val="18"/>
              </w:rPr>
              <w:t>2.1. Connect – 16818_Fiber optinen infra-struktuuri rakennuk-sissa</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”Raken-nusten vapaa-valin-taista infra-struk-tuuria” koske-van hank-keen hankin-tasopi-musten tekemi-nen</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strike/>
                <w:noProof/>
                <w:color w:val="006100"/>
                <w:sz w:val="18"/>
                <w:szCs w:val="18"/>
              </w:rPr>
            </w:pPr>
            <w:r>
              <w:rPr>
                <w:noProof/>
                <w:color w:val="006100"/>
                <w:sz w:val="18"/>
                <w:szCs w:val="18"/>
              </w:rPr>
              <w:t xml:space="preserve">Ilmoitus sopimuksen tekemisestä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Hankintasopimuksen (hankinta</w:t>
            </w:r>
            <w:r>
              <w:rPr>
                <w:noProof/>
                <w:color w:val="006100"/>
                <w:sz w:val="18"/>
                <w:szCs w:val="18"/>
              </w:rPr>
              <w:t>sopimusten) tekeminen sen jälkeen, kun rakennusten valokuituinfrastruktuurihanketta koskeva tarjouskilpailumenettely on saatettu onnistuneesti päätökseen.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Tietoyhteiskunnan valvontaviranomainen/digitaalisesta hallinnosta vastaava ministeriö varmistaa, ett</w:t>
            </w:r>
            <w:r>
              <w:rPr>
                <w:noProof/>
                <w:color w:val="006100"/>
                <w:sz w:val="18"/>
                <w:szCs w:val="18"/>
              </w:rPr>
              <w:t>ä kaikki toimitetut hakemukset tutkitaan sen varmistamiseksi, vastaavatko hakemukset asianmukaisesti ehdotuspyynnön vaatimuksia. Kun sopiva toimeksisaaja on valittu, tietoyhteiskunta S.A./digitaalisesta hallinnosta vastaava ministeriö tekee sopimuksen, jos</w:t>
            </w:r>
            <w:r>
              <w:rPr>
                <w:noProof/>
                <w:color w:val="006100"/>
                <w:sz w:val="18"/>
                <w:szCs w:val="18"/>
              </w:rPr>
              <w:t>sa määritellään sopimuspuolten velvollisuudet, tehtävät ja vastuut.</w:t>
            </w:r>
          </w:p>
        </w:tc>
      </w:tr>
      <w:tr w:rsidR="00B0093E">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86</w:t>
            </w:r>
          </w:p>
        </w:tc>
        <w:tc>
          <w:tcPr>
            <w:tcW w:w="11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5 - 2.1. Connect – 16962_Me-renalaiset valokaapelit</w:t>
            </w:r>
          </w:p>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Veden-alaisia kuitu-kaapeleita koske-van hank-keen hankin-taso-pimus-ten teke-minen</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strike/>
                <w:noProof/>
                <w:color w:val="006100"/>
                <w:sz w:val="18"/>
                <w:szCs w:val="18"/>
              </w:rPr>
            </w:pPr>
            <w:r>
              <w:rPr>
                <w:noProof/>
                <w:color w:val="006100"/>
                <w:sz w:val="18"/>
                <w:szCs w:val="18"/>
              </w:rPr>
              <w:t xml:space="preserve">Ilmoitus sopimuksen tekemisestä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Sopimus (hankintasopimukset) sen jälkeen, kun merenalaisia kuitukaapeleita koskevaa hanketta koskeva tarjouskilpailumenettely on saatettu onnistuneesti päätökseen.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Tietoyhteiskunnan valvontaviranomainen / digitaalisesta hallinnosta vastaava min</w:t>
            </w:r>
            <w:r>
              <w:rPr>
                <w:noProof/>
                <w:color w:val="006100"/>
                <w:sz w:val="18"/>
                <w:szCs w:val="18"/>
              </w:rPr>
              <w:t xml:space="preserve">isteriö käsittelee kaikki toimitetut ehdotukset ja vahvistaa, vastaavatko hakemukset asianmukaisesti RFP:n vaatimuksia.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Kun sopiva toimeksisaaja on valittu, tietoyhteiskunta S.A./digitaalisesta hallinnosta vastaava ministeriö tekee sopimuksen, jossa määr</w:t>
            </w:r>
            <w:r>
              <w:rPr>
                <w:noProof/>
                <w:color w:val="006100"/>
                <w:sz w:val="18"/>
                <w:szCs w:val="18"/>
              </w:rPr>
              <w:t>itellään molempien toimeksisaajien velvollisuudet, tehtävät ja vastuut.</w:t>
            </w:r>
          </w:p>
        </w:tc>
      </w:tr>
      <w:tr w:rsidR="00B0093E">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87</w:t>
            </w:r>
          </w:p>
        </w:tc>
        <w:tc>
          <w:tcPr>
            <w:tcW w:w="11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5 - 2.1. Connect – 16855_Pienet satelliitit</w:t>
            </w:r>
          </w:p>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Pieniä satelliit-teja koske-van hank-keen hankin-tasopi-musten tekeminen</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sopimuksen tekemisestä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Sopimus (hankintasopimukset) sen jälkeen, kun pieniä satelliitteja koskevan hankkeen tarjouskilpailumenettely on saatu onnistuneesti päätökseen.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Tietoyhteiskunnan valvontaviranomaisen / digitaalisesta hallinnosta vastaavan ministeriön on varmistettava, et</w:t>
            </w:r>
            <w:r>
              <w:rPr>
                <w:noProof/>
                <w:color w:val="006100"/>
                <w:sz w:val="18"/>
                <w:szCs w:val="18"/>
              </w:rPr>
              <w:t xml:space="preserve">tä kaikki toimitetut ehdotukset tutkitaan sen varmistamiseksi, vastaavatko hakemukset asianmukaisesti RFP:n vaatimuksia.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Kun sopiva toimeksisaaja on valittu, tietoyhteiskunta S.A./digitaalisesta hallinnosta vastaava ministeriö tekee sopimuksen, jossa </w:t>
            </w:r>
            <w:r>
              <w:rPr>
                <w:noProof/>
                <w:color w:val="006100"/>
                <w:sz w:val="18"/>
                <w:szCs w:val="18"/>
              </w:rPr>
              <w:t>määritellään molempien toimeksisaajien velvollisuudet, tehtävät ja vastuut.</w:t>
            </w:r>
          </w:p>
        </w:tc>
      </w:tr>
      <w:tr w:rsidR="00B0093E">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88</w:t>
            </w:r>
          </w:p>
        </w:tc>
        <w:tc>
          <w:tcPr>
            <w:tcW w:w="11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5 - 2.1. Connect – 16834_5G-käytävät – Kehitetään 5G-verkkoja, joiden on katettava kaikki Kreikan moottori-tiet, jotka ovat osa Euroopan laajuista liikenneverkkoa</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5G-käytäviä koske-van hankkeen hankintasopimusten tekeminen</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sopimuksen tekemisestä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Hankintasopimusten tekeminen sen jälkeen, kun 5G-käytäviä koskevan hankkeen tarjouskilpailumenettely on saatu onnistuneesti päätökseen.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Tietoyhteiskunnan valvontaviranomaisen / digitaalisesta hallinnosta vastaavan ministeriön on varmistettava, että kaikki toimitetut ehdotukset tutkitaan sen varmistamiseksi, vastaavatko hakemukset asianmukaisesti RFP:n vaatimuksia.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Kun sopiva toimeksisaaj</w:t>
            </w:r>
            <w:r>
              <w:rPr>
                <w:noProof/>
                <w:color w:val="006100"/>
                <w:sz w:val="18"/>
                <w:szCs w:val="18"/>
              </w:rPr>
              <w:t>a on valittu, tietoyhteiskunta S.A./digitaalisesta hallinnosta vastaava ministeriö tekee sopimuksen, jossa määritellään molempien toimeksisaajien velvollisuudet, tehtävät ja vastuut.</w:t>
            </w:r>
          </w:p>
        </w:tc>
      </w:tr>
      <w:tr w:rsidR="00B0093E">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89</w:t>
            </w:r>
          </w:p>
        </w:tc>
        <w:tc>
          <w:tcPr>
            <w:tcW w:w="11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5 - 2.1. Connect – 16962_Me-renalaiset valokaapelit</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Meren-alaisia valo-kaapeleita koskevan hankkeen loppuun saattaminen</w:t>
            </w:r>
          </w:p>
        </w:tc>
        <w:tc>
          <w:tcPr>
            <w:tcW w:w="113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Asennetut meren-alaiset kuitu-kaapelit kilo-metreinä </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1 370</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1 370 kilometriä merenalaisia valokaapeleita, jotka asennetaan Kreikan ja Kyproksen yhteenliittämiseksi ja jotka </w:t>
            </w:r>
            <w:r>
              <w:rPr>
                <w:noProof/>
                <w:color w:val="006100"/>
                <w:sz w:val="18"/>
                <w:szCs w:val="18"/>
              </w:rPr>
              <w:t>yhdistävät toisiinsa suuret saaret, kuten Lesboksen, Syroksen ja Kreetan sekä keskikokoiset saaret (kuten Karpathoksen, Kalymnoksen, Ikarian ja Patmoksen).</w:t>
            </w:r>
          </w:p>
        </w:tc>
      </w:tr>
      <w:tr w:rsidR="00B0093E">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90</w:t>
            </w:r>
          </w:p>
        </w:tc>
        <w:tc>
          <w:tcPr>
            <w:tcW w:w="11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5 - 2.1. Connect – 16818_Valo-kaapeli-infra-struktuuri raken-nuksissa</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Raken-nusten </w:t>
            </w:r>
            <w:r>
              <w:rPr>
                <w:noProof/>
                <w:color w:val="006100"/>
                <w:sz w:val="18"/>
                <w:szCs w:val="18"/>
              </w:rPr>
              <w:t>valokaapeli-infra-struk-tuuri-hank-keen loppuun saat-taminen</w:t>
            </w:r>
          </w:p>
        </w:tc>
        <w:tc>
          <w:tcPr>
            <w:tcW w:w="113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Sellaisten yksityisten rakennusten lukumäärä, jotka ovat kaikilta osin liitetty valokuituinfrastruktuuriin (”kuitu kotiin”, FTTH)</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120 000</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120 000 yksityistä rakennusta, jotka liittyvät</w:t>
            </w:r>
            <w:r>
              <w:rPr>
                <w:noProof/>
                <w:color w:val="006100"/>
                <w:sz w:val="18"/>
                <w:szCs w:val="18"/>
              </w:rPr>
              <w:t xml:space="preserve"> täysin FTTH-valokuitutekniikkaan.</w:t>
            </w:r>
          </w:p>
        </w:tc>
      </w:tr>
      <w:tr w:rsidR="00B0093E">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91</w:t>
            </w:r>
          </w:p>
        </w:tc>
        <w:tc>
          <w:tcPr>
            <w:tcW w:w="11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5 - 2.1. Connect – 16834_5G-käytävät – Kehitetään 5G-verkkoja, joiden on katettava kaikki Kreikan moottoritiet, jotka ovat osa Euroopan laajuista liikenneverkkoa</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5G-käytäviä koske-van hank-keen loppuun saatta-minen </w:t>
            </w:r>
          </w:p>
        </w:tc>
        <w:tc>
          <w:tcPr>
            <w:tcW w:w="113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5G-infra-struktuu-rin käyttö-kilometrit </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1 918</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5G-infrastruktuurin 1918 km:n käyttöönotto kaikilla Kreikan moottoriteillä.</w:t>
            </w:r>
          </w:p>
        </w:tc>
      </w:tr>
      <w:tr w:rsidR="00B0093E">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92</w:t>
            </w:r>
          </w:p>
        </w:tc>
        <w:tc>
          <w:tcPr>
            <w:tcW w:w="11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5 - 2.1. Connect – 16855_Pie-net satelliitit</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”Pienet satel-liitit” -hank-keen lop-puun saat-taminen </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Kiertoradal-la olevat komission kertomukset pienten satelliittien laukaisun jälkeen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Pilottihanke alkaa rutiininomaisista operaatioista, ja pieni satelliittijärjestelmä käynnistetään ja </w:t>
            </w:r>
            <w:r>
              <w:rPr>
                <w:noProof/>
                <w:color w:val="006100"/>
                <w:sz w:val="18"/>
                <w:szCs w:val="18"/>
              </w:rPr>
              <w:t>saatetaan kiertoradalle.</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Hankkeen toteutusta arvioidaan sen suorituskyvyn kannalta (tukivatko pienet satelliitit turvattuja televiestintäpalveluja yhdessä maanhavainnointisovellusten kanssa kartoituksen, merenkulun, täsmäviljelyn, aluesuunnittelun ja muid</w:t>
            </w:r>
            <w:r>
              <w:rPr>
                <w:noProof/>
                <w:color w:val="006100"/>
                <w:sz w:val="18"/>
                <w:szCs w:val="18"/>
              </w:rPr>
              <w:t>en talouden alojen aloilla).</w:t>
            </w:r>
          </w:p>
        </w:tc>
      </w:tr>
    </w:tbl>
    <w:p w:rsidR="00B0093E" w:rsidRDefault="00B0093E">
      <w:pPr>
        <w:spacing w:before="120" w:after="120" w:line="240" w:lineRule="auto"/>
        <w:ind w:left="709"/>
        <w:jc w:val="both"/>
        <w:rPr>
          <w:rFonts w:ascii="Times New Roman" w:hAnsi="Times New Roman" w:cs="Times New Roman"/>
          <w:noProof/>
          <w:sz w:val="24"/>
          <w:szCs w:val="24"/>
        </w:rPr>
        <w:sectPr w:rsidR="00B0093E">
          <w:headerReference w:type="even" r:id="rId81"/>
          <w:headerReference w:type="default" r:id="rId82"/>
          <w:footerReference w:type="even" r:id="rId83"/>
          <w:footerReference w:type="default" r:id="rId84"/>
          <w:headerReference w:type="first" r:id="rId85"/>
          <w:footerReference w:type="first" r:id="rId86"/>
          <w:pgSz w:w="16839" w:h="11907" w:orient="landscape"/>
          <w:pgMar w:top="1417" w:right="1134" w:bottom="1417" w:left="1134"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F. KOMPONENTTI 2.2: NYKYAIKAISTAMINEN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Kreikan elpymis- ja palautumissuunnitelman nykyaikaistamista koskevalla komponentilla pyritään nykyaikaistamaan julkishallintoa </w:t>
      </w:r>
      <w:r>
        <w:rPr>
          <w:rFonts w:ascii="Times New Roman" w:hAnsi="Times New Roman"/>
          <w:noProof/>
          <w:sz w:val="24"/>
        </w:rPr>
        <w:t>parantamalla sen toimintamallia ja tarjoamalla korkealaatuisia palveluja kansalaisille ja yrityksille. Julkishallinnon digitaalisen suorituskyvyn parantamiseen tähtäävien toimien nopeuttaminen toimii katalysaattorina tämän tavoitteen saavuttamisessa. Uudis</w:t>
      </w:r>
      <w:r>
        <w:rPr>
          <w:rFonts w:ascii="Times New Roman" w:hAnsi="Times New Roman"/>
          <w:noProof/>
          <w:sz w:val="24"/>
        </w:rPr>
        <w:t>tusten ja investointien tavoite: a) julkisen sektorin organisaatioiden digitalisaatio, mukaan lukien arkistojen digitointi ja tehostetut digitaaliset palvelut; liiketoimintaprosessien parannukset, joita seuraa nykyaikaisten tietojärjestelmien käyttöönotto;</w:t>
      </w:r>
      <w:r>
        <w:rPr>
          <w:rFonts w:ascii="Times New Roman" w:hAnsi="Times New Roman"/>
          <w:noProof/>
          <w:sz w:val="24"/>
        </w:rPr>
        <w:t xml:space="preserve"> järjestelmien ja datan yhteentoimivuuden lisääminen; laaja-alaiset kyberturvallisuus- ja datanhallintastrategiat ja -politiikat; sekä e) kehittyneiden teknologioiden, kuten pilvipalvelujen, tekoälyn ja massadatan, laajennettu käyttö.</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Komponentilla </w:t>
      </w:r>
      <w:r>
        <w:rPr>
          <w:rFonts w:ascii="Times New Roman" w:hAnsi="Times New Roman"/>
          <w:noProof/>
          <w:sz w:val="24"/>
        </w:rPr>
        <w:t>pyritään vastaamaan julkishallinnon nykyaikaistamisen ja digitalisoinnin haasteeseen sekä virtaviivaistamaan ja yksinkertaistamaan sen keskeisiä prosesseja ja menettelyjä. Se tukee julkisia ja yksityisiä investointeja koskevan maakohtaisen suosituksen (maa</w:t>
      </w:r>
      <w:r>
        <w:rPr>
          <w:rFonts w:ascii="Times New Roman" w:hAnsi="Times New Roman"/>
          <w:noProof/>
          <w:sz w:val="24"/>
        </w:rPr>
        <w:t>kohtaiset suositukset 3 2020 ja 2 2019) käsittelyä parantamalla julkishallinnon tehokkuutta ja digitalisointia. Minkään tähän osa-alueeseen kuuluvan toimenpiteen ei odoteta aiheuttavan merkittävää haittaa asetuksen (EU) 2020/852 17 artiklassa tarkoitetuill</w:t>
      </w:r>
      <w:r>
        <w:rPr>
          <w:rFonts w:ascii="Times New Roman" w:hAnsi="Times New Roman"/>
          <w:noProof/>
          <w:sz w:val="24"/>
        </w:rPr>
        <w:t>e ympäristötavoitteille, kun otetaan huomioon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F.1 </w:t>
      </w:r>
      <w:r>
        <w:rPr>
          <w:rFonts w:ascii="Times New Roman" w:hAnsi="Times New Roman"/>
          <w:b/>
          <w:noProof/>
          <w:sz w:val="24"/>
          <w:u w:val="single"/>
        </w:rPr>
        <w:tab/>
      </w:r>
      <w:r>
        <w:rPr>
          <w:rFonts w:ascii="Times New Roman" w:hAnsi="Times New Roman"/>
          <w:b/>
          <w:bCs/>
          <w:noProof/>
          <w:sz w:val="24"/>
          <w:u w:val="single"/>
        </w:rPr>
        <w:t>Kuvaus uudistuksista ja inves</w:t>
      </w:r>
      <w:r>
        <w:rPr>
          <w:rFonts w:ascii="Times New Roman" w:hAnsi="Times New Roman"/>
          <w:b/>
          <w:bCs/>
          <w:noProof/>
          <w:sz w:val="24"/>
          <w:u w:val="single"/>
        </w:rPr>
        <w:t>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Kohti julkishallinnon asiakaslähtöisiä palveluja yksinkertaistamalla ja parantamalla prosesseja, parantamalla järjestelmiä ja noudattamalla eurooppalaisia strategioita ja poli</w:t>
      </w:r>
      <w:r>
        <w:rPr>
          <w:rFonts w:ascii="Times New Roman" w:hAnsi="Times New Roman"/>
          <w:noProof/>
          <w:sz w:val="24"/>
        </w:rPr>
        <w:t>tiikkoja (toimenpide toimenpiteen tunniste 16929)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tarjota käyttäjälähtöisiä palveluja Kreikan kansalaisille ja yrityksille ja parantaa Kreikan julkishallinnon sisäistä toimintaa. Uudistuksessa pannaan täytäntöön keskipitkän aikav</w:t>
      </w:r>
      <w:r>
        <w:rPr>
          <w:rFonts w:ascii="Times New Roman" w:hAnsi="Times New Roman"/>
          <w:noProof/>
          <w:sz w:val="24"/>
        </w:rPr>
        <w:t>älin strategia hallinnollisen rasituksen vähentämiseksi ja asiakaskeskeisten palvelujen luomiseksi julkishallintoon. Lisäksi siinä on kyse prosessien ja järjestelmien parantamisesta sekä EU:n strategioiden ja politiikkojen noudattamista 1) hyväksymällä sää</w:t>
      </w:r>
      <w:r>
        <w:rPr>
          <w:rFonts w:ascii="Times New Roman" w:hAnsi="Times New Roman"/>
          <w:noProof/>
          <w:sz w:val="24"/>
        </w:rPr>
        <w:t>ntelymuutoksia, joilla luodaan laaja sääntelyperusta kansallisten julkisten organisaatioiden välistä tiedonvaihtoa varten tarkoitettujen rekisterien ja palvelujen yhteenliittämiselle ja -toimivuudelle uuden eurooppalaisten yhteentoimivuusperiaatteiden muka</w:t>
      </w:r>
      <w:r>
        <w:rPr>
          <w:rFonts w:ascii="Times New Roman" w:hAnsi="Times New Roman"/>
          <w:noProof/>
          <w:sz w:val="24"/>
        </w:rPr>
        <w:t>isesti; ja 2) prosessin yksinkertaistamista koskevan kansallisen ohjelman täytäntöönpano, mukaan lukien kansallisen menettelyrekisterin perustaminen ja sääntelyn vaikutusten seurantaryhmän ja kansallisen menettelyrekisterin (Diavlos) täysimääräinen perusta</w:t>
      </w:r>
      <w:r>
        <w:rPr>
          <w:rFonts w:ascii="Times New Roman" w:hAnsi="Times New Roman"/>
          <w:noProof/>
          <w:sz w:val="24"/>
        </w:rPr>
        <w:t>minen. Uudistus koskee seuraavien yksinkertaistamisen/digitalisoinnin loppuun saattamista: vaikutustenarviointiprosessit, kansalaisuuden hakeminen, yksityisten elinkeinonharjoittajien toiminnan aloittaminen, kansalaisten ”elämätapahtumiin” liittyvien menet</w:t>
      </w:r>
      <w:r>
        <w:rPr>
          <w:rFonts w:ascii="Times New Roman" w:hAnsi="Times New Roman"/>
          <w:noProof/>
          <w:sz w:val="24"/>
        </w:rPr>
        <w:t>telyjen yksinkertaistaminen, mukaan lukien syntymä, kuolema ja avioero, lakimiehiin liittyvien oikeusmenettelyjen yksinkertaistaminen, tuomioistuinten päätökset, digitaaliset allekirjoitukset, tuomioistuinten antamat todistukset, ajokorttien uusiminen ja m</w:t>
      </w:r>
      <w:r>
        <w:rPr>
          <w:rFonts w:ascii="Times New Roman" w:hAnsi="Times New Roman"/>
          <w:noProof/>
          <w:sz w:val="24"/>
        </w:rPr>
        <w:t xml:space="preserve">yfoto.gov.gr:n toiminta sekä asiakirjojen sähköinen jakelu julkishallinnossa. Keskeisiä uudistusprioriteetteja ovat myös julkiset hankintamenettelyt, kaikentyyppisten yritysten käynnistysvaatimukset ja rekisteröinnin jälkeiset prosessit, sosiaaliturva- ja </w:t>
      </w:r>
      <w:r>
        <w:rPr>
          <w:rFonts w:ascii="Times New Roman" w:hAnsi="Times New Roman"/>
          <w:noProof/>
          <w:sz w:val="24"/>
        </w:rPr>
        <w:t>verohakemukset ja muu työllisyyteen liittyvä byrokratia sekä varainhoidon suunnittelu-, maksu- ja seurantaprosessit.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Arkistojen ja niihin liittyvien palvelujen digitalisointi</w:t>
      </w:r>
      <w:r>
        <w:rPr>
          <w:rFonts w:ascii="Times New Roman" w:hAnsi="Times New Roman"/>
          <w:noProof/>
          <w:sz w:val="24"/>
        </w:rPr>
        <w:t xml:space="preserve"> (toimenpide toimenpiteen tunniste 16778)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keskeisten arkistojen digitalisoinnista eri aloilla (oikeus, terveydenhuolto, valtion yleiset arkistot, kaupunkisuunnittelu, pakkolunastus, kiinteistörekisteri, maahanmuutto- ja turvapaikka-asia</w:t>
      </w:r>
      <w:r>
        <w:rPr>
          <w:rFonts w:ascii="Times New Roman" w:hAnsi="Times New Roman"/>
          <w:noProof/>
          <w:sz w:val="24"/>
        </w:rPr>
        <w:t>t, meriasiat) ja integroitumisesta asiaankuuluviin tietojärjestelmiin sekä julkisen sektorin ja laajemman julkisen sektorin arkistojen turvallisen säilyttämisen pilottitoteutumisesta (yhteensä yhdeksän osahanketta). Näihin alahankkeisiin kuuluvat erityises</w:t>
      </w:r>
      <w:r>
        <w:rPr>
          <w:rFonts w:ascii="Times New Roman" w:hAnsi="Times New Roman"/>
          <w:noProof/>
          <w:sz w:val="24"/>
        </w:rPr>
        <w:t>ti digitoinnin toteuttaminen ja muut tarvittavat toimet, jotka liittyvät seuraaviin arkistoihin: 1) oikeusjärjestelmä, 300 000 000 fyysistä sivua (A3/A4, sidottuja ja ei-sidottuja, mukaan lukien OCR ja anonymisointiprosessi), 2) julkinen terveydenhuoltojär</w:t>
      </w:r>
      <w:r>
        <w:rPr>
          <w:rFonts w:ascii="Times New Roman" w:hAnsi="Times New Roman"/>
          <w:noProof/>
          <w:sz w:val="24"/>
        </w:rPr>
        <w:t>jestelmä, 190 000 erikokoista kuvantamistutkimusta (röntgen- ja aksiaalikuvat, magneettinen C-kamera, kardiografit), 3) valtion keskusarkisto, 55 000 000 fyysistä sivua (A4/A3 sidottuja ja ei-sidottuja) (30 000 000 A3/A4-sivua keskus-ja paikallistoimistoil</w:t>
      </w:r>
      <w:r>
        <w:rPr>
          <w:rFonts w:ascii="Times New Roman" w:hAnsi="Times New Roman"/>
          <w:noProof/>
          <w:sz w:val="24"/>
        </w:rPr>
        <w:t>le ja 25 000 000 A2/A1/A0-sivua keskustoimistoille), 4) muuttoliike- ja turvapaikkajärjestelmä, 61 500 000 sivua (A4 sidottuja ja ei-sidottuja), 5) pakkolunastukset 17 000 000 fyysistä sivua (A0, A1, A3), 6) kaupunkisuunnitteluvirastot, 387 200 000 (217 20</w:t>
      </w:r>
      <w:r>
        <w:rPr>
          <w:rFonts w:ascii="Times New Roman" w:hAnsi="Times New Roman"/>
          <w:noProof/>
          <w:sz w:val="24"/>
        </w:rPr>
        <w:t>0 000 erikokoisen fyysisen tietueen/asiakirjan digitointi ja metadatan luominen sekä 170 000 000 tiedoston geokoodaus), 7) 600 000 000 (A0/A1/A3) omistusasiakirjaa ja asiankuuluvat asiakirjat kiinteistörekisterin kiinnitystoimistoista, 8) meriasiat (alusre</w:t>
      </w:r>
      <w:r>
        <w:rPr>
          <w:rFonts w:ascii="Times New Roman" w:hAnsi="Times New Roman"/>
          <w:noProof/>
          <w:sz w:val="24"/>
        </w:rPr>
        <w:t>kisteri, yritysten tiedostoja, merenkulkijoiden henkilökohtaisia asiakirjoja, muita merenkulkuun liittyviä asiakirjoja (7 000 000 fyysistä tietuetta (A4/A3sidottuja ja ei-sidottuja) ja 9) arkistojen esimerkillisen hoidon kokeellinen toteuttaminen noin 65 0</w:t>
      </w:r>
      <w:r>
        <w:rPr>
          <w:rFonts w:ascii="Times New Roman" w:hAnsi="Times New Roman"/>
          <w:noProof/>
          <w:sz w:val="24"/>
        </w:rPr>
        <w:t>00 000 tiedoston (Α5/Α4/Α3/Α2/Α1/Α0) turvallista arkistointia varten muiden julkisen sektorin arkistojen osalta. Tämä on keskeinen investointi julkishallinnon tehostamiseen. Sillä pyritään lyhentämään aikaa, joka aiheutuu siitä, että julkishallinto tarjoaa</w:t>
      </w:r>
      <w:r>
        <w:rPr>
          <w:rFonts w:ascii="Times New Roman" w:hAnsi="Times New Roman"/>
          <w:noProof/>
          <w:sz w:val="24"/>
        </w:rPr>
        <w:t xml:space="preserve"> palveluja yleisölle, ja arkistojen paremman saatavuuden odotetaan myös johtavan merkittäviin kustannussäästöihin ja vapauttavan resursseja.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Julkisyhteisöjä koskeva luotto</w:t>
      </w:r>
      <w:r>
        <w:rPr>
          <w:rFonts w:ascii="Times New Roman" w:hAnsi="Times New Roman"/>
          <w:noProof/>
          <w:sz w:val="24"/>
        </w:rPr>
        <w:t>riskin vähentämismenetelmä (toimenpiteen tunniste 16810)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koskee sellaisen yhdennetyn järjestelmän suunnittelua, kehittämistä, toteuttamista ja toimintaa, jolla hallinnoidaan julkishallinnon ja kansalaisten ja yritysten välisten suhteiden koko e</w:t>
      </w:r>
      <w:r>
        <w:rPr>
          <w:rFonts w:ascii="Times New Roman" w:hAnsi="Times New Roman"/>
          <w:noProof/>
          <w:sz w:val="24"/>
        </w:rPr>
        <w:t>linkaarta. Hankkeella parannetaan julkishallinnon nykyisiä valmiuksia seurata vuorovaikutusta ja liiketoimia kansalaisten ja yritysten kanssa. Järjestelmässä hyödynnetään kansalaisten ja yritysten keräämiä tietoja lähestymistavan räätälöimiseksi ja korkeam</w:t>
      </w:r>
      <w:r>
        <w:rPr>
          <w:rFonts w:ascii="Times New Roman" w:hAnsi="Times New Roman"/>
          <w:noProof/>
          <w:sz w:val="24"/>
        </w:rPr>
        <w:t>man palvelutason edistämiseksi. Investointiin on sisällyttävä a) integrointi- ja yhteentoimivuuspalvelut ottamalla käyttöön nykyaikaiset ohjelmistosuunnittelu- ja kehittämismenetelmät, b) mahdollisuus käyttää palvelua tukevaa mekanismia, joka on välineistö</w:t>
      </w:r>
      <w:r>
        <w:rPr>
          <w:rFonts w:ascii="Times New Roman" w:hAnsi="Times New Roman"/>
          <w:noProof/>
          <w:sz w:val="24"/>
        </w:rPr>
        <w:t xml:space="preserve"> matalan koodin teknologiaan perustuvien uusien sovellusten kehittämiseksi, c) asiakassuhteiden hallintajärjestelmä (Customer Relations Management, CRM), joka kerää ja hallinnoi kaikkia palveltujen kansalaisten tietoja ja joka organisoi liiketoimintaproses</w:t>
      </w:r>
      <w:r>
        <w:rPr>
          <w:rFonts w:ascii="Times New Roman" w:hAnsi="Times New Roman"/>
          <w:noProof/>
          <w:sz w:val="24"/>
        </w:rPr>
        <w:t>sien toteuttamisen riippumatta palvelun käynnistämisestä, d) kansalaisten yksimielinen hallintajärjestelmä sähköisten palvelujen käyttämiseksi, jonka kautta kansalaisten ja yritysten palvelu totutetaan käyttämällä perinteisiä kanavia, kuten puhelinpalvelui</w:t>
      </w:r>
      <w:r>
        <w:rPr>
          <w:rFonts w:ascii="Times New Roman" w:hAnsi="Times New Roman"/>
          <w:noProof/>
          <w:sz w:val="24"/>
        </w:rPr>
        <w:t>ta, mutta myös nykyaikaisia kanavia, kuten verkkolomakkeita, sosiaalista mediaa sekä viesti- ja etäneuvottelusovelluksia, e) KEPin digitaalisen alustan päivittäminen ja sen liittäminen yhdennettyyn kansalaisten tietojen hallinnointijärjestelmään, puhelinpa</w:t>
      </w:r>
      <w:r>
        <w:rPr>
          <w:rFonts w:ascii="Times New Roman" w:hAnsi="Times New Roman"/>
          <w:noProof/>
          <w:sz w:val="24"/>
        </w:rPr>
        <w:t xml:space="preserve">lveluun ja gov.gr:ään, f) ”asiakkaiden” fyysiseen läsnäoloon liittyvien prosessien ja palvelujen yksinkertaistaminen ja parantaminen laajentamalla nykyistä myKEPLive-infrastruktuuria ja sen integrointia järjestelmään, jolla voidaan suunnitella tapaamisia, </w:t>
      </w:r>
      <w:r>
        <w:rPr>
          <w:rFonts w:ascii="Times New Roman" w:hAnsi="Times New Roman"/>
          <w:noProof/>
          <w:sz w:val="24"/>
        </w:rPr>
        <w:t>joissa henkilö on fyysisesti läsnä. Investointi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Julkishallinnon keskitettyjen palvelupisteiden nykyaikaistaminen edelleen (toimenpiteen tunniste 16780)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kansalaist</w:t>
      </w:r>
      <w:r>
        <w:rPr>
          <w:rFonts w:ascii="Times New Roman" w:hAnsi="Times New Roman"/>
          <w:noProof/>
          <w:sz w:val="24"/>
        </w:rPr>
        <w:t>en palvelukeskusten nykyaikaistamisen jatkamisen parantamalla niiden infrastruktuuria ja oheislaitteita sekä asentamalla uusia teleneuvottelulaitteita ja uusia sovelluksia, jotka ovat yhteensopivia nykyaikaisen digitaalisen työpaikan kanssa (arviointijärje</w:t>
      </w:r>
      <w:r>
        <w:rPr>
          <w:rFonts w:ascii="Times New Roman" w:hAnsi="Times New Roman"/>
          <w:noProof/>
          <w:sz w:val="24"/>
        </w:rPr>
        <w:t>stelmät, mobiilisovellukset, lippuautomaatit, jononhallinta ja älykäs ilmoitusjärjestelmä). Investointiin on sisällyttävä: a) nykyisten teknisten laitteiden parantaminen, b) uudenaikainen jononhallinta sekä älykkäät ilmoitusjärjestelmät ja c) asiakkaiden (</w:t>
      </w:r>
      <w:r>
        <w:rPr>
          <w:rFonts w:ascii="Times New Roman" w:hAnsi="Times New Roman"/>
          <w:noProof/>
          <w:sz w:val="24"/>
        </w:rPr>
        <w:t>kansalaisten) arviointijärjestelmät. Investointi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Uusi julkisten hankintojen järjestelmä (toimenpiteen tunniste 16736)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koskee julkisia hankintoja koskevan uuden tietojärjes</w:t>
      </w:r>
      <w:r>
        <w:rPr>
          <w:rFonts w:ascii="Times New Roman" w:hAnsi="Times New Roman"/>
          <w:noProof/>
          <w:sz w:val="24"/>
        </w:rPr>
        <w:t>telmän uudelleensuunnittelua ja täytäntöönpanoa. Investointi koostuu julkisten hankintojen koko liiketoiminnallisen ja toiminnallisen elinkaaren digitalisoinnista ja integroinnista, yhteentoimivuuspalvelujen parantamisesta, kehittyneiden julkisten hankinto</w:t>
      </w:r>
      <w:r>
        <w:rPr>
          <w:rFonts w:ascii="Times New Roman" w:hAnsi="Times New Roman"/>
          <w:noProof/>
          <w:sz w:val="24"/>
        </w:rPr>
        <w:t>jen tekniikoiden ja välineiden integroinnista digitaalisina palveluina (verkkokaupat ja sähköiset markkinapaikat) sekä tieto- ja viestintätekniikan tuesta kansalliselle keskitetylle terveyshankinnoista vastaavalle viranomaiselle (EKAPY). Investointiin on s</w:t>
      </w:r>
      <w:r>
        <w:rPr>
          <w:rFonts w:ascii="Times New Roman" w:hAnsi="Times New Roman"/>
          <w:noProof/>
          <w:sz w:val="24"/>
        </w:rPr>
        <w:t>isällyttävä: a) portaalin uudelleensuunnittelu ja täydentäminen</w:t>
      </w:r>
      <w:r>
        <w:rPr>
          <w:noProof/>
        </w:rPr>
        <w:t xml:space="preserve"> </w:t>
      </w:r>
      <w:hyperlink r:id="rId87" w:history="1">
        <w:r>
          <w:rPr>
            <w:rFonts w:ascii="Times New Roman" w:hAnsi="Times New Roman"/>
            <w:noProof/>
            <w:sz w:val="24"/>
          </w:rPr>
          <w:t>www.eprocurement.gov.gr</w:t>
        </w:r>
      </w:hyperlink>
      <w:r>
        <w:rPr>
          <w:rFonts w:ascii="Times New Roman" w:hAnsi="Times New Roman"/>
          <w:noProof/>
          <w:sz w:val="24"/>
        </w:rPr>
        <w:t>; b) laajamittaisia lisäyksiä ja räätälöityjä osajärjestelmiä, joita käytetään tarjouksissa; c) sähköisen julkisten hankin</w:t>
      </w:r>
      <w:r>
        <w:rPr>
          <w:rFonts w:ascii="Times New Roman" w:hAnsi="Times New Roman"/>
          <w:noProof/>
          <w:sz w:val="24"/>
        </w:rPr>
        <w:t>tojen keskusrekisterin (KIMDIS) uudistaminen, uudelleenjärjestely ja täydentäminen sekä tilastotietojen keruujärjestelmien ja niiden jatkokäsittelyn parantaminen ja laajentaminen; d) sähköisten julkisten hankintojen järjestelmän (ESIDIS) konfigurointi ja t</w:t>
      </w:r>
      <w:r>
        <w:rPr>
          <w:rFonts w:ascii="Times New Roman" w:hAnsi="Times New Roman"/>
          <w:noProof/>
          <w:sz w:val="24"/>
        </w:rPr>
        <w:t>äytäntöönpano, jotta voidaan tukea sähköisiä julkisia hankintoja koskevia uusia strategioita ja liiketoimintaprosesseja; e) jo toteutettujen yhteentoimivuuspalvelujen parantaminen ja tiedonvaihtoon liittyvien uusien palvelujen käyttöönotto;  f) sähköiset y</w:t>
      </w:r>
      <w:r>
        <w:rPr>
          <w:rFonts w:ascii="Times New Roman" w:hAnsi="Times New Roman"/>
          <w:noProof/>
          <w:sz w:val="24"/>
        </w:rPr>
        <w:t>hteentoimivuuspalvelut gov.gr:n, CA:n ja pankkialan organisaatioiden kanssa sähköisten asiakirjojen ja muiden tietojen digitaalisen allekirjoituksen mahdollisuuksien integroimiseksi järjestelmää käyttäen ja ”kiistämättömyyden” varmistamiseksi; g) järjestel</w:t>
      </w:r>
      <w:r>
        <w:rPr>
          <w:rFonts w:ascii="Times New Roman" w:hAnsi="Times New Roman"/>
          <w:noProof/>
          <w:sz w:val="24"/>
        </w:rPr>
        <w:t>mätietokantoihin tallennetun tietojen salausmekanismin käyttöönotto ESIDISiin ja G-pilvipalvelun hallinnoijiin kohdistuvien haitallisten toimien estämiseksi;  h) uusi turvallisuustutkimus ja -lisäykset ja/tai järjestelmään tehtävät muutokset, joilla lisätä</w:t>
      </w:r>
      <w:r>
        <w:rPr>
          <w:rFonts w:ascii="Times New Roman" w:hAnsi="Times New Roman"/>
          <w:noProof/>
          <w:sz w:val="24"/>
        </w:rPr>
        <w:t>än järjestelmän turvallisuutta, sertifiointia ja toimia järjestelmän turvallisuuden parantamiseksi, jotta ne voidaan varmentaa riippumattomalla turvallisuusarviolla; i) hankintojen suunnittelujärjestelmän parantaminen ja uudelleen käynnistäminen, jotta voi</w:t>
      </w:r>
      <w:r>
        <w:rPr>
          <w:rFonts w:ascii="Times New Roman" w:hAnsi="Times New Roman"/>
          <w:noProof/>
          <w:sz w:val="24"/>
        </w:rPr>
        <w:t>taisiin tukea laajemmin julkisia hankintoja ja sähköisiä luetteloita käyttäviä keskitettyjä hankintamenettelyjä; j) taloudellisten toimijoiden tukihakemusten lisääminen: tarjouskilpailujen hakua koskevien hakemusten täydentäminen, aikaisemmat tiedot ja til</w:t>
      </w:r>
      <w:r>
        <w:rPr>
          <w:rFonts w:ascii="Times New Roman" w:hAnsi="Times New Roman"/>
          <w:noProof/>
          <w:sz w:val="24"/>
        </w:rPr>
        <w:t>astotiedot niiden osallistumisesta hankintaprosesseihin, toimittajien ja hankintaviranomaisten tieto- ja viestintäosajärjestelmien täydentäminen, tikettijärjestelmä kysymysten esittämiseksi ja ongelmien ratkaisujen raportoimiseksi tai tukipalvelun; k) virt</w:t>
      </w:r>
      <w:r>
        <w:rPr>
          <w:rFonts w:ascii="Times New Roman" w:hAnsi="Times New Roman"/>
          <w:noProof/>
          <w:sz w:val="24"/>
        </w:rPr>
        <w:t xml:space="preserve">uaalisten avustajien valmiuksien lisääminen, jotta kuka tahansa kiinnostunut voi esittää kysymyksiä luonnollisella kielellä; l) sähköisten tiedostojen oikeudellisen kehyksen säännösten mukaisen sähköisen tiedostojen arkistointijärjestelmän (ESIDIS–KIMDIS) </w:t>
      </w:r>
      <w:r>
        <w:rPr>
          <w:rFonts w:ascii="Times New Roman" w:hAnsi="Times New Roman"/>
          <w:noProof/>
          <w:sz w:val="24"/>
        </w:rPr>
        <w:t>lisääminen; koulutusmateriaalin tuottaminen ja tiedotustoimet; n) tekninen tuki ja hankkeiden seurantapalvelut; o) tutkimus, jossa arvioidaan käytössä olevien sähköisten hankintamenettelyjen mahdollisuuksia ja tehokkuutta ja niiden valintaa tai päivittämis</w:t>
      </w:r>
      <w:r>
        <w:rPr>
          <w:rFonts w:ascii="Times New Roman" w:hAnsi="Times New Roman"/>
          <w:noProof/>
          <w:sz w:val="24"/>
        </w:rPr>
        <w:t>tä tai korvaamista uusilla ja tehokkaammilla välineillä; rakennustiedon mallintaminen (BIM); tieto- ja viestintätekniikan tuki kansalliselle keskitetystä terveydenhuollosta vastaavalle viranomaiselle (EKAPY). Investointi on määrä toteuttaa viimeistään 31 p</w:t>
      </w:r>
      <w:r>
        <w:rPr>
          <w:rFonts w:ascii="Times New Roman" w:hAnsi="Times New Roman"/>
          <w:noProof/>
          <w:sz w:val="24"/>
        </w:rPr>
        <w:t>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Ulkoministeriön digitalisaatio (toimenpiteen tunniste 16742)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Investoinnin tavoitteena on nykyaikaistaa ulkoministeriö sen toimintojen ja tietoteknisten infrastruktuurien digitalisoinnin laajentamisen avulla. Investoint</w:t>
      </w:r>
      <w:r>
        <w:rPr>
          <w:rFonts w:ascii="Times New Roman" w:hAnsi="Times New Roman"/>
          <w:noProof/>
          <w:sz w:val="24"/>
        </w:rPr>
        <w:t xml:space="preserve">i koostuu seuraavista osista: makrotaloudellisen rahoitusavun prosessien standardointi, jolla varmistetaan strategisen ja operatiivisen suunnittelun toimivuus ja siten myös sen onnistuminen; myötävaikutetaan makrotaloudellisen rahoitusavun työn laajempaan </w:t>
      </w:r>
      <w:r>
        <w:rPr>
          <w:rFonts w:ascii="Times New Roman" w:hAnsi="Times New Roman"/>
          <w:noProof/>
          <w:sz w:val="24"/>
        </w:rPr>
        <w:t>edistämiseen ja sen resurssien parhaaseen mahdolliseen käyttöön mukauttamalla ne sen tavoitteisiin c) varmistamalla välitön tiedonsaanti mahdollisimman nopeasti ja ottamalla käyttöön semanttinen hakutuki, joka perustuu uusimpiin tekoälytyökaluihin; d) luod</w:t>
      </w:r>
      <w:r>
        <w:rPr>
          <w:rFonts w:ascii="Times New Roman" w:hAnsi="Times New Roman"/>
          <w:noProof/>
          <w:sz w:val="24"/>
        </w:rPr>
        <w:t>aan helppokäyttöinen ja tärkeä arkistotietokanta ja tietokeskus tehokkaita hallinnollisia tehtäviä varten ja katetaan makrotaloudellisen rahoitusavun vaatimukset, jotta se voi harjoittaa tehokkaammin julkista ja taloudellista diplomatiaa e) parannetaan ulk</w:t>
      </w:r>
      <w:r>
        <w:rPr>
          <w:rFonts w:ascii="Times New Roman" w:hAnsi="Times New Roman"/>
          <w:noProof/>
          <w:sz w:val="24"/>
        </w:rPr>
        <w:t>oministeriön salattua tietotekniikan ja televiestinnän turvallisuutta koskevaa infrastruktuuria digitalisaation yhteydessä. Investointi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Asevelvollisten digitaalisten taitojen kehittämi</w:t>
      </w:r>
      <w:r>
        <w:rPr>
          <w:rFonts w:ascii="Times New Roman" w:hAnsi="Times New Roman"/>
          <w:noProof/>
          <w:sz w:val="24"/>
        </w:rPr>
        <w:t>sohjelmat (toimenpiteen tunniste 16826)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liittää digitaalisten taitojen koulutusohjelman ja sertifioinnin pakolliseen asepalvelukseen. Tarkoituksena on hyödyntää asevelvollisten palvelusaikaa nykyisten asevoimien ja työmarkkinoiden edellyttämien</w:t>
      </w:r>
      <w:r>
        <w:rPr>
          <w:rFonts w:ascii="Times New Roman" w:hAnsi="Times New Roman"/>
          <w:noProof/>
          <w:sz w:val="24"/>
        </w:rPr>
        <w:t xml:space="preserve"> digitaalisten taitojen hankkimiseksi. Tämä investointi toteutetaan päivittämällä ja laajentamalla kansalaisten digitaaliakatemian foorumia, ja siihen on sisällyttävä a) asevelvollisten yksilökohtainen pääsy koulutusportaaliin, jossa on vahvat kyberturvall</w:t>
      </w:r>
      <w:r>
        <w:rPr>
          <w:rFonts w:ascii="Times New Roman" w:hAnsi="Times New Roman"/>
          <w:noProof/>
          <w:sz w:val="24"/>
        </w:rPr>
        <w:t>isuusmekanismit ja kyberhyökkäyksiä koskeva pelote sekä parannettu henkilötietojen suojarakenne, b) asevelvollisen sähköisen portfolion kokoonpano, jossa hänen koulutusprofiilinsa otetaan huomioon, sekä hänen nykyiset pätevyytensä, c) digitaalisten taitoje</w:t>
      </w:r>
      <w:r>
        <w:rPr>
          <w:rFonts w:ascii="Times New Roman" w:hAnsi="Times New Roman"/>
          <w:noProof/>
          <w:sz w:val="24"/>
        </w:rPr>
        <w:t>n koulutusohjelmien kehittäminen ja konfigurointi, d) itsearviointityökalun kehittäminen ja käyttö, e) 50 000 taulutietokonetta, jotka hankitaan ja annetaan asevelvollisten käyttöön etäopetusohjelmien ajaksi, ja f) koulutuksen aikana hankittujen digitaalis</w:t>
      </w:r>
      <w:r>
        <w:rPr>
          <w:rFonts w:ascii="Times New Roman" w:hAnsi="Times New Roman"/>
          <w:noProof/>
          <w:sz w:val="24"/>
        </w:rPr>
        <w:t xml:space="preserve">ten taitojen todentaminen, joka perustuu eurooppalaisiin ja kansallisiin viitekehyksiin. Investoinnin on määrä toteuttaa viimeistään 30 päivänä kesäkuuta 2025.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Kreikan kansallisen matkailujärjestön digitalisaatio (toimenpiteen tunniste 16791</w:t>
      </w:r>
      <w:r>
        <w:rPr>
          <w:rFonts w:ascii="Times New Roman" w:hAnsi="Times New Roman"/>
          <w:noProof/>
          <w:sz w:val="24"/>
        </w:rPr>
        <w:t>)</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Investoinnit koostuvat Kreikan kansallisen matkailujärjestön digitaalisten valmiuksien kehittämisestä eli digitaalisesta matkailukartasta, Kreikan kulttuuriomaisuuden digitaalisesta arkistosta ja innovatiivisesta järjestelmästä, joka tarjoaa matkailijoil</w:t>
      </w:r>
      <w:r>
        <w:rPr>
          <w:rFonts w:ascii="Times New Roman" w:hAnsi="Times New Roman"/>
          <w:noProof/>
          <w:sz w:val="24"/>
        </w:rPr>
        <w:t>le ja kansalaisille tietoa toisen sukupolven tekoälyteknologian avulla. Investointiin on sisällyttävä a) sellaisen kulttuurialustan (digitaalisen matkailukartan) kehittäminen, jonka kautta vierailija voi saada tietoa kaupungin tai saaren matkailutuotteen e</w:t>
      </w:r>
      <w:r>
        <w:rPr>
          <w:rFonts w:ascii="Times New Roman" w:hAnsi="Times New Roman"/>
          <w:noProof/>
          <w:sz w:val="24"/>
        </w:rPr>
        <w:t>rityispiirteistä siten, että potentiaalinen vierailija saa keskeisiä tietoja elämysmahdollisuuksista ja kiinnostuksen kohtaistaan, b) tiedotusmateriaalin, kuten digitaalisten sovellusten, verkkosivustojen ja myynninedistämistoimien kehittäminen sekä rekist</w:t>
      </w:r>
      <w:r>
        <w:rPr>
          <w:rFonts w:ascii="Times New Roman" w:hAnsi="Times New Roman"/>
          <w:noProof/>
          <w:sz w:val="24"/>
        </w:rPr>
        <w:t>eri, joka toimii myös kirjastona, minkä ansiosta matkakohteet ja niiden avainsidosryhmät voivat toteuttaa hyvin suunniteltuja ja kestäviä edistämisstrategioita, c) sellaisen matkailuneuvontaan tarkoitetun innovatiivisen järjestelmän kehittäminen, johon sis</w:t>
      </w:r>
      <w:r>
        <w:rPr>
          <w:rFonts w:ascii="Times New Roman" w:hAnsi="Times New Roman"/>
          <w:noProof/>
          <w:sz w:val="24"/>
        </w:rPr>
        <w:t>ältyy infokioski kosketusnäyttöineen tärkeimmissä solmukohdissa sekä karttoja, joissa on historiaan, maantieteeseen sekä kulttuuriin liittyviä tietoja, muun muassa kaikesta kulttuuriperinnöstä ja kulttuuriin liittyvistä toiminnoista, jotka ovat helposti sa</w:t>
      </w:r>
      <w:r>
        <w:rPr>
          <w:rFonts w:ascii="Times New Roman" w:hAnsi="Times New Roman"/>
          <w:noProof/>
          <w:sz w:val="24"/>
        </w:rPr>
        <w:t>atavilla mobiilisovelluksen kautta. Investoinnin toteutus on tarkoitus saada päätökseen 30 päivään kesäkuuta 2025 mennessä.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Kyberturvallisuusstrategia ja -toimet julkiselle sektorille sekä edistyneet turvallisuuspalvelut kansallisille elintärkeil</w:t>
      </w:r>
      <w:r>
        <w:rPr>
          <w:rFonts w:ascii="Times New Roman" w:hAnsi="Times New Roman"/>
          <w:noProof/>
          <w:sz w:val="24"/>
        </w:rPr>
        <w:t>le infrastruktuureille (toimenpiteen tunniste 16823)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Uudistuksessa kehitetään ja pannaan täytäntöön kyberturvallisuusstrategia ja joukko kyberturvallisuuspolitiikkoja, joilla pyritään lisäämään julkisen sektorin järjestelmien ja tietojen luotettavuutta ja </w:t>
      </w:r>
      <w:r>
        <w:rPr>
          <w:rFonts w:ascii="Times New Roman" w:hAnsi="Times New Roman"/>
          <w:noProof/>
          <w:sz w:val="24"/>
        </w:rPr>
        <w:t>turvallisuutta sekä parantamaan kansalaisten luottamusta niiden vuorovaikutukseen julkisen sektorin kanssa. Lisäksi uudistukseen sisältyy kansallisen kyberturvallisuusoperaatiokeskuksen (National Cybersecurity Operations Centre, SOC) toteutus sekä kehittyn</w:t>
      </w:r>
      <w:r>
        <w:rPr>
          <w:rFonts w:ascii="Times New Roman" w:hAnsi="Times New Roman"/>
          <w:noProof/>
          <w:sz w:val="24"/>
        </w:rPr>
        <w:t>eiden turvallisuuspalvelujen (SOC ja DDoS) tarjoaminen kriittisessä G-pilvipalvelun infrastruktuurissa tavoitteena turvallisuuden järjestelmällinen ja jatkuva parantaminen sekä julkisen sektorin keskusinfrastruktuuriin ja sen kautta toimiviin tietojärjeste</w:t>
      </w:r>
      <w:r>
        <w:rPr>
          <w:rFonts w:ascii="Times New Roman" w:hAnsi="Times New Roman"/>
          <w:noProof/>
          <w:sz w:val="24"/>
        </w:rPr>
        <w:t xml:space="preserve">lmiin kohdistuvien kyberturvallisuusuhkien vähentäminen. Uudistus on määrä toteuttaa viimeistään 31 päivänä joulukuuta 2024.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Yhteentoimivuus ja verkkopalvelujen kehittäminen (toimenpiteen tunniste 16779)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 koostuu keskitetyn </w:t>
      </w:r>
      <w:r>
        <w:rPr>
          <w:rFonts w:ascii="Times New Roman" w:hAnsi="Times New Roman"/>
          <w:noProof/>
          <w:sz w:val="24"/>
        </w:rPr>
        <w:t>yhteentoimivuusinfrastruktuurin kehittämisestä integroitua palvelujen hallintaa varten sekä rajapintojen kehittämisestä ja tarjoamisesta julkishallinnolle, mikä helpottaa tiedonvaihtoa valtion virastojen välillä ja vuorovaikutteisten verkkopalvelujen tarjo</w:t>
      </w:r>
      <w:r>
        <w:rPr>
          <w:rFonts w:ascii="Times New Roman" w:hAnsi="Times New Roman"/>
          <w:noProof/>
          <w:sz w:val="24"/>
        </w:rPr>
        <w:t>amista. Investointiin on sisällyttävä a) internetpalvelujen ja niiden dokumentoinnin toteuttaminen, b) palvelujen sisällyttäminen gov.gr c) vaadittujen valvontatestien määrittelyyn ja suorittamiseen d) verkkopalvelujen kokeilutoiminta e) verkkopalvelujen s</w:t>
      </w:r>
      <w:r>
        <w:rPr>
          <w:rFonts w:ascii="Times New Roman" w:hAnsi="Times New Roman"/>
          <w:noProof/>
          <w:sz w:val="24"/>
        </w:rPr>
        <w:t>iirtäminen tuotantoon (lopullinen toteutus pilottivaiheen jälkeen) f) uusien verkkopalvelujen tukeminen. Investointi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Rekisterien, järjestelmien ja palvelujen yhteenliitettävyys ja yhteent</w:t>
      </w:r>
      <w:r>
        <w:rPr>
          <w:rFonts w:ascii="Times New Roman" w:hAnsi="Times New Roman"/>
          <w:noProof/>
          <w:sz w:val="24"/>
        </w:rPr>
        <w:t>oimivuus kansallisten julkisten organisaatioiden välistä tiedonvaihtoa varten (toimenpiteen tunniste 16782)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Uudistuksella pyritään kehittämään kattava kehys ja etenemissuunnitelma rekisterien ja palvelujen yhteenliittämiselle ja yhteentoimivuudelle </w:t>
      </w:r>
      <w:r>
        <w:rPr>
          <w:rFonts w:ascii="Times New Roman" w:hAnsi="Times New Roman"/>
          <w:noProof/>
          <w:sz w:val="24"/>
        </w:rPr>
        <w:t>julkisten organisaatioiden välistä tiedonvaihtoa varten uusien eurooppalaisten yhteentoimivuusperiaatteiden (EIF) mukaisesti. Uudistuksella helpotetaan yhteentoimivien, yksilöllisten ja käyttäjäystävällisten digitaalisten julkisten palvelujen tarjoamista k</w:t>
      </w:r>
      <w:r>
        <w:rPr>
          <w:rFonts w:ascii="Times New Roman" w:hAnsi="Times New Roman"/>
          <w:noProof/>
          <w:sz w:val="24"/>
        </w:rPr>
        <w:t>ansalaisille ja yrityksille. Uudistuksella tehdään organisatorisia, menettelyllisiä ja lainsäädännöllisiä muutoksia, jotta a) mukautetaan Kreikan nykyiset kansalliset yhteentoimivuusperiaatteet eurooppalaisten yhteentoimivuusperiaatteiden (EIF) nykyiseen v</w:t>
      </w:r>
      <w:r>
        <w:rPr>
          <w:rFonts w:ascii="Times New Roman" w:hAnsi="Times New Roman"/>
          <w:noProof/>
          <w:sz w:val="24"/>
        </w:rPr>
        <w:t>ersioon, b) yhdistetään asiaankuuluvat kansalliset, alueelliset ja paikalliset tietolähteet ja digitaaliset infrastruktuurit yhteistä digitaalista palveluväylää koskevalla asetuksella perustettuun eurooppalaiseen yhden kerran periaatteen mukaiseen todistei</w:t>
      </w:r>
      <w:r>
        <w:rPr>
          <w:rFonts w:ascii="Times New Roman" w:hAnsi="Times New Roman"/>
          <w:noProof/>
          <w:sz w:val="24"/>
        </w:rPr>
        <w:t>den vaihtojärjestelmään ja c) tarkistetaan ja analysoidaan järjestelmiä ja dataa todistusten ja virallisten asiakirjojen digitalisoinnin kohdentamiseksi. Uudistus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Julkisen sektorin ti</w:t>
      </w:r>
      <w:r>
        <w:rPr>
          <w:rFonts w:ascii="Times New Roman" w:hAnsi="Times New Roman"/>
          <w:noProof/>
          <w:sz w:val="24"/>
        </w:rPr>
        <w:t>etojärjestelmien dataluokitustutkimukset (toimenpiteen tunniste 16965)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Investoinnin tarkoituksena on määritellä julkisen sektorin tietojärjestelmien pääsihteeristön (GSISPA) hallinnoimaan julkisen sektorin pilvipalveluihin asennettujen julkisen sektorin ti</w:t>
      </w:r>
      <w:r>
        <w:rPr>
          <w:rFonts w:ascii="Times New Roman" w:hAnsi="Times New Roman"/>
          <w:noProof/>
          <w:sz w:val="24"/>
        </w:rPr>
        <w:t>etojärjestelmien tietojen luokittelua koskevien tutkimusten malli. Investointi koostuu keskitettyjen tietojärjestelmien dataluokitustutkimusten suunnittelusta ja standardoinnista sekä 220 vastaavan tutkimuksen suorittamisesta kaikkien jo asennettujen keski</w:t>
      </w:r>
      <w:r>
        <w:rPr>
          <w:rFonts w:ascii="Times New Roman" w:hAnsi="Times New Roman"/>
          <w:noProof/>
          <w:sz w:val="24"/>
        </w:rPr>
        <w:t>tettyjen tietojärjestelmien ja julkisen sektorin sovellusten osalta. Kaikkien tulevien tietojärjestelmien on käytettävä mallia myös ennen niiden asentamista G-pilvipalveluun. Investointi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w:t>
      </w:r>
      <w:r>
        <w:rPr>
          <w:rFonts w:ascii="Times New Roman" w:hAnsi="Times New Roman"/>
          <w:b/>
          <w:bCs/>
          <w:noProof/>
          <w:sz w:val="24"/>
        </w:rPr>
        <w:t>it:</w:t>
      </w:r>
      <w:r>
        <w:rPr>
          <w:rFonts w:ascii="Times New Roman" w:hAnsi="Times New Roman"/>
          <w:noProof/>
          <w:sz w:val="24"/>
        </w:rPr>
        <w:t xml:space="preserve"> Seuraavan sukupolven yhteentoimivuuskeskus (KED) (toimenpiteen tunniste 16964)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pyritään nykyaikaistamaan julkishallinnon tietojärjestelmien yhteentoimivuuden keskusta (GSISPA), jotta voidaan varmistaa toimielinten ja järjestelmien väline</w:t>
      </w:r>
      <w:r>
        <w:rPr>
          <w:rFonts w:ascii="Times New Roman" w:hAnsi="Times New Roman"/>
          <w:noProof/>
          <w:sz w:val="24"/>
        </w:rPr>
        <w:t>n yhteentoimivuus ja hyvä saatavuus. Investointi koostuu a) toteutettavuus- ja turvallisuustutkimuksesta b) tietokantaan ja hybridipilvisovellusalustaan tarvittavien lisenssien toimittamisesta ja asentamisesta c) seuraavan sukupolven yhteentoimivuuskeskuks</w:t>
      </w:r>
      <w:r>
        <w:rPr>
          <w:rFonts w:ascii="Times New Roman" w:hAnsi="Times New Roman"/>
          <w:noProof/>
          <w:sz w:val="24"/>
        </w:rPr>
        <w:t>en (KED) suunnittelusta ja toteuttamisesta, d) uusien verkkopalvelujen toteuttamisesta seuraavan sukupolven yhteentoimivuuskeskuksessa (KED). Investointi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Sähköiset rekisterit (toimenpi</w:t>
      </w:r>
      <w:r>
        <w:rPr>
          <w:rFonts w:ascii="Times New Roman" w:hAnsi="Times New Roman"/>
          <w:noProof/>
          <w:sz w:val="24"/>
        </w:rPr>
        <w:t>teen tunniste 16824)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yhteentoimivuuden ja liitäntöjen luomisen keskushallinnon elinten olemassa olevien rekisterien välille sekä rekisterien keräämisen ja laajentamisen, jotta voidaan vähitellen edistää digitaalisten julkisten palveluj</w:t>
      </w:r>
      <w:r>
        <w:rPr>
          <w:rFonts w:ascii="Times New Roman" w:hAnsi="Times New Roman"/>
          <w:noProof/>
          <w:sz w:val="24"/>
        </w:rPr>
        <w:t xml:space="preserve">en sujuvaa ja asianmukaista toimintaa käyttäen toisiinsa liitettyjä ja ajantasaisia rekistereitä, joissa on puhtaat tiedot. Tätä varten investoinnilla on helpotettava </w:t>
      </w:r>
      <w:r>
        <w:rPr>
          <w:rFonts w:ascii="Times New Roman" w:hAnsi="Times New Roman"/>
          <w:noProof/>
          <w:sz w:val="24"/>
        </w:rPr>
        <w:tab/>
        <w:t>olemassa olevien rekisterien kerääminen ja laajentaminen keskitetysti, jotta digitaalist</w:t>
      </w:r>
      <w:r>
        <w:rPr>
          <w:rFonts w:ascii="Times New Roman" w:hAnsi="Times New Roman"/>
          <w:noProof/>
          <w:sz w:val="24"/>
        </w:rPr>
        <w:t>en julkisten palvelujen toiminta olisi vähitellen sujuvaa ja asianmukaista. Tähän on sisällyttävä a) tiedot yhdessä paikassa: rekistereihin on oltava pääsy yhden käyttöliittymän kautta, ja niiden on oltava hakukelpoisia b) ajantasaisiin tietoihin: kaikkien</w:t>
      </w:r>
      <w:r>
        <w:rPr>
          <w:rFonts w:ascii="Times New Roman" w:hAnsi="Times New Roman"/>
          <w:noProof/>
          <w:sz w:val="24"/>
        </w:rPr>
        <w:t xml:space="preserve"> rekistereissä olevien tietojen on oltava ajantasaisia ja käyttövalmiita. Jokaiseen rekisteriin on oltava pääsy yhteisen API-liittymän kautta. c) puhtaat tiedot: hankkeen loppuun mennessä rekisterien tietojen on oltava mahdollisimman puhtaita ja puhtaita t</w:t>
      </w:r>
      <w:r>
        <w:rPr>
          <w:rFonts w:ascii="Times New Roman" w:hAnsi="Times New Roman"/>
          <w:noProof/>
          <w:sz w:val="24"/>
        </w:rPr>
        <w:t>ietoja koskevien menettelyjen ja toimintaperiaatteiden on oltava käytössä d) linkitettyjä rekistereitä: yhteentoimivuus on varmistettava.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Matkailurekisteri e-MHTE (toimenp</w:t>
      </w:r>
      <w:r>
        <w:rPr>
          <w:rFonts w:ascii="Times New Roman" w:hAnsi="Times New Roman"/>
          <w:noProof/>
          <w:sz w:val="24"/>
        </w:rPr>
        <w:t>iteen tunniste 16785)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matkailuyritysten digitaalisen rekisterin (e-MHTE) kehittämisestä. Foorumin tavoitteena on toimia vuorovaikutuksessa muiden julkisten rekisterien ja tietojärjestelmien kanssa. Kaikki olemassa olevan rekisterin (MΗT</w:t>
      </w:r>
      <w:r>
        <w:rPr>
          <w:rFonts w:ascii="Times New Roman" w:hAnsi="Times New Roman"/>
          <w:noProof/>
          <w:sz w:val="24"/>
        </w:rPr>
        <w:t>E) tiedot ja toiminnot siirretään uudelle alustalle, jotta voidaan tarjota parempia ja parempia palveluja, myöntää uusia liikennelupia ja uudistaa nykyisiä. Investointiin sisältyy myös arkiston digitointi (1 875 000 aluesuunnittelu- ja infrastruktuuriosast</w:t>
      </w:r>
      <w:r>
        <w:rPr>
          <w:rFonts w:ascii="Times New Roman" w:hAnsi="Times New Roman"/>
          <w:noProof/>
          <w:sz w:val="24"/>
        </w:rPr>
        <w:t>on tiedostoa), mukaan lukien meta-tag ja tallennus. Investointi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Uusien teknologioiden ja suuntauksien sisällyttäminen julkishallinnon kehittyneisiin palveluihin, tehokkuuden ja vaikuttavuu</w:t>
      </w:r>
      <w:r>
        <w:rPr>
          <w:rFonts w:ascii="Times New Roman" w:hAnsi="Times New Roman"/>
          <w:noProof/>
          <w:sz w:val="24"/>
        </w:rPr>
        <w:t>den lisääminen sekä järjestelmien käyttö-, päivitys- ja ylläpitokustannusten pieneneminen (toimenpiteen tunniste 16928)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Uudistuksessa kehitetään kokonaisvaltainen kehys, jonka tavoitteena on saattaa teknologiset edistysaskeleet (pilvilaskenta, yritystiedus</w:t>
      </w:r>
      <w:r>
        <w:rPr>
          <w:rFonts w:ascii="Times New Roman" w:hAnsi="Times New Roman"/>
          <w:noProof/>
          <w:sz w:val="24"/>
        </w:rPr>
        <w:t>telu, tekoäly – tekoäly, koneoppiminen, hajautetun tilikirjan teknologia – DLT) julkishallintoon tietojen tehokasta keräämistä, käsittelyä, esittämistä ja tallentamista varten, mikä helpottaa digitaalisten palvelujen tehostamista, asianmukaista päätöksente</w:t>
      </w:r>
      <w:r>
        <w:rPr>
          <w:rFonts w:ascii="Times New Roman" w:hAnsi="Times New Roman"/>
          <w:noProof/>
          <w:sz w:val="24"/>
        </w:rPr>
        <w:t>koa sekä järjestelmien ja infrastruktuurin tehokasta toimintaa ja ylläpitoa.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Älykkäät kaupungit (toimenpiteen tunniste 16854)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Investoinnin tavoitteena on muuttaa vähitellen 1</w:t>
      </w:r>
      <w:r>
        <w:rPr>
          <w:rFonts w:ascii="Times New Roman" w:hAnsi="Times New Roman"/>
          <w:noProof/>
          <w:sz w:val="24"/>
        </w:rPr>
        <w:t>1 kreikkalaista kaupunkia ”älykkäiksi kaupungeiksi” kehittämällä uutta infrastruktuuria, digitaalisia alustoja ja tietotekniikkajärjestelmiä. Älykkäiden kaupunkiratkaisujen avulla kaupungit voivat käyttää teknologiaa, tietoa ja avointa dataa kaupunkien inf</w:t>
      </w:r>
      <w:r>
        <w:rPr>
          <w:rFonts w:ascii="Times New Roman" w:hAnsi="Times New Roman"/>
          <w:noProof/>
          <w:sz w:val="24"/>
        </w:rPr>
        <w:t>rastruktuurin ja sähköisten palvelujen parantamiseksi mutta myös yhteisölähtöisen talouskasvun edistämiseksi. Investoinnilla pyritään myös tukemaan kunnallisten älykkäiden kaupunkimallien kehittämistä muille kunnille täytäntöönpanosuunnitelmien logiikan mu</w:t>
      </w:r>
      <w:r>
        <w:rPr>
          <w:rFonts w:ascii="Times New Roman" w:hAnsi="Times New Roman"/>
          <w:noProof/>
          <w:sz w:val="24"/>
        </w:rPr>
        <w:t>kaisesti. Toimenpide koostuu kahdesta alahankkeesta: 1) Kreikan älykkäitä kaupunkeja koskeva investointialoite, jossa investoidaan 11 kaupunkiin, joista neljä on jo valittu (Ateena, Thessaloniki, Pireus ja Trikala), ja seitsemän muuta kaupunkia valitaan ka</w:t>
      </w:r>
      <w:r>
        <w:rPr>
          <w:rFonts w:ascii="Times New Roman" w:hAnsi="Times New Roman"/>
          <w:noProof/>
          <w:sz w:val="24"/>
        </w:rPr>
        <w:t>upunkien laatimien ehdotusten perusteella. Aloitteen täytäntöönpanon ja tuloksellisuuden seurannan tukimekanismi. Osahankkeessa 1 edellytetään, että tuensaajat laativat yksityiskohtaisen toteutussuunnitelman sekä kymmenvuotisen älykkäitä kaupunkeja koskeva</w:t>
      </w:r>
      <w:r>
        <w:rPr>
          <w:rFonts w:ascii="Times New Roman" w:hAnsi="Times New Roman"/>
          <w:noProof/>
          <w:sz w:val="24"/>
        </w:rPr>
        <w:t>n strategian ja toimintasuunnitelman, jotka liittyvät paikallisiin, alueellisiin ja kansallisiin strategisiin tavoitteisiin.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Keskitetyn pilvipalveluinfrastruktuurin ja -pa</w:t>
      </w:r>
      <w:r>
        <w:rPr>
          <w:rFonts w:ascii="Times New Roman" w:hAnsi="Times New Roman"/>
          <w:noProof/>
          <w:sz w:val="24"/>
        </w:rPr>
        <w:t>lvelujen tarjonta (toimenpiteen tunniste 16853)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pyritään tehostamaan digitaalisesta hallinnosta vastaavan ministeriön keskeisten instituutioiden eli GSISPAn ja IDIKA SA:n toimintaa ottamalla käyttöön pilvipalveluinfrastruktuuria ja -palveluj</w:t>
      </w:r>
      <w:r>
        <w:rPr>
          <w:rFonts w:ascii="Times New Roman" w:hAnsi="Times New Roman"/>
          <w:noProof/>
          <w:sz w:val="24"/>
        </w:rPr>
        <w:t>a (lain 4727/2020 mukaisesti) julkisen pilvipalveluinfrastruktuurin ja -palvelujen (G-pilvi) täytäntöönpanoa koskevien kansainvälisten parhaiden käytäntöjen mukaisesti. Hankkeen tavoitteena on luoda nykyaikainen hybridipilvi-infrastruktuuri, joka koostuu k</w:t>
      </w:r>
      <w:r>
        <w:rPr>
          <w:rFonts w:ascii="Times New Roman" w:hAnsi="Times New Roman"/>
          <w:noProof/>
          <w:sz w:val="24"/>
        </w:rPr>
        <w:t>ahdesta vuokralaisesta: Yksi koskee G-pilvipalvelua ja toinen H-pilvipalvelua. Kullakin vuokralaisella on oltava yksityinen pilvikomponentti ja julkinen pilvikomponentti yhtenäisessä hallinnointi- ja palveluntarjontaympäristössä. Investointi on määrä toteu</w:t>
      </w:r>
      <w:r>
        <w:rPr>
          <w:rFonts w:ascii="Times New Roman" w:hAnsi="Times New Roman"/>
          <w:noProof/>
          <w:sz w:val="24"/>
        </w:rPr>
        <w:t>ttaa viimeistään 30 päivänä kesäkuuta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Pilvipalvelujen tarjoajan tietokeskusten on noudatettava tietokeskusten energiatehokkuutta koskevia eurooppalaisia käytännesääntöjä. Vaatimus on yhdenmukainen energiaunionin ja ilmastotoimien hallinnosta 11 päivä</w:t>
      </w:r>
      <w:r>
        <w:rPr>
          <w:rFonts w:ascii="Times New Roman" w:hAnsi="Times New Roman"/>
          <w:noProof/>
          <w:sz w:val="24"/>
        </w:rPr>
        <w:t>nä joulukuuta 2018 annetun Euroopan parlamentin ja neuvoston asetuksen (EU) 2018/1999 kanssa tukemalla vihreää siirtymää ja myötävaikuttamalla asetuksen 2 artiklan 11 kohdassa, sellaisena kuin se on muutettuna EU:n ilmastolain 10 artiklalla muutettujen uni</w:t>
      </w:r>
      <w:r>
        <w:rPr>
          <w:rFonts w:ascii="Times New Roman" w:hAnsi="Times New Roman"/>
          <w:noProof/>
          <w:sz w:val="24"/>
        </w:rPr>
        <w:t>onin vuoden 2030 ilmastotavoitteiden saavuttamiseen, ja noudattamalla tavoitetta, joka koskee EU:n ilmastoneutraaliutta vuoteen 2050 mennessä ja digitaalista muutosta, edistäen siten ylöspäin suuntautuvaa taloudellista ja sosiaalista lähentymistä, palautta</w:t>
      </w:r>
      <w:r>
        <w:rPr>
          <w:rFonts w:ascii="Times New Roman" w:hAnsi="Times New Roman"/>
          <w:noProof/>
          <w:sz w:val="24"/>
        </w:rPr>
        <w:t>malla ja edistämällä kestävää kasvua ja unionin talouksien yhdentymistä.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Kansallisten tutkimus- ja teknologiainfrastruktuurien (GRNET) pilvipalveluinfrastruktuurin ja -palvelujen parantaminen (toimenpiteen tunniste 16955)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 koostuu </w:t>
      </w:r>
      <w:r>
        <w:rPr>
          <w:rFonts w:ascii="Times New Roman" w:hAnsi="Times New Roman"/>
          <w:noProof/>
          <w:sz w:val="24"/>
        </w:rPr>
        <w:t>GRNETin infrastruktuurien ja palvelujen parantamisesta a) parantamalla sen ohjelmistoja ja pilvipalveluja, jotka on suunnattu pääasiassa tutkimus- ja tiedeyhteisön jäsenille, b) laajentamalla ja parantamalla kansallista ARIS-suurteholaskentajärjestelmää (v</w:t>
      </w:r>
      <w:r>
        <w:rPr>
          <w:rFonts w:ascii="Times New Roman" w:hAnsi="Times New Roman"/>
          <w:noProof/>
          <w:sz w:val="24"/>
        </w:rPr>
        <w:t>aihe B) ja c) vuokraamalla valokuituinfrastruktuuria.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Tietokeskusten on noudatettava tietokeskusten energiatehokkuutta koskevia eurooppalaisia käytännesääntöjä. Vaatimus on yhdenmukaine</w:t>
      </w:r>
      <w:r>
        <w:rPr>
          <w:rFonts w:ascii="Times New Roman" w:hAnsi="Times New Roman"/>
          <w:noProof/>
          <w:sz w:val="24"/>
        </w:rPr>
        <w:t>n energiaunionin ja ilmastotoimien hallinnosta 11 päivänä joulukuuta 2018 annetun Euroopan parlamentin ja neuvoston asetuksen (EU) 2018/1999 kanssa tukemalla vihreää siirtymää ja myötävaikuttamalla asetuksen 2 artiklan 11 kohdassa, sellaisena kuin se on mu</w:t>
      </w:r>
      <w:r>
        <w:rPr>
          <w:rFonts w:ascii="Times New Roman" w:hAnsi="Times New Roman"/>
          <w:noProof/>
          <w:sz w:val="24"/>
        </w:rPr>
        <w:t>utettuna EU:n ilmastolain 10 artiklalla muutettujen unionin vuoden 2030 ilmastotavoitteiden saavuttamiseen, ja noudattamalla tavoitetta, joka koskee EU:n ilmastoneutraaliutta vuoteen 2050 mennessä ja digitaalista muutosta, edistäen siten ylöspäin suuntautu</w:t>
      </w:r>
      <w:r>
        <w:rPr>
          <w:rFonts w:ascii="Times New Roman" w:hAnsi="Times New Roman"/>
          <w:noProof/>
          <w:sz w:val="24"/>
        </w:rPr>
        <w:t>vaa taloudellista ja sosiaalista lähentymistä, palauttamalla ja edistämällä kestävää kasvua ja unionin talouksien yhdentymistä.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Julkisen sektorin toiminnan jatkuvuuden parantaminen (toimenpiteen tunniste 16287)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kaikkien ta</w:t>
      </w:r>
      <w:r>
        <w:rPr>
          <w:rFonts w:ascii="Times New Roman" w:hAnsi="Times New Roman"/>
          <w:noProof/>
          <w:sz w:val="24"/>
        </w:rPr>
        <w:t>rvittavien toimien suunnittelusta ja toteuttamisesta, jotta varmistetaan toiminnan jatkuvuus koko julkishallinnossa, jolloin minkä tahansa julkisen sektorin viraston työntekijät voivat suorittaa työnsä etäällä ja turvallisesti. Siihen sisältyy tarvittavien</w:t>
      </w:r>
      <w:r>
        <w:rPr>
          <w:rFonts w:ascii="Times New Roman" w:hAnsi="Times New Roman"/>
          <w:noProof/>
          <w:sz w:val="24"/>
        </w:rPr>
        <w:t xml:space="preserve"> yrityslaitteiden (kannettavien tietokoneiden) ja verkkoinfrastruktuurin (VPN) toimittaminen ja G-pilvipalvelujen laajentaminen. Investoinnissa tarkastellaan aluksi julkisen sektorin tarpeita ja laaditaan toiminnan jatkuvuutta koskeva suunnitelma, joka kat</w:t>
      </w:r>
      <w:r>
        <w:rPr>
          <w:rFonts w:ascii="Times New Roman" w:hAnsi="Times New Roman"/>
          <w:noProof/>
          <w:sz w:val="24"/>
        </w:rPr>
        <w:t>taa sekä tämän hankkeen toteuttamisen aikana katettavan ohjeellisen virkamiesryhmän (arviolta 71 500) että kaikkien virkamiesten (noin 550 000) osalta. Toiminnan jatkuvuutta koskevan suunnitelman mukaisesti investoinnilla varmistetaan toiminnan jatkuvuuden</w:t>
      </w:r>
      <w:r>
        <w:rPr>
          <w:rFonts w:ascii="Times New Roman" w:hAnsi="Times New Roman"/>
          <w:noProof/>
          <w:sz w:val="24"/>
        </w:rPr>
        <w:t xml:space="preserve"> edellytysten täyttyminen koko julkishallinnossa. Näihin edellytyksiin kuuluu a) yrityksen laite, johon on asennettu ajantasaiset käyttöjärjestelmät ja päivitetyt virussuojaohjelmat, b) internetyhteys internetyhteyden kautta c) virtuaalinen yksityinen verk</w:t>
      </w:r>
      <w:r>
        <w:rPr>
          <w:rFonts w:ascii="Times New Roman" w:hAnsi="Times New Roman"/>
          <w:noProof/>
          <w:sz w:val="24"/>
        </w:rPr>
        <w:t>ko (VPN) SYZEFXIS-verkon kautta d) käyttämällä VPN-yhteyttä, suojattu pääsy julkisten virastojen tietoihin ja sovelluksiin, joita tarvitaan työntekijän etätyöskentelyyn, ja jos tämä ei ole mahdollista, on kehitettävä vaihtoehtoisia teknisiä ratkaisuja. Inv</w:t>
      </w:r>
      <w:r>
        <w:rPr>
          <w:rFonts w:ascii="Times New Roman" w:hAnsi="Times New Roman"/>
          <w:noProof/>
          <w:sz w:val="24"/>
        </w:rPr>
        <w:t>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Syzefksis II:n laajentaminen (toimenpiteen tunniste 16956)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kansallisen julkisen sektorin verkon (SYZEFXIS II) laajentamisesta tarjoamaan parannettuja tele</w:t>
      </w:r>
      <w:r>
        <w:rPr>
          <w:rFonts w:ascii="Times New Roman" w:hAnsi="Times New Roman"/>
          <w:noProof/>
          <w:sz w:val="24"/>
        </w:rPr>
        <w:t>viestintäpalveluja kaikille julkisyhteisöille, julkisen sektorin verkon perustamisesta (laajentaminen) parannettujen televiestintäpalvelujen tarjoamiseksi julkisyhteisöille kolmen peräkkäisen vuoden ajan ja erityisesti kattavuuden tarjoamisesta noin 34 000</w:t>
      </w:r>
      <w:r>
        <w:rPr>
          <w:rFonts w:ascii="Times New Roman" w:hAnsi="Times New Roman"/>
          <w:noProof/>
          <w:sz w:val="24"/>
        </w:rPr>
        <w:t xml:space="preserve"> rakennukselle sekä langattomille telepalveluille. Siihen sisältyy nykyisen julkishallinnon kansallisen SYZEFXIS-verkoston laajentaminen. Verkosto kattaa tällä hetkellä vain 4 500 elinten läsnäolopaikkaa. Näin ollen kaikkien julkisten elinten on parannetta</w:t>
      </w:r>
      <w:r>
        <w:rPr>
          <w:rFonts w:ascii="Times New Roman" w:hAnsi="Times New Roman"/>
          <w:noProof/>
          <w:sz w:val="24"/>
        </w:rPr>
        <w:t>va televiestintäpalveluja lisäämällä internet-liityntänopeuksia ja tarjottava näin paremmat yhteydet kansalaisille.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Datanhallintastrategia ja -toimet julkista sektoria varten </w:t>
      </w:r>
      <w:r>
        <w:rPr>
          <w:rFonts w:ascii="Times New Roman" w:hAnsi="Times New Roman"/>
          <w:noProof/>
          <w:sz w:val="24"/>
        </w:rPr>
        <w:t>(toimenpiteen tunniste 16827)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koskee a) hallituksen pilvipalvelujen hallinnointistrategian ja -politiikkojen kehittämistä ja b) julkisen datan hallinnoinnin puitteiden, infrastruktuurin, kapasiteetin ja valmiuksien luomista, avointa ja uudelleenkä</w:t>
      </w:r>
      <w:r>
        <w:rPr>
          <w:rFonts w:ascii="Times New Roman" w:hAnsi="Times New Roman"/>
          <w:noProof/>
          <w:sz w:val="24"/>
        </w:rPr>
        <w:t>ytettävää dataa koskevaa politiikkaa sekä asiaankuuluvien palvelujen tarjoamista julkiselle ja yksityiselle sektorille.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Keskitetty BI – Tietoanalyysi (toimenpiteen tunniste 1</w:t>
      </w:r>
      <w:r>
        <w:rPr>
          <w:rFonts w:ascii="Times New Roman" w:hAnsi="Times New Roman"/>
          <w:noProof/>
          <w:sz w:val="24"/>
        </w:rPr>
        <w:t>6842)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tavoitteena on mahdollistaa se, että julkishallinto voi maksimoida tiedoistaan saamansa arvon toteuttamalla yritystiedustelu- ja data-analyysialustan. Alustan avulla julkishallinnon virastot voivat kerätä, yhdistää ja tulkita mistä </w:t>
      </w:r>
      <w:r>
        <w:rPr>
          <w:rFonts w:ascii="Times New Roman" w:hAnsi="Times New Roman"/>
          <w:noProof/>
          <w:sz w:val="24"/>
        </w:rPr>
        <w:t>tahansa lähteestä peräisin olevaa tietoa ja analysoida tietoja, jotka vaikuttavat niiden toimintaan ja työnkulkuun, mikä helpottaa päätöksentekoa. Tähän päästään a) määrittämällä keskeiset tulosindikaattorit b) luomalla tietohakemisto, c) luomalla datanhal</w:t>
      </w:r>
      <w:r>
        <w:rPr>
          <w:rFonts w:ascii="Times New Roman" w:hAnsi="Times New Roman"/>
          <w:noProof/>
          <w:sz w:val="24"/>
        </w:rPr>
        <w:t>lintakehys d) suunnittelemalla asianmukainen arkkitehtoninen malli, arkkitehtoninen lähestymistapa, rakenneosat ja integrointipisteet e) tietovaraston kokoonpano, f) yhdistäminen back-office-tietojärjestelmään g) tarvittavien liiketoimintatietoon liittyvie</w:t>
      </w:r>
      <w:r>
        <w:rPr>
          <w:rFonts w:ascii="Times New Roman" w:hAnsi="Times New Roman"/>
          <w:noProof/>
          <w:sz w:val="24"/>
        </w:rPr>
        <w:t>n raporttien ja analyysien laatiminen h) tekninen tuki.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Asiakirjojen keskushallintojärjestelmä (toimenpiteen tunniste 16738)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keskitetyn asiakirjahalli</w:t>
      </w:r>
      <w:r>
        <w:rPr>
          <w:rFonts w:ascii="Times New Roman" w:hAnsi="Times New Roman"/>
          <w:noProof/>
          <w:sz w:val="24"/>
        </w:rPr>
        <w:t>ntajärjestelmän, jonka avulla kerätään, tallennetaan ja haetaan paperisia ja sähköisiä asiakirjoja. Tällä järjestelmällä helpotetaan julkisen sektorin organisaatioiden välistä yhteentoimivuutta ja nopeutetaan kansalaisten ja yritysten tapausten ja palvelup</w:t>
      </w:r>
      <w:r>
        <w:rPr>
          <w:rFonts w:ascii="Times New Roman" w:hAnsi="Times New Roman"/>
          <w:noProof/>
          <w:sz w:val="24"/>
        </w:rPr>
        <w:t>yyntöjen käsittelyä. Investointiin sisältyy a) 20 000 hyväksytyn sähköisen etäallekirjoituksen toimittaminen, b) yhteentoimivuutta koskevien sovellusten kehittäminen, asiakirjoihin sisällytettävän yksilöllisen QR-koodin tai yksilöllisen tunnisteen luominen</w:t>
      </w:r>
      <w:r>
        <w:rPr>
          <w:rFonts w:ascii="Times New Roman" w:hAnsi="Times New Roman"/>
          <w:noProof/>
          <w:sz w:val="24"/>
        </w:rPr>
        <w:t xml:space="preserve"> c) osajärjestelmien kehittäminen, jotta voidaan kattaa viranomaisten tarpeet allekirjoittaa asiakirjoja digitaalisin allekirjoituksin, d) tukipalvelut (mukaan lukien tutkimusten kehittämiseen liittyvät palvelut), koulutus ja neuvontapalvelut. Investointi </w:t>
      </w:r>
      <w:r>
        <w:rPr>
          <w:rFonts w:ascii="Times New Roman" w:hAnsi="Times New Roman"/>
          <w:noProof/>
          <w:sz w:val="24"/>
        </w:rPr>
        <w:t>on määrä toteuttaa viimeistään 30 päivänä kesäkuuta 2025.</w:t>
      </w: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88"/>
          <w:headerReference w:type="default" r:id="rId89"/>
          <w:footerReference w:type="even" r:id="rId90"/>
          <w:footerReference w:type="default" r:id="rId91"/>
          <w:headerReference w:type="first" r:id="rId92"/>
          <w:footerReference w:type="first" r:id="rId93"/>
          <w:pgSz w:w="11907" w:h="16839"/>
          <w:pgMar w:top="1134" w:right="1418" w:bottom="1134" w:left="1418"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F.2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Suurin investointi 3: Arkistojen ja niihin liittyvien palvelujen digitalisointi</w:t>
      </w:r>
    </w:p>
    <w:tbl>
      <w:tblPr>
        <w:tblW w:w="15588" w:type="dxa"/>
        <w:tblInd w:w="113" w:type="dxa"/>
        <w:tblLayout w:type="fixed"/>
        <w:tblLook w:val="04A0" w:firstRow="1" w:lastRow="0" w:firstColumn="1" w:lastColumn="0" w:noHBand="0" w:noVBand="1"/>
      </w:tblPr>
      <w:tblGrid>
        <w:gridCol w:w="1027"/>
        <w:gridCol w:w="2229"/>
        <w:gridCol w:w="1134"/>
        <w:gridCol w:w="850"/>
        <w:gridCol w:w="1276"/>
        <w:gridCol w:w="992"/>
        <w:gridCol w:w="992"/>
        <w:gridCol w:w="851"/>
        <w:gridCol w:w="850"/>
        <w:gridCol w:w="993"/>
        <w:gridCol w:w="4394"/>
      </w:tblGrid>
      <w:tr w:rsidR="00B0093E">
        <w:trPr>
          <w:trHeight w:val="927"/>
          <w:tblHead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ind w:left="-561" w:firstLine="561"/>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850"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835"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50"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993"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93</w:t>
            </w:r>
          </w:p>
        </w:tc>
        <w:tc>
          <w:tcPr>
            <w:tcW w:w="22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w:t>
            </w:r>
            <w:r>
              <w:rPr>
                <w:noProof/>
                <w:color w:val="006100"/>
                <w:sz w:val="18"/>
                <w:szCs w:val="18"/>
              </w:rPr>
              <w:t xml:space="preserve"> 2.2. Nykyaikaistaminen – 16778_Arkistojen ja niihin liittyvien palvelujen digitalisointi</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iCs/>
                <w:noProof/>
                <w:color w:val="006100"/>
                <w:sz w:val="18"/>
                <w:szCs w:val="18"/>
              </w:rPr>
            </w:pPr>
            <w:r>
              <w:rPr>
                <w:iCs/>
                <w:noProof/>
                <w:color w:val="006100"/>
                <w:sz w:val="18"/>
                <w:szCs w:val="18"/>
              </w:rPr>
              <w:t>Arkisto-jen digi-tointia koske-vien sopi-musten teke-minen</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hankinta-sopimuksista, jotka kattavat kaikki yhdeksän arkiston digitointi-hankkeen osa</w:t>
            </w:r>
            <w:r>
              <w:rPr>
                <w:noProof/>
                <w:color w:val="006100"/>
                <w:sz w:val="18"/>
                <w:szCs w:val="18"/>
              </w:rPr>
              <w:t xml:space="preserve">hanketta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3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Hankintasopimuksen tekeminen, joka kattaa seuraavat yhdeksän alahanketta kaikkine komponentteineen: </w:t>
            </w:r>
          </w:p>
          <w:p w:rsidR="00B0093E" w:rsidRDefault="00762CA6">
            <w:pPr>
              <w:numPr>
                <w:ilvl w:val="0"/>
                <w:numId w:val="53"/>
              </w:numPr>
              <w:spacing w:before="120" w:after="160" w:line="259" w:lineRule="auto"/>
              <w:ind w:left="220" w:hanging="169"/>
              <w:contextualSpacing/>
              <w:jc w:val="both"/>
              <w:rPr>
                <w:rFonts w:eastAsia="Times New Roman" w:cs="Calibri"/>
                <w:noProof/>
                <w:color w:val="006100"/>
                <w:sz w:val="18"/>
                <w:szCs w:val="18"/>
              </w:rPr>
            </w:pPr>
            <w:r>
              <w:rPr>
                <w:noProof/>
                <w:color w:val="006100"/>
                <w:sz w:val="18"/>
                <w:szCs w:val="18"/>
              </w:rPr>
              <w:t>Osahanke 1: Oikeusalan järjestelmän arkistojen digitalisointi</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 xml:space="preserve">Osahanke 2: Julkisen terveydenhuoltojärjestelmän arkistojen </w:t>
            </w:r>
            <w:r>
              <w:rPr>
                <w:noProof/>
                <w:color w:val="006100"/>
                <w:sz w:val="18"/>
                <w:szCs w:val="18"/>
              </w:rPr>
              <w:t>digitalisointi</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Alahanke 3: Valtion yleisten arkistojen digitalisointi</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Osahanke 4: Maahanmuutto- ja turvapaikkajärjestelmän arkistojen digitalisointi</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Osahanke 5: Pakkolunastusarkistojen digitalisointi</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Osahanke 6: Kaupunkisuunnitteluvirastojen arkistojen dig</w:t>
            </w:r>
            <w:r>
              <w:rPr>
                <w:noProof/>
                <w:color w:val="006100"/>
                <w:sz w:val="18"/>
                <w:szCs w:val="18"/>
              </w:rPr>
              <w:t>italisointi</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Alahanke 7A – kiinteistörekisterin (ktimatologio) arkistojen digitalisointi</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Alahanke 7B – Kiinteistön paremmat digitaaliset palvelut</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Alahanke 8 – Meriarkistojen digitalisointi</w:t>
            </w:r>
          </w:p>
          <w:p w:rsidR="00B0093E" w:rsidRDefault="00762CA6">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Osahanke 9: Julkisen sektorin ja laajemman julkisen sektorin turvall</w:t>
            </w:r>
            <w:r>
              <w:rPr>
                <w:noProof/>
                <w:color w:val="006100"/>
                <w:sz w:val="18"/>
                <w:szCs w:val="18"/>
              </w:rPr>
              <w:t>inen varastointi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Eritelmien on sisällettävä aikataulut ja tavoitteet, ja niissä on esitettävä yksityiskohtaisesti kunkin yhdeksän alahankkeen osalta seuraavat tiedot: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fyysisen aineiston digitointi </w:t>
            </w:r>
          </w:p>
          <w:p w:rsidR="00B0093E" w:rsidRDefault="00762CA6">
            <w:pPr>
              <w:spacing w:after="0" w:line="240" w:lineRule="auto"/>
              <w:rPr>
                <w:rFonts w:eastAsia="Times New Roman" w:cs="Calibri"/>
                <w:noProof/>
                <w:color w:val="006100"/>
                <w:sz w:val="18"/>
                <w:szCs w:val="18"/>
              </w:rPr>
            </w:pPr>
            <w:r>
              <w:rPr>
                <w:noProof/>
                <w:color w:val="006100"/>
                <w:sz w:val="18"/>
                <w:szCs w:val="18"/>
              </w:rPr>
              <w:t>2. digitaalisten tallenteiden siirtäminen olemassa ole</w:t>
            </w:r>
            <w:r>
              <w:rPr>
                <w:noProof/>
                <w:color w:val="006100"/>
                <w:sz w:val="18"/>
                <w:szCs w:val="18"/>
              </w:rPr>
              <w:t>viin järjestelmiin (mukaan lukien oikeusasiat OSDDY-PP/OSDDY-DDY-DDY-DD) kiinteistön omistusoikeus kansallisessa kiinteistörekisteritietojärjestelmässä)</w:t>
            </w:r>
          </w:p>
          <w:p w:rsidR="00B0093E" w:rsidRDefault="00762CA6">
            <w:pPr>
              <w:spacing w:after="0" w:line="240" w:lineRule="auto"/>
              <w:rPr>
                <w:rFonts w:eastAsia="Times New Roman" w:cs="Calibri"/>
                <w:noProof/>
                <w:color w:val="006100"/>
                <w:sz w:val="18"/>
                <w:szCs w:val="18"/>
              </w:rPr>
            </w:pPr>
            <w:r>
              <w:rPr>
                <w:noProof/>
                <w:color w:val="006100"/>
                <w:sz w:val="18"/>
                <w:szCs w:val="18"/>
              </w:rPr>
              <w:t>3. datakeskusten ja paikallisille virastoille sijoitetun infrastruktuurin analysointi, suunnittelu ja t</w:t>
            </w:r>
            <w:r>
              <w:rPr>
                <w:noProof/>
                <w:color w:val="006100"/>
                <w:sz w:val="18"/>
                <w:szCs w:val="18"/>
              </w:rPr>
              <w:t>oteutus sekä asianmukainen keskitetty palvelupiste (mukaan lukien potilastietojen keskustietokanta; Yhdennetty maantieteellinen tietojärjestelmä, joka sisältää takavarikointia ja pakkolunastushakemuksia koskevan yhtenäisen digitaalisen kartan; Asiakirjojen</w:t>
            </w:r>
            <w:r>
              <w:rPr>
                <w:noProof/>
                <w:color w:val="006100"/>
                <w:sz w:val="18"/>
                <w:szCs w:val="18"/>
              </w:rPr>
              <w:t xml:space="preserve"> ja digitaalinen tiedostojen hallintajärjestelmä (DMS/DAS) kiinteistörekisteritietoja varten; arkistonhallintaohjelmiston asentaminen).</w:t>
            </w:r>
          </w:p>
          <w:p w:rsidR="00B0093E" w:rsidRDefault="00762CA6">
            <w:pPr>
              <w:spacing w:after="0" w:line="240" w:lineRule="auto"/>
              <w:rPr>
                <w:rFonts w:eastAsia="Times New Roman" w:cs="Calibri"/>
                <w:noProof/>
                <w:color w:val="006100"/>
                <w:sz w:val="18"/>
                <w:szCs w:val="18"/>
              </w:rPr>
            </w:pPr>
            <w:r>
              <w:rPr>
                <w:noProof/>
                <w:color w:val="006100"/>
                <w:sz w:val="18"/>
                <w:szCs w:val="18"/>
              </w:rPr>
              <w:t>4. tukipalvelut (mukaan lukien uudet sähköiset palvelut, jotka liittyvät tiedostojen hakuun ja hakemiseen kansalaisille;</w:t>
            </w:r>
            <w:r>
              <w:rPr>
                <w:noProof/>
                <w:color w:val="006100"/>
                <w:sz w:val="18"/>
                <w:szCs w:val="18"/>
              </w:rPr>
              <w:t xml:space="preserve"> julkinen hallinto; valtion arkistojen tutkijat).</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94</w:t>
            </w:r>
          </w:p>
        </w:tc>
        <w:tc>
          <w:tcPr>
            <w:tcW w:w="22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16778_Arkistojen ja niihin liittyvien palvelujen digitalisointi</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Arkistojen digitointi – täytäntöönpanon ensimmäinen vaihe</w:t>
            </w:r>
          </w:p>
        </w:tc>
        <w:tc>
          <w:tcPr>
            <w:tcW w:w="127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Digitoi-tujen, metamerkittyjen ja olemassa</w:t>
            </w:r>
            <w:r>
              <w:rPr>
                <w:noProof/>
                <w:color w:val="006100"/>
                <w:sz w:val="18"/>
                <w:szCs w:val="18"/>
              </w:rPr>
              <w:t xml:space="preserve"> oleviin järjestel-miin siirret-tyjen arkistojen prosentt-iosuus kaikissa yhdek-sässä ala-hank-keessa</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30 %</w:t>
            </w: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3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Arkistoista on digitoitu yhteensä vähintään 30 prosenttia kaikissa yhdeksässä alahankkeessa, digitoitujen sivujen kokonaislukumäärän mukaan</w:t>
            </w:r>
            <w:r>
              <w:rPr>
                <w:noProof/>
                <w:color w:val="006100"/>
                <w:sz w:val="18"/>
                <w:szCs w:val="18"/>
              </w:rPr>
              <w:t xml:space="preserve"> laskettuna.</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95</w:t>
            </w:r>
          </w:p>
        </w:tc>
        <w:tc>
          <w:tcPr>
            <w:tcW w:w="222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6 - 2.2. Nykyaikaistaminen – 16778_Arkistojen ja niihin liittyvien palvelujen digitalisointi</w:t>
            </w:r>
          </w:p>
        </w:tc>
        <w:tc>
          <w:tcPr>
            <w:tcW w:w="113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Tavoite</w:t>
            </w:r>
          </w:p>
        </w:tc>
        <w:tc>
          <w:tcPr>
            <w:tcW w:w="85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noProof/>
                <w:color w:val="006100"/>
                <w:sz w:val="18"/>
                <w:szCs w:val="18"/>
              </w:rPr>
            </w:pPr>
            <w:r>
              <w:rPr>
                <w:noProof/>
                <w:color w:val="006100"/>
                <w:sz w:val="18"/>
                <w:szCs w:val="18"/>
              </w:rPr>
              <w:t>Arkistojen digitalisointi – täysi-mää-</w:t>
            </w:r>
          </w:p>
          <w:p w:rsidR="00B0093E" w:rsidRDefault="00762CA6">
            <w:pPr>
              <w:spacing w:after="0" w:line="240" w:lineRule="auto"/>
              <w:rPr>
                <w:rFonts w:eastAsia="Times New Roman" w:cs="Calibri"/>
                <w:noProof/>
                <w:color w:val="006100"/>
                <w:sz w:val="18"/>
                <w:szCs w:val="18"/>
              </w:rPr>
            </w:pPr>
            <w:r>
              <w:rPr>
                <w:noProof/>
                <w:color w:val="006100"/>
                <w:sz w:val="18"/>
                <w:szCs w:val="18"/>
              </w:rPr>
              <w:t>räinen täytän-töön-pano</w:t>
            </w:r>
          </w:p>
        </w:tc>
        <w:tc>
          <w:tcPr>
            <w:tcW w:w="1276"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Digitoi-tujen, meta-merkit-tyjen ja olemassa oleviin järjes-telmiin </w:t>
            </w:r>
            <w:r>
              <w:rPr>
                <w:noProof/>
                <w:color w:val="006100"/>
                <w:sz w:val="18"/>
                <w:szCs w:val="18"/>
              </w:rPr>
              <w:t>siirret-tyjen arkistojen prosent-tiosuus kaikissa yhdek-sässä alahank-keessa</w:t>
            </w:r>
          </w:p>
        </w:tc>
        <w:tc>
          <w:tcPr>
            <w:tcW w:w="99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30 %</w:t>
            </w: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90 %</w:t>
            </w:r>
          </w:p>
        </w:tc>
        <w:tc>
          <w:tcPr>
            <w:tcW w:w="85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Q4</w:t>
            </w:r>
          </w:p>
        </w:tc>
        <w:tc>
          <w:tcPr>
            <w:tcW w:w="99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9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Vähintään 90 prosentin digitointi arkistoista kaikissa yhdeksässä alahankkeessa laskettuna kunkin alahankkeen osalta digitoitujen sivujen lukumääränä. </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Keskeinen uudistus 5: Kohti julkishallinnon asiakaslähtöisiä palveluja yksinkertaistamalla ja parantamalla prosesseja – rekisterien, järjestelmien ja palvelujen yhteenliittäminen ja yhteentoimivuus</w:t>
      </w:r>
    </w:p>
    <w:tbl>
      <w:tblPr>
        <w:tblpPr w:leftFromText="180" w:rightFromText="180" w:vertAnchor="text" w:tblpXSpec="center" w:tblpY="1"/>
        <w:tblOverlap w:val="never"/>
        <w:tblW w:w="16160" w:type="dxa"/>
        <w:jc w:val="center"/>
        <w:tblLook w:val="04A0" w:firstRow="1" w:lastRow="0" w:firstColumn="1" w:lastColumn="0" w:noHBand="0" w:noVBand="1"/>
      </w:tblPr>
      <w:tblGrid>
        <w:gridCol w:w="1027"/>
        <w:gridCol w:w="1932"/>
        <w:gridCol w:w="1626"/>
        <w:gridCol w:w="1661"/>
        <w:gridCol w:w="2364"/>
        <w:gridCol w:w="1359"/>
        <w:gridCol w:w="966"/>
        <w:gridCol w:w="1006"/>
        <w:gridCol w:w="1387"/>
        <w:gridCol w:w="680"/>
        <w:gridCol w:w="4145"/>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93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97"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236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803"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26"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145"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97"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5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tcPr>
          <w:p w:rsidR="00B0093E" w:rsidRDefault="00B0093E">
            <w:pPr>
              <w:spacing w:after="0" w:line="240" w:lineRule="auto"/>
              <w:jc w:val="center"/>
              <w:rPr>
                <w:rFonts w:ascii="Times New Roman" w:eastAsia="Times New Roman" w:hAnsi="Times New Roman" w:cs="Times New Roman"/>
                <w:b/>
                <w:bCs/>
                <w:noProof/>
                <w:sz w:val="18"/>
                <w:szCs w:val="18"/>
                <w:lang w:eastAsia="en-GB"/>
              </w:rPr>
            </w:pPr>
          </w:p>
          <w:p w:rsidR="00B0093E" w:rsidRDefault="00B0093E">
            <w:pPr>
              <w:spacing w:after="0" w:line="240" w:lineRule="auto"/>
              <w:jc w:val="center"/>
              <w:rPr>
                <w:rFonts w:ascii="Times New Roman" w:eastAsia="Times New Roman" w:hAnsi="Times New Roman" w:cs="Times New Roman"/>
                <w:b/>
                <w:bCs/>
                <w:noProof/>
                <w:sz w:val="18"/>
                <w:szCs w:val="18"/>
                <w:lang w:eastAsia="en-GB"/>
              </w:rPr>
            </w:pPr>
          </w:p>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58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Päämäärä</w:t>
            </w:r>
          </w:p>
        </w:tc>
        <w:tc>
          <w:tcPr>
            <w:tcW w:w="84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68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145"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96</w:t>
            </w:r>
          </w:p>
        </w:tc>
        <w:tc>
          <w:tcPr>
            <w:tcW w:w="19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16929_Kohti julkishallinnon asiakaslähtöisiä palveluja yksinkertaistamalla ja parantamalla prosesseja, järjestelmien parannuksia ja EU:n strategioiden ja politiikkojen noudattamista</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iCs/>
                <w:noProof/>
                <w:color w:val="006100"/>
                <w:sz w:val="18"/>
                <w:szCs w:val="18"/>
              </w:rPr>
              <w:t>Kansallisen m</w:t>
            </w:r>
            <w:r>
              <w:rPr>
                <w:iCs/>
                <w:noProof/>
                <w:color w:val="006100"/>
                <w:sz w:val="18"/>
                <w:szCs w:val="18"/>
              </w:rPr>
              <w:t>enettelyrekisterin perustaminen ja prosessin yksinkertaistamista koskevan kansallisen suunnitelman täytäntöönpano (ensimmäinen vaihe)</w:t>
            </w:r>
          </w:p>
        </w:tc>
        <w:tc>
          <w:tcPr>
            <w:tcW w:w="236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Digitaalisesta hallinnosta vastaavan ministeriön raportti, jossa vahvistetaan kansallisen menettelyrekisterin toimintavalm</w:t>
            </w:r>
            <w:r>
              <w:rPr>
                <w:noProof/>
                <w:color w:val="006100"/>
                <w:sz w:val="18"/>
                <w:szCs w:val="18"/>
              </w:rPr>
              <w:t xml:space="preserve">istuminen ja kansallisen prosessin yksinkertaistamista koskevan ohjelman ensimmäisen vaiheen toimien loppuun saattaminen </w:t>
            </w:r>
          </w:p>
        </w:tc>
        <w:tc>
          <w:tcPr>
            <w:tcW w:w="135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68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145" w:type="dxa"/>
            <w:tcBorders>
              <w:top w:val="nil"/>
              <w:left w:val="nil"/>
              <w:bottom w:val="single" w:sz="4" w:space="0" w:color="auto"/>
              <w:right w:val="single" w:sz="4" w:space="0" w:color="auto"/>
            </w:tcBorders>
            <w:shd w:val="clear" w:color="auto" w:fill="C6EFCE"/>
            <w:noWrap/>
          </w:tcPr>
          <w:p w:rsidR="00B0093E" w:rsidRDefault="00762CA6">
            <w:pPr>
              <w:spacing w:before="120" w:after="120" w:line="240" w:lineRule="auto"/>
              <w:jc w:val="both"/>
              <w:rPr>
                <w:rFonts w:eastAsia="Times New Roman" w:cs="Calibri"/>
                <w:noProof/>
                <w:color w:val="006100"/>
                <w:sz w:val="18"/>
                <w:szCs w:val="18"/>
              </w:rPr>
            </w:pPr>
            <w:r>
              <w:rPr>
                <w:noProof/>
                <w:color w:val="006100"/>
                <w:sz w:val="18"/>
                <w:szCs w:val="18"/>
              </w:rPr>
              <w:t xml:space="preserve">Kansallisen menettelyrekisterin (Diavlos, lain 4727/2020 90 §:n mukaisesti) ja yhdistäminen gov.gr-portaaliin; ja </w:t>
            </w:r>
            <w:r>
              <w:rPr>
                <w:noProof/>
                <w:color w:val="006100"/>
                <w:sz w:val="18"/>
                <w:szCs w:val="18"/>
              </w:rPr>
              <w:t>yksinkertaistamistoimien ensimmäisen vaiheen loppuun saattaminen nelivuotisen prosessin yksinkertaistamista koskevan kansallisen ohjelman aikataulun mukaisesti, mukaan lukien julkisten hankintamenettelyjen digitalisointi.</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97</w:t>
            </w:r>
          </w:p>
        </w:tc>
        <w:tc>
          <w:tcPr>
            <w:tcW w:w="19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w:t>
            </w:r>
            <w:r>
              <w:rPr>
                <w:noProof/>
                <w:color w:val="006100"/>
                <w:sz w:val="18"/>
                <w:szCs w:val="18"/>
              </w:rPr>
              <w:t>16929_Kohti julkishallinnon asiakaslähtöisiä palveluja yksinkertaistamalla ja parantamalla prosesseja, järjestelmien parannuksia ja EU:n strategioiden ja politiikkojen noudattamista</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Prosessin yksinkertaistamista koskevan kansallisen suunnitelma</w:t>
            </w:r>
            <w:r>
              <w:rPr>
                <w:noProof/>
                <w:color w:val="006100"/>
                <w:sz w:val="18"/>
                <w:szCs w:val="18"/>
              </w:rPr>
              <w:t>n täytäntöönpano (toinen vaihe)</w:t>
            </w:r>
          </w:p>
        </w:tc>
        <w:tc>
          <w:tcPr>
            <w:tcW w:w="236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vastaavan ministeriön raportti, jossa vahvistetaan prosessin yksinkertaistamista koskevan kansallisen ohjelman mukaisten yksinkertaistamistoimien toisen vaiheen loppuun saattaminen </w:t>
            </w:r>
          </w:p>
        </w:tc>
        <w:tc>
          <w:tcPr>
            <w:tcW w:w="135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8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14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rPr>
              <w:t>Saat</w:t>
            </w:r>
            <w:r>
              <w:rPr>
                <w:noProof/>
              </w:rPr>
              <w:t>etaan päätökseen yksinkertaistamistoimien toinen vaihe nelivuotisen prosessin yksinkertaistamista koskevan kansallisen ohjelman aikataulun mukaisesti, mukaan lukien vaikutustenarviointiprosessien digitalisointi, yksityisten elinkeinonharjoittajien toiminna</w:t>
            </w:r>
            <w:r>
              <w:rPr>
                <w:noProof/>
              </w:rPr>
              <w:t>n aloittaminen, kansalaisten ”elämätapahtumiin” liittyvien menettelyjen yksinkertaistaminen, mukaan lukien syntyminen, kuolema ja avioero, lakimiehiin liittyvien oikeusmenettelyjen yksinkertaistaminen, tuomioistuinten päätökset, digitaaliset allekirjoituks</w:t>
            </w:r>
            <w:r>
              <w:rPr>
                <w:noProof/>
              </w:rPr>
              <w:t xml:space="preserve">et, tuomioistuinten antamat todistukset, kuljettajien ajokortin uusiminen ja </w:t>
            </w:r>
            <w:hyperlink r:id="rId94" w:history="1">
              <w:r>
                <w:rPr>
                  <w:noProof/>
                  <w:color w:val="0000FF"/>
                  <w:sz w:val="18"/>
                  <w:szCs w:val="18"/>
                  <w:u w:val="single"/>
                </w:rPr>
                <w:t>myfoto.gov.gr</w:t>
              </w:r>
            </w:hyperlink>
            <w:r>
              <w:rPr>
                <w:noProof/>
              </w:rPr>
              <w:t>:n käyttö sekä asiakirjojen sähköinen jakelu julkishallinnossa (osoitettu yleiskirjeillä).</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98</w:t>
            </w:r>
          </w:p>
        </w:tc>
        <w:tc>
          <w:tcPr>
            <w:tcW w:w="19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w:t>
            </w:r>
            <w:r>
              <w:rPr>
                <w:noProof/>
                <w:color w:val="006100"/>
                <w:sz w:val="18"/>
                <w:szCs w:val="18"/>
              </w:rPr>
              <w:t>16782_Kansallisten julkisten organisaatioiden välisessä tietojenvaihdossa käytettävien rekisterien, järjestelmien ja palvelujen yhteenliittäminen ja yhteentoimivuus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Rekisterien yhteen-liittämisen ja yhteen-toimivuuden sääntelyperusta</w:t>
            </w:r>
          </w:p>
        </w:tc>
        <w:tc>
          <w:tcPr>
            <w:tcW w:w="236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vastaavan ministeriön raportti, jossa vahvistetaan lakimuutosten hyväksyminen, mukaan lukien kaiken siihen liittyvän, rekisterien ja palvelujen yhteenliittämistä ja yhteentoimivuutta koskevan primaari- ja sekundaarilainsäädännön </w:t>
            </w:r>
            <w:r>
              <w:rPr>
                <w:noProof/>
                <w:color w:val="006100"/>
                <w:sz w:val="18"/>
                <w:szCs w:val="18"/>
              </w:rPr>
              <w:t>hyväksyminen</w:t>
            </w:r>
          </w:p>
        </w:tc>
        <w:tc>
          <w:tcPr>
            <w:tcW w:w="135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8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145" w:type="dxa"/>
            <w:tcBorders>
              <w:top w:val="nil"/>
              <w:left w:val="nil"/>
              <w:bottom w:val="single" w:sz="4" w:space="0" w:color="auto"/>
              <w:right w:val="single" w:sz="4" w:space="0" w:color="auto"/>
            </w:tcBorders>
            <w:shd w:val="clear" w:color="auto" w:fill="C6EFCE"/>
            <w:noWrap/>
          </w:tcPr>
          <w:p w:rsidR="00B0093E" w:rsidRDefault="00762CA6">
            <w:pPr>
              <w:spacing w:before="120" w:after="120" w:line="240" w:lineRule="auto"/>
              <w:jc w:val="both"/>
              <w:rPr>
                <w:rFonts w:eastAsia="Times New Roman" w:cs="Calibri"/>
                <w:noProof/>
                <w:color w:val="006100"/>
                <w:sz w:val="18"/>
                <w:szCs w:val="18"/>
              </w:rPr>
            </w:pPr>
            <w:r>
              <w:rPr>
                <w:noProof/>
                <w:color w:val="006100"/>
                <w:sz w:val="18"/>
                <w:szCs w:val="18"/>
              </w:rPr>
              <w:t>Hyväksytään sääntelymuutoksia, joilla luodaan laaja sääntelyperusta kansallisten julkisten organisaatioiden välisessä tietojenvaihdossa käytettävien rekisterien ja palvelujen yhteenliittämiselle ja yhteentoimivuudelle uusien euroopp</w:t>
            </w:r>
            <w:r>
              <w:rPr>
                <w:noProof/>
                <w:color w:val="006100"/>
                <w:sz w:val="18"/>
                <w:szCs w:val="18"/>
              </w:rPr>
              <w:t>alaisten yhteentoimivuusperiaatteiden mukaisesti. Digitaalisesta hallinnosta vastaavan ministeriön raportointi prosessien yksinkertaistamista ja parantamista, järjestelmien parantamista ja eurooppalaisten strategioiden ja politiikkojen noudattamista koskev</w:t>
            </w:r>
            <w:r>
              <w:rPr>
                <w:noProof/>
                <w:color w:val="006100"/>
                <w:sz w:val="18"/>
                <w:szCs w:val="18"/>
              </w:rPr>
              <w:t>an toimintasuunnitelman onnistuneesta täytäntöönpanosta.</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99</w:t>
            </w:r>
          </w:p>
        </w:tc>
        <w:tc>
          <w:tcPr>
            <w:tcW w:w="193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6 - 2.2. Nykyaikaistaminen – 16929_Kohti julkishallinnon asiakaslähtöisiä palveluja yksinkertaistamalla ja parantamalla prosesseja, järjestelmien parannuksia ja EU:n strategioiden ja </w:t>
            </w:r>
            <w:r>
              <w:rPr>
                <w:noProof/>
                <w:color w:val="006100"/>
                <w:sz w:val="18"/>
                <w:szCs w:val="18"/>
              </w:rPr>
              <w:t>politiikkojen noudattamista</w:t>
            </w:r>
          </w:p>
        </w:tc>
        <w:tc>
          <w:tcPr>
            <w:tcW w:w="9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Hallinnollisen rasituksen keventämistä koskevan strategian ja kansallisen prosessin yksinkertaistamista koskevan suunnitelman loppuun saattaminen (loppuvaihe)</w:t>
            </w:r>
          </w:p>
        </w:tc>
        <w:tc>
          <w:tcPr>
            <w:tcW w:w="236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vastaavan ministeriön raportti, jossa vahvistetaan, että kaikki prosessin yksinkertaistamista ja digitalisointia koskevan kansallisen ohjelman nelivuotisen toimintasuunnitelman mukaiset työt on saatettu päätökseen, </w:t>
            </w:r>
          </w:p>
        </w:tc>
        <w:tc>
          <w:tcPr>
            <w:tcW w:w="135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8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145"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Ha</w:t>
            </w:r>
            <w:r>
              <w:rPr>
                <w:noProof/>
                <w:color w:val="006100"/>
                <w:sz w:val="18"/>
                <w:szCs w:val="18"/>
              </w:rPr>
              <w:t>llinnollisen rasituksen keventämistä ja asiakaskeskeisten palvelujen luomista julkishallinnossa koskevan keskipitkän aikavälin strategian täysimääräinen täytäntöönpano sekä prosessien, järjestelmien parantamisen ja EU:n strategioiden ja politiikkojen nouda</w:t>
            </w:r>
            <w:r>
              <w:rPr>
                <w:noProof/>
                <w:color w:val="006100"/>
                <w:sz w:val="18"/>
                <w:szCs w:val="18"/>
              </w:rPr>
              <w:t>ttamisen parantaminen saattamalla päätökseen nelivuotisen prosessin yksinkertaistamista koskevan kansallisen ohjelman viimeisen vaiheen. Tähän sisältyy myös sääntelyn vaikutusten seurantaryhmän ja kansallisen menettelyrekisterin (Diavlos) perustaminen koko</w:t>
            </w:r>
            <w:r>
              <w:rPr>
                <w:noProof/>
                <w:color w:val="006100"/>
                <w:sz w:val="18"/>
                <w:szCs w:val="18"/>
              </w:rPr>
              <w:t>naisuudessaan (todennettu digitaalisesta hallinnosta vastaavan ministeriön raportissa).</w:t>
            </w:r>
          </w:p>
        </w:tc>
      </w:tr>
    </w:tbl>
    <w:p w:rsidR="00B0093E" w:rsidRDefault="00B0093E">
      <w:pPr>
        <w:spacing w:before="120" w:after="120" w:line="240" w:lineRule="auto"/>
        <w:jc w:val="both"/>
        <w:rPr>
          <w:rFonts w:ascii="Times New Roman" w:hAnsi="Times New Roman" w:cs="Times New Roman"/>
          <w:noProof/>
          <w:sz w:val="24"/>
        </w:rPr>
      </w:pPr>
    </w:p>
    <w:p w:rsidR="00B0093E" w:rsidRDefault="00B0093E">
      <w:pPr>
        <w:spacing w:before="120" w:after="120" w:line="240" w:lineRule="auto"/>
        <w:jc w:val="both"/>
        <w:rPr>
          <w:rFonts w:ascii="Times New Roman" w:hAnsi="Times New Roman" w:cs="Times New Roman"/>
          <w:noProof/>
          <w:sz w:val="24"/>
        </w:rPr>
        <w:sectPr w:rsidR="00B0093E">
          <w:headerReference w:type="even" r:id="rId95"/>
          <w:headerReference w:type="default" r:id="rId96"/>
          <w:footerReference w:type="even" r:id="rId97"/>
          <w:footerReference w:type="default" r:id="rId98"/>
          <w:headerReference w:type="first" r:id="rId99"/>
          <w:footerReference w:type="first" r:id="rId100"/>
          <w:pgSz w:w="16839" w:h="11907" w:orient="landscape"/>
          <w:pgMar w:top="720" w:right="720" w:bottom="720" w:left="720" w:header="709" w:footer="709" w:gutter="0"/>
          <w:cols w:space="720"/>
          <w:docGrid w:linePitch="360"/>
        </w:sect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9: Aloitteet, jotka liittyvät tehostettuihin asiakaslähtöisiin ja turvallisiin digitaalisiin palveluihin,</w:t>
      </w:r>
      <w:r>
        <w:rPr>
          <w:rFonts w:ascii="Cambria" w:hAnsi="Cambria"/>
          <w:noProof/>
          <w:color w:val="365F91"/>
          <w:sz w:val="24"/>
        </w:rPr>
        <w:t xml:space="preserve"> joissa hyödynnetään yhteentoimivia tietotekniikkajärjestelmiä ja avoimen datan politiikkaa</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Tähän ryhmään kuuluvat seuraavat toimenpiteet:</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Asiakassuhteiden hallinta julkisyhteisöille (tunniste: 16810)</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Julkishallinnon keskitettyjen palvelupisteiden nyky</w:t>
      </w:r>
      <w:r>
        <w:rPr>
          <w:rFonts w:ascii="Times New Roman" w:hAnsi="Times New Roman"/>
          <w:noProof/>
          <w:sz w:val="24"/>
        </w:rPr>
        <w:t>aikaistaminen edelleen (tunniste: 16780)</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Uusi julkisten hankintojen järjestelmä (tunniste: 16736)</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Ulkoministeriön digitalisaatio (tunniste: 16742)</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Asevelvollisten digitaalisten taitojen kehittämisohjelmat (tunniste: 16826)</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Kreikan kansallisen matka</w:t>
      </w:r>
      <w:r>
        <w:rPr>
          <w:rFonts w:ascii="Times New Roman" w:hAnsi="Times New Roman"/>
          <w:noProof/>
          <w:sz w:val="24"/>
        </w:rPr>
        <w:t>ilujärjestön digitalisaatio (tunniste: 16791)</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Kyberturvallisuusstrategia ja -toimet julkiselle sektorille ja kansallisen kyberturvallisuusoperaatiokeskuksen perustaminen (tunniste: 16823)</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Yhteentoimivuus- ja verkkopalvelujen kehittäminen (tunniste: 167</w:t>
      </w:r>
      <w:r>
        <w:rPr>
          <w:rFonts w:ascii="Times New Roman" w:hAnsi="Times New Roman"/>
          <w:noProof/>
          <w:sz w:val="24"/>
        </w:rPr>
        <w:t>79)</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Julkisen sektorin tietojärjestelmien dataluokitustutkimukset (tunniste: 16965)</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Seuraavan sukupolven yhteentoimivuuskeskus (KED) (tunniste: 16964)</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Sähköiset rekisterit (tunniste: 16824)</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Kehittyneiden turvallisuuspalvelujen tarjoaminen kriittises</w:t>
      </w:r>
      <w:r>
        <w:rPr>
          <w:rFonts w:ascii="Times New Roman" w:hAnsi="Times New Roman"/>
          <w:noProof/>
          <w:sz w:val="24"/>
        </w:rPr>
        <w:t>sä G-pilvipalveluinfrastruktuurissa (tunniste: 16823)</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Matkailurekisteri e-MHTE (tunniste: 16785)</w:t>
      </w:r>
    </w:p>
    <w:p w:rsidR="00B0093E" w:rsidRDefault="00762CA6">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Keskitetty asiakirjahallintajärjestelmä (tunniste: 16738)</w:t>
      </w:r>
    </w:p>
    <w:tbl>
      <w:tblPr>
        <w:tblW w:w="0" w:type="auto"/>
        <w:tblInd w:w="113" w:type="dxa"/>
        <w:tblLook w:val="04A0" w:firstRow="1" w:lastRow="0" w:firstColumn="1" w:lastColumn="0" w:noHBand="0" w:noVBand="1"/>
      </w:tblPr>
      <w:tblGrid>
        <w:gridCol w:w="902"/>
        <w:gridCol w:w="2105"/>
        <w:gridCol w:w="1304"/>
        <w:gridCol w:w="1758"/>
        <w:gridCol w:w="1749"/>
        <w:gridCol w:w="1012"/>
        <w:gridCol w:w="847"/>
        <w:gridCol w:w="826"/>
        <w:gridCol w:w="1120"/>
        <w:gridCol w:w="585"/>
        <w:gridCol w:w="3294"/>
      </w:tblGrid>
      <w:tr w:rsidR="00B0093E">
        <w:trPr>
          <w:trHeight w:val="939"/>
          <w:tblHeader/>
        </w:trPr>
        <w:tc>
          <w:tcPr>
            <w:tcW w:w="11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227"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b/>
                <w:noProof/>
                <w:sz w:val="18"/>
                <w:szCs w:val="18"/>
              </w:rPr>
              <w:t xml:space="preserve"> </w:t>
            </w:r>
            <w:r>
              <w:rPr>
                <w:rFonts w:ascii="Times New Roman" w:hAnsi="Times New Roman"/>
                <w:b/>
                <w:noProof/>
                <w:sz w:val="18"/>
                <w:szCs w:val="18"/>
              </w:rPr>
              <w:br/>
            </w:r>
            <w:r>
              <w:rPr>
                <w:rFonts w:ascii="Times New Roman" w:hAnsi="Times New Roman"/>
                <w:b/>
                <w:bCs/>
                <w:noProof/>
                <w:sz w:val="18"/>
                <w:szCs w:val="18"/>
              </w:rPr>
              <w:t>(välitavoitteiden osalta)</w:t>
            </w:r>
          </w:p>
        </w:tc>
        <w:tc>
          <w:tcPr>
            <w:tcW w:w="2773"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b/>
                <w:noProof/>
                <w:sz w:val="18"/>
                <w:szCs w:val="18"/>
              </w:rPr>
              <w:t xml:space="preserve"> </w:t>
            </w:r>
            <w:r>
              <w:rPr>
                <w:rFonts w:ascii="Times New Roman" w:hAnsi="Times New Roman"/>
                <w:b/>
                <w:noProof/>
                <w:sz w:val="18"/>
                <w:szCs w:val="18"/>
              </w:rPr>
              <w:br/>
            </w:r>
            <w:r>
              <w:rPr>
                <w:rFonts w:ascii="Times New Roman" w:hAnsi="Times New Roman"/>
                <w:b/>
                <w:bCs/>
                <w:noProof/>
                <w:sz w:val="18"/>
                <w:szCs w:val="18"/>
              </w:rPr>
              <w:t>(tavoitteiden osalta)</w:t>
            </w:r>
          </w:p>
        </w:tc>
        <w:tc>
          <w:tcPr>
            <w:tcW w:w="1663"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2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trPr>
        <w:tc>
          <w:tcPr>
            <w:tcW w:w="110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227"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945"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1033"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95"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6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694"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20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r>
      <w:tr w:rsidR="00B0093E">
        <w:trPr>
          <w:trHeight w:val="313"/>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100</w:t>
            </w:r>
          </w:p>
        </w:tc>
        <w:tc>
          <w:tcPr>
            <w:tcW w:w="187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16779_Yhteentoimivuus- ja verkkopalvelujen kehittäminen</w:t>
            </w:r>
          </w:p>
        </w:tc>
        <w:tc>
          <w:tcPr>
            <w:tcW w:w="112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Yhteentoimivuus- ja verkkopalvelujen kehittämishanketta koskevan sopimuksen tekeminen</w:t>
            </w:r>
          </w:p>
        </w:tc>
        <w:tc>
          <w:tcPr>
            <w:tcW w:w="152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94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Yhteentoimivuutt</w:t>
            </w:r>
            <w:r>
              <w:rPr>
                <w:noProof/>
                <w:color w:val="006100"/>
                <w:sz w:val="18"/>
                <w:szCs w:val="18"/>
              </w:rPr>
              <w:t xml:space="preserve">a ja verkkopalvelujen kehittämishanketta koskevan sopimuksen tekeminen.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Ministeriö / julkisen sektorin tietojärjestelmien pääsihteeristö / tietoyhteiskunnan valvontaviranomainen käsittelee kaikki toimitetut ehdotukset ja vahvistaa, vastaavatko hakemukset </w:t>
            </w:r>
            <w:r>
              <w:rPr>
                <w:noProof/>
                <w:color w:val="006100"/>
                <w:sz w:val="18"/>
                <w:szCs w:val="18"/>
              </w:rPr>
              <w:t>asianmukaisesti RFP:n vaatimuksia.     Kun sopiva toimeksisaaja on valittu, ministeriö tekee sopimuksen, jossa määritellään molempien toimeksisaajien velvollisuudet, tehtävät ja vastuualueet.</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101</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16810_CRM julkisyhteisöjen </w:t>
            </w:r>
            <w:r>
              <w:rPr>
                <w:noProof/>
                <w:color w:val="006100"/>
                <w:sz w:val="18"/>
                <w:szCs w:val="18"/>
              </w:rPr>
              <w:t>osalta</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CRM:n hankintasopimus julkisyhteisöille </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CRM:tä koskevan hankintasopimuksen tekeminen julkisyhteisöjä varten. Ministeriö/julkisen sektorin tietojärjestelmien pääsihteeristö/tietoyhteiskunnan valvontaviranomainen tutkii kaikki toimitetut ehdotukset ja vahvistaa, vastaavatko hakemukset asianmukaise</w:t>
            </w:r>
            <w:r>
              <w:rPr>
                <w:noProof/>
                <w:color w:val="006100"/>
                <w:sz w:val="18"/>
                <w:szCs w:val="18"/>
              </w:rPr>
              <w:t xml:space="preserve">sti RFP:n vaatimuksia.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Kun sopiva ulkopuolinen kumppani on valittu, ministeriö tekee sopimuksen, jossa määritellään molempien toimeksisaajien velvollisuudet, tehtävät ja vastuualueet.</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102</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16780_Julkishallinnon keskitettyjen</w:t>
            </w:r>
            <w:r>
              <w:rPr>
                <w:noProof/>
                <w:color w:val="006100"/>
                <w:sz w:val="18"/>
                <w:szCs w:val="18"/>
              </w:rPr>
              <w:t xml:space="preserve"> palvelupisteiden nykyaikaistaminen</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Sopimus julkishallinnon keskitettyjen asiointipisteiden nykyaikaistamisen jatkamisesta</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Julkishallinnon keskitettyjen palvelupisteiden nykyaikaistamista koskevan sopimuksen tekeminen. </w:t>
            </w:r>
          </w:p>
          <w:p w:rsidR="00B0093E" w:rsidRDefault="00762CA6">
            <w:pPr>
              <w:spacing w:after="0" w:line="240" w:lineRule="auto"/>
              <w:rPr>
                <w:rFonts w:eastAsia="Times New Roman" w:cs="Calibri"/>
                <w:noProof/>
                <w:color w:val="006100"/>
                <w:sz w:val="18"/>
                <w:szCs w:val="18"/>
              </w:rPr>
            </w:pPr>
            <w:r>
              <w:rPr>
                <w:noProof/>
                <w:color w:val="006100"/>
                <w:sz w:val="18"/>
                <w:szCs w:val="18"/>
              </w:rPr>
              <w:t>Ministeriön / julkisen sektorin tietojärjestelmien pääsihteeristön / tietoyhteiskunnan SA:n on varmistettava, että kaikki toimitetut ehdotukset tutkitaan, ja v</w:t>
            </w:r>
            <w:r>
              <w:rPr>
                <w:noProof/>
                <w:color w:val="006100"/>
                <w:sz w:val="18"/>
                <w:szCs w:val="18"/>
              </w:rPr>
              <w:t>ahvistettava, vastaavatko hakemukset asianmukaisesti RFP:n vaatimuksia.    Kun sopiva ulkopuolinen kumppani on valittu, ministeriö tekee sopimuksen, jossa määritellään molempien toimeksisaajien velvollisuudet, tehtävät ja vastuualueet.</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103</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w:t>
            </w:r>
            <w:r>
              <w:rPr>
                <w:noProof/>
                <w:color w:val="006100"/>
                <w:sz w:val="18"/>
                <w:szCs w:val="18"/>
              </w:rPr>
              <w:t>Nykyaikaistaminen – 16736_Uusi julkisten hankintojen järjestelmä</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Hankintasopimuksen tekeminen uudesta julkisten hankintojen järjestelmästä</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Julkisia hankintoja koskevan uuden järjestelmän </w:t>
            </w:r>
            <w:r>
              <w:rPr>
                <w:noProof/>
                <w:color w:val="006100"/>
                <w:sz w:val="18"/>
                <w:szCs w:val="18"/>
              </w:rPr>
              <w:t>hankintasopimuksen tekeminen. Ministeriön/julkisen sektorin tietojärjestelmien pääsihteeristön/tietoyhteiskunnan SA:n on tutkittava kaikki jätetyt ehdotukset ja vahvistettava, vastaavatko hakemukset asianmukaisesti avoimuusrekisterin vaatimuksia.     Kun s</w:t>
            </w:r>
            <w:r>
              <w:rPr>
                <w:noProof/>
                <w:color w:val="006100"/>
                <w:sz w:val="18"/>
                <w:szCs w:val="18"/>
              </w:rPr>
              <w:t>opiva toimeksisaaja on valittu, asiasta vastaava elin tekee sopimuksen, jossa määritellään molempien toimeksisaajien velvollisuudet, tehtävät ja vastuualueet.</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104</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16823_Kyberturvallisuusstrategia ja -toimet julkiselle </w:t>
            </w:r>
            <w:r>
              <w:rPr>
                <w:noProof/>
                <w:color w:val="006100"/>
                <w:sz w:val="18"/>
                <w:szCs w:val="18"/>
              </w:rPr>
              <w:t>sektorille sekä edistyneet turvallisuuspalvelut kansallisille elintärkeille infrastruktuureille</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Kyberturvallisuusstrategiaa koskevan hankintasopimuksen tekeminen</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Hankintasopimuksen tekeminen </w:t>
            </w:r>
            <w:r>
              <w:rPr>
                <w:noProof/>
                <w:color w:val="006100"/>
                <w:sz w:val="18"/>
                <w:szCs w:val="18"/>
              </w:rPr>
              <w:t>julkisen sektorin kyberturvallisuusstrategiasta ja -toimista sekä kansallisten elintärkeiden infrastruktuurien kehittyneistä turvallisuuspalveluista. Kun sopiva ulkopuolinen konsultti on valittu, ministeriö tekee sopimuksen, jossa määritellään molempien to</w:t>
            </w:r>
            <w:r>
              <w:rPr>
                <w:noProof/>
                <w:color w:val="006100"/>
                <w:sz w:val="18"/>
                <w:szCs w:val="18"/>
              </w:rPr>
              <w:t>imeksisaajien velvollisuudet, tehtävät ja vastuualueet.</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105</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16826_digitaalisen osaamisen kehittämisohjelmat asevelvollisille</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Sopimuksen tekeminen asevelvollisten digitaalisten taitojen kehittämisohjelmista</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w:t>
            </w:r>
            <w:r>
              <w:rPr>
                <w:noProof/>
                <w:color w:val="006100"/>
                <w:sz w:val="18"/>
                <w:szCs w:val="18"/>
              </w:rPr>
              <w:t xml:space="preserve"> hankintasopimuksen tekemisestä</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Sopimuksen tekeminen asevelvollisten digitaalisten taitojen kehittämisohjelmista. Ministeriö tutkii kaikki jätetyt ehdotukset ja vahvistaa, vastaavatko hakemukset asianmukaisesti RFP:n vaatimuksia.     Kun sopiva</w:t>
            </w:r>
            <w:r>
              <w:rPr>
                <w:noProof/>
                <w:color w:val="006100"/>
                <w:sz w:val="18"/>
                <w:szCs w:val="18"/>
              </w:rPr>
              <w:t xml:space="preserve"> ulkopuolinen kumppani on valittu, ministeriö tekee sopimuksen, jossa määritellään molempien toimeksisaajien velvollisuudet, tehtävät ja vastuualueet.</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106</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16742_Ulkoministeriön digitalisaatio</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Ulkoministeriön </w:t>
            </w:r>
            <w:r>
              <w:rPr>
                <w:noProof/>
                <w:color w:val="006100"/>
                <w:sz w:val="18"/>
                <w:szCs w:val="18"/>
              </w:rPr>
              <w:t>digitalisaatiota koskevan hankintasopimuksen tekeminen</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Ulkoministeriön digitalisaatiota koskevan sopimuksen tekeminen. Ministeriö tutkii kaikki jätetyt ehdotukset ja vahvistaa, vastaavatko hakemukset </w:t>
            </w:r>
            <w:r>
              <w:rPr>
                <w:noProof/>
                <w:color w:val="006100"/>
                <w:sz w:val="18"/>
                <w:szCs w:val="18"/>
              </w:rPr>
              <w:t>asianmukaisesti RFP:n vaatimuksia.     Kun sopiva ulkopuolinen kumppani on valittu, ministeriö tekee sopimuksen, jossa määritellään molempien toimeksisaajien velvollisuudet, tehtävät ja vastuualueet.</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107</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16824_ERegistries</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Sähköisten rekisterien hankintasopimus</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Sähköisiä rekistereitä koskevan hankkeen hankintasopimuksen tekeminen. Ministeriö / julkisen sektorin tietojärjestelmien pääsihteeristö / </w:t>
            </w:r>
            <w:r>
              <w:rPr>
                <w:noProof/>
                <w:color w:val="006100"/>
                <w:sz w:val="18"/>
                <w:szCs w:val="18"/>
              </w:rPr>
              <w:t>tietoyhteiskunnan valvontaviranomainen tutkii kaikki toimitetut ehdotukset ja vahvistaa, vastaavatko hakemukset asianmukaisesti RFP:n vaatimuksia.   Kun sopiva ulkopuolinen kumppani on valittu, ministeriö tekee sopimuksen, jossa määritetään molempien toime</w:t>
            </w:r>
            <w:r>
              <w:rPr>
                <w:noProof/>
                <w:color w:val="006100"/>
                <w:sz w:val="18"/>
                <w:szCs w:val="18"/>
              </w:rPr>
              <w:t>ksisaajien velvollisuudet, tehtävät ja vastuualueet.</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108</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16779_Yhteentoimivuus- ja verkkopalvelujen kehittäminen</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Yhteentoimivuus- ja verkkopalvelujen kehittämistä koskevan hankkeen loppuun saattaminen </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Digitaalisesta hallinnosta vastaavan ministeriön raportti, jossa dokumentoidaan järjestelmien yhteentoimivuutta ja avoimen datan loppuunsaattamista koskeva hanke</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Hankkeen loppuun saattaminen: Yhteentoimivuus ja verkkopalvelujen kehittäminen.</w:t>
            </w:r>
          </w:p>
          <w:p w:rsidR="00B0093E" w:rsidRDefault="00762CA6">
            <w:pPr>
              <w:spacing w:after="0" w:line="240" w:lineRule="auto"/>
              <w:rPr>
                <w:rFonts w:eastAsia="Times New Roman" w:cs="Calibri"/>
                <w:noProof/>
                <w:color w:val="006100"/>
                <w:sz w:val="18"/>
                <w:szCs w:val="18"/>
              </w:rPr>
            </w:pPr>
            <w:r>
              <w:rPr>
                <w:noProof/>
                <w:color w:val="006100"/>
                <w:sz w:val="18"/>
                <w:szCs w:val="18"/>
              </w:rPr>
              <w:t>Vas</w:t>
            </w:r>
            <w:r>
              <w:rPr>
                <w:noProof/>
                <w:color w:val="006100"/>
                <w:sz w:val="18"/>
                <w:szCs w:val="18"/>
              </w:rPr>
              <w:t>taavat infrastruktuurit ja järjestelmät arvioidaan uusien toimintojen osalta. Hyväksyntä/suorituskyky (stressi jne.)/regressio.     Lisäksi arviointiin on sisällyttävä avoimen datan tavoite. (Yhteentoimivuusrekisterissä määritellyn Kreikan metatietorekiste</w:t>
            </w:r>
            <w:r>
              <w:rPr>
                <w:noProof/>
                <w:color w:val="006100"/>
                <w:sz w:val="18"/>
                <w:szCs w:val="18"/>
              </w:rPr>
              <w:t>rin ja keskusrekisteriportaalin käyttöönotto, joka toimii keskusyhteyspisteenä maan päärekistereihin).</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109</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16810_CRM julkisyhteisöjen osalta</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Julkisyhteisöjä koskevan CRM-hankkeen loppuun saattaminen</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Digitaalihallinnosta vastaavan ministeriön raportti, jossa dokumentoidaan julkishallinnon ja kansalaisten ja yritysten välisten suhteiden koko elinkaaren hallintajärjestelmän täytäntöönpano</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Hankkeen loppuun saattaminen: Julkisyhteisöjen asiakass</w:t>
            </w:r>
            <w:r>
              <w:rPr>
                <w:noProof/>
                <w:color w:val="006100"/>
                <w:sz w:val="18"/>
                <w:szCs w:val="18"/>
              </w:rPr>
              <w:t>uhteiden hallintajärjestelmä, joka mahdollistaa julkishallinnon vuorovaikutuksen hallinnoinnin kansalaisten ja yritysten kanssa.</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110</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16780_Julkishallinnon keskitettyjen palvelupisteiden nykyaikaistaminen</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Keskitettyjen palvelupisteiden loppuun saattaminen</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vastaavan ministeriön loppuraportti, jossa dokumentoidaan julkishallinnon keskitettyjen palvelupisteiden nykyaikaistamisen jatkaminen. </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Hankkeen loppuun saattaminen: </w:t>
            </w:r>
            <w:r>
              <w:rPr>
                <w:noProof/>
                <w:color w:val="006100"/>
                <w:sz w:val="18"/>
                <w:szCs w:val="18"/>
              </w:rPr>
              <w:t>Julkishallinnon keskitettyjen palvelupisteiden nykyaikaistaminen edelleen, mukaan lukien julkishallinnon keskitettyjen palvelupisteiden nykyaikaistaminen edelleen hankkimalla 6 000  tietokonetta/tulostinta/taulutietokonetta, joita käytetään sähköisessä all</w:t>
            </w:r>
            <w:r>
              <w:rPr>
                <w:noProof/>
                <w:color w:val="006100"/>
                <w:sz w:val="18"/>
                <w:szCs w:val="18"/>
              </w:rPr>
              <w:t>ekirjoitusprosessissa, 200 järjestelmää jonojen hallintaa ja älykästä ilmoittamista varten, 1 000 palautepäätettä, arviointialusta sekä mobiilisovellus ja niiden käyttö.</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111</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16965_Tietojen luokitusta koskevat tutkimukset </w:t>
            </w:r>
            <w:r>
              <w:rPr>
                <w:noProof/>
                <w:color w:val="006100"/>
                <w:sz w:val="18"/>
                <w:szCs w:val="18"/>
              </w:rPr>
              <w:t>julkisen sektorin tietojärjestelmiä varten</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Tietojen luokitusta koskevien tutkimusten hankkeen loppuun saattaminen</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vastaavan ministeriön raportti, jossa dokumentoidaan hankkeen valmistuminen. Julkisen sektorin </w:t>
            </w:r>
            <w:r>
              <w:rPr>
                <w:noProof/>
                <w:color w:val="006100"/>
                <w:sz w:val="18"/>
                <w:szCs w:val="18"/>
              </w:rPr>
              <w:t>tietojärjestelmien tietoluokitustutkimukset</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Hankkeen loppuun saattaminen: Julkisen sektorin tietojärjestelmien tietoluokitustutkimukset, joissa tehdään 220 dataluokitustutkimusta. </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112</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w:t>
            </w:r>
            <w:r>
              <w:rPr>
                <w:noProof/>
                <w:color w:val="006100"/>
                <w:sz w:val="18"/>
                <w:szCs w:val="18"/>
              </w:rPr>
              <w:t>16823_Kyberturvallisuusstrategia ja -toimet julkiselle sektorille sekä edistyneet turvallisuuspalvelut kansallisille elintärkeille infrastruktuureille</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Kyberturvallisuusstrategian loppuun saattaminen</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Digitaalihallinnosta vastaavan ministeriön </w:t>
            </w:r>
            <w:r>
              <w:rPr>
                <w:noProof/>
                <w:color w:val="006100"/>
                <w:sz w:val="18"/>
                <w:szCs w:val="18"/>
              </w:rPr>
              <w:t>raportti julkisen hallinnon uuden kyberturvallisuusstrategian ja -politiikkojen täytäntöönpanosta ja siihen sisältyvistä hankkeista</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Saatetaan päätökseen julkishallinnon uutta kyberturvallisuusstrategiaa ja -politiikkaa koskeva hanke, jolla toteu</w:t>
            </w:r>
            <w:r>
              <w:rPr>
                <w:noProof/>
                <w:color w:val="006100"/>
                <w:sz w:val="18"/>
                <w:szCs w:val="18"/>
              </w:rPr>
              <w:t>tetaan muutoksia kyberturvallisuuteen liittyviin prosesseihin ja menettelyihin, ja perustetaan kansallinen turvallisuusoperaatiokeskus (SOC) ja saatetaan se toimintakuntoon uuden strategian mukaisesti.</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113</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16738_Asiakirjojen </w:t>
            </w:r>
            <w:r>
              <w:rPr>
                <w:noProof/>
                <w:color w:val="006100"/>
                <w:sz w:val="18"/>
                <w:szCs w:val="18"/>
              </w:rPr>
              <w:t>hallintaa koskeva keskusjärjestelmä</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Asiakirjojen hallinnan keskusjärjestelmää koskevan hankkeen loppuun saattaminen </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vastaavan ministeriön loppuraportti, jossa dokumentoidaan asiakirjojen keskushallintajärjestelmän </w:t>
            </w:r>
            <w:r>
              <w:rPr>
                <w:noProof/>
                <w:color w:val="006100"/>
                <w:sz w:val="18"/>
                <w:szCs w:val="18"/>
              </w:rPr>
              <w:t>valmiiksi saattaminen</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Asiakirjojen keskushallintajärjestelmän loppuun saattaminen, mukaan lukien 130 000 digitaalista etäallekirjoitusta, joita tukevat sovellukset ja tukipalvelu.</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114</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16742_Ulkoministeriön </w:t>
            </w:r>
            <w:r>
              <w:rPr>
                <w:noProof/>
                <w:color w:val="006100"/>
                <w:sz w:val="18"/>
                <w:szCs w:val="18"/>
              </w:rPr>
              <w:t>digitalisaatio</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Ulkoministeriön digitalisaation loppuun saattaminen</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Ulkoasiainministeriön raportti, jossa esitetään ”ulkoasiainministeriön digitalisointia” koskevan hankkeen kaikkien alahankkeiden loppuun saattaminen</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Ulkoministeriön </w:t>
            </w:r>
            <w:r>
              <w:rPr>
                <w:noProof/>
                <w:color w:val="006100"/>
                <w:sz w:val="18"/>
                <w:szCs w:val="18"/>
              </w:rPr>
              <w:t>digitalisaation loppuun saattaminen, mukaan lukien 1) strategisen ja operatiivisen suunnittelun tukijärjestelmä, 2) diplomaattisten ja historiallisten arkistojen digitalisointi, 3) maailmanlaajuisen digitaalisen tietokeskuksen alusta ja 4) kryptotietotekni</w:t>
            </w:r>
            <w:r>
              <w:rPr>
                <w:noProof/>
                <w:color w:val="006100"/>
                <w:sz w:val="18"/>
                <w:szCs w:val="18"/>
              </w:rPr>
              <w:t>ikan ja televiestinnän turvallisuusinfrastruktuurin nykyaikaistaminen.</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115</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16791_Kreikan valtion matkailutoimiston digitalisaatio</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Kreikan valtion matkailutoimiston digitalisoinnin loppuun saattaminen </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Kreikan </w:t>
            </w:r>
            <w:r>
              <w:rPr>
                <w:noProof/>
                <w:color w:val="006100"/>
                <w:sz w:val="18"/>
                <w:szCs w:val="18"/>
              </w:rPr>
              <w:t>valtion matkailutoimiston raportti, jossa dokumentoidaan Kreikan valtion matkailutoimiston digitalisaatiota koskevan hankkeen valmistuminen</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Kreikan valtion matkailutoimiston digitalisaation loppuun saattaminen, mukaan lukien 1) digitaalisen matk</w:t>
            </w:r>
            <w:r>
              <w:rPr>
                <w:noProof/>
                <w:color w:val="006100"/>
                <w:sz w:val="18"/>
                <w:szCs w:val="18"/>
              </w:rPr>
              <w:t>ailukartan laatiminen, 2) Kreikan kulttuuriperinnön digitaalinen arkisto ja 3) uusi matkailuneuvontajärjestelmä.</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116</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16964_Seuraavan sukupolven yhteentoimivuuskeskus (KED)</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Seuraavan sukupolven </w:t>
            </w:r>
            <w:r>
              <w:rPr>
                <w:noProof/>
                <w:color w:val="006100"/>
                <w:sz w:val="18"/>
                <w:szCs w:val="18"/>
              </w:rPr>
              <w:t>yhteentoimivuuskeskuksen loppuun saattaminen</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Digitaalisesta hallinnosta vastaavan ministeriön raportti, jossa dokumentoidaan KEDiä koskevan hankkeen valmistuminen.</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Seuraavan sukupolven yhteentoimivuuskeskuksen (KED) loppuun saattaminen, mukaan </w:t>
            </w:r>
            <w:r>
              <w:rPr>
                <w:noProof/>
                <w:color w:val="006100"/>
                <w:sz w:val="18"/>
                <w:szCs w:val="18"/>
              </w:rPr>
              <w:t>lukien toteutettavuus- ja turvallisuustutkimuksen loppuun saattaminen, keskuksen perustaminen ja asiaankuuluvien verkkopalvelujen toteuttaminen.</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117</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16785_Matkailurekisteri e-MHTE</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Digitaalisen matkailurekisterin valmiiksi saattaminen </w:t>
            </w:r>
          </w:p>
        </w:tc>
        <w:tc>
          <w:tcPr>
            <w:tcW w:w="152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Matkailuministeriön loppuraportti, jossa dokumentoidaan uuden e-MHTE-alustan toimintavalmius</w:t>
            </w:r>
          </w:p>
        </w:tc>
        <w:tc>
          <w:tcPr>
            <w:tcW w:w="94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Matkailurekisterin e-MHTE-alustan loppuun saattaminen.</w:t>
            </w:r>
          </w:p>
        </w:tc>
      </w:tr>
      <w:tr w:rsidR="00B0093E">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118</w:t>
            </w:r>
          </w:p>
        </w:tc>
        <w:tc>
          <w:tcPr>
            <w:tcW w:w="18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w:t>
            </w:r>
            <w:r>
              <w:rPr>
                <w:noProof/>
                <w:color w:val="006100"/>
                <w:sz w:val="18"/>
                <w:szCs w:val="18"/>
              </w:rPr>
              <w:t>16826_digitaalisen osaamisen kehittämisohjelmat asevelvollisille</w:t>
            </w:r>
          </w:p>
        </w:tc>
        <w:tc>
          <w:tcPr>
            <w:tcW w:w="11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52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4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Koulutettujen varusmiesten lukumäärä</w:t>
            </w:r>
          </w:p>
        </w:tc>
        <w:tc>
          <w:tcPr>
            <w:tcW w:w="10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9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150 000</w:t>
            </w: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Asevelvollisten digitaalitaitojen päivitysohjelman nykyaikaistaminen: 150 000 asevelvollista on koulutettu. </w:t>
            </w:r>
          </w:p>
        </w:tc>
      </w:tr>
      <w:tr w:rsidR="00B0093E">
        <w:trPr>
          <w:trHeight w:val="313"/>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119</w:t>
            </w:r>
          </w:p>
        </w:tc>
        <w:tc>
          <w:tcPr>
            <w:tcW w:w="187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w:t>
            </w:r>
            <w:r>
              <w:rPr>
                <w:noProof/>
                <w:color w:val="006100"/>
                <w:sz w:val="18"/>
                <w:szCs w:val="18"/>
              </w:rPr>
              <w:t>Nykyaikaistaminen – 16736_Uusi julkisten hankintojen järjestelmä</w:t>
            </w:r>
          </w:p>
        </w:tc>
        <w:tc>
          <w:tcPr>
            <w:tcW w:w="112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Uuden julkisia hankintoja koskevan järjestelmän loppuun saattaminen </w:t>
            </w:r>
          </w:p>
        </w:tc>
        <w:tc>
          <w:tcPr>
            <w:tcW w:w="152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vastaavan ministeriön raportti ”Uusi julkisten hankintojen järjestelmä” -hankkeen </w:t>
            </w:r>
            <w:r>
              <w:rPr>
                <w:noProof/>
                <w:color w:val="006100"/>
                <w:sz w:val="18"/>
                <w:szCs w:val="18"/>
              </w:rPr>
              <w:t>täytäntöönpanosta</w:t>
            </w:r>
          </w:p>
        </w:tc>
        <w:tc>
          <w:tcPr>
            <w:tcW w:w="94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Uuden julkisia hankintoja koskevan järjestelmän loppuun saattaminen, mukaan lukien 1) käyttöjärjestelmien versioiden päivittäminen ja uuden järjestelmän integrointi nykyisiin järjestelmiin, 2) uusien järjestelmän toimintojen ja</w:t>
            </w:r>
            <w:r>
              <w:rPr>
                <w:noProof/>
                <w:color w:val="006100"/>
                <w:sz w:val="18"/>
                <w:szCs w:val="18"/>
              </w:rPr>
              <w:t xml:space="preserve"> järjestelmäraporttien saatavuus, 3) kansallisen sähköisen hankintajärjestelmän ja julkisten hankintojen keskusrekisterin (KIMDIS) uudelleensuunnittelun viimeistely, 4) yhteentoimivuuspalvelujen saatavuus gov.gr:n kanssa; ja 5 tietojen salausmekanismin, 6)</w:t>
            </w:r>
            <w:r>
              <w:rPr>
                <w:noProof/>
                <w:color w:val="006100"/>
                <w:sz w:val="18"/>
                <w:szCs w:val="18"/>
              </w:rPr>
              <w:t xml:space="preserve"> virtuaaliavustajan, 7) sähköisen arkistointijärjestelmän, (8) uuden kansallisen keskitetyn terveydenhuollon hankintaviranomaisen (EKAPY) järjestelmän ja 9) rakennustiedon mallintamisjärjestelmän (BIM) käyttöönotto.</w:t>
            </w:r>
          </w:p>
        </w:tc>
      </w:tr>
      <w:tr w:rsidR="00B0093E">
        <w:trPr>
          <w:trHeight w:val="313"/>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120</w:t>
            </w:r>
          </w:p>
        </w:tc>
        <w:tc>
          <w:tcPr>
            <w:tcW w:w="187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w:t>
            </w:r>
            <w:r>
              <w:rPr>
                <w:noProof/>
                <w:color w:val="006100"/>
                <w:sz w:val="18"/>
                <w:szCs w:val="18"/>
              </w:rPr>
              <w:t>16824_ERegistries</w:t>
            </w:r>
          </w:p>
        </w:tc>
        <w:tc>
          <w:tcPr>
            <w:tcW w:w="112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2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Sähköisiä rekistereitä koskevan hankkeen loppuun saattaminen </w:t>
            </w:r>
          </w:p>
        </w:tc>
        <w:tc>
          <w:tcPr>
            <w:tcW w:w="152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Digitaalisesta hallinnosta vastaavan ministeriön raportti, jossa dokumentoidaan sähköisten rekisterien käyttöönotto</w:t>
            </w:r>
          </w:p>
        </w:tc>
        <w:tc>
          <w:tcPr>
            <w:tcW w:w="94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3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9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6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Sähköisten rekisterien loppuun </w:t>
            </w:r>
            <w:r>
              <w:rPr>
                <w:noProof/>
                <w:color w:val="006100"/>
                <w:sz w:val="18"/>
                <w:szCs w:val="18"/>
              </w:rPr>
              <w:t>saattaminen, mukaan lukien niiden yhteentoimivuus ja rajapinnat julkishallinnon olemassa olevien rekisterien kanssa.</w:t>
            </w:r>
          </w:p>
        </w:tc>
      </w:tr>
    </w:tbl>
    <w:p w:rsidR="00B0093E" w:rsidRDefault="00B0093E">
      <w:pPr>
        <w:spacing w:before="120" w:after="120" w:line="240" w:lineRule="auto"/>
        <w:ind w:left="709"/>
        <w:rPr>
          <w:rFonts w:ascii="Times New Roman" w:hAnsi="Times New Roman" w:cs="Times New Roman"/>
          <w:noProof/>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10: Aloitteet, jotka liittyvät uuden teknologian sisällyttämiseen julkishallinnon digitalisaatioon ja nykyaikaistamiseen</w:t>
      </w:r>
    </w:p>
    <w:p w:rsidR="00B0093E" w:rsidRDefault="00762CA6">
      <w:pPr>
        <w:numPr>
          <w:ilvl w:val="0"/>
          <w:numId w:val="43"/>
        </w:numPr>
        <w:spacing w:before="120" w:after="0" w:line="240" w:lineRule="auto"/>
        <w:jc w:val="both"/>
        <w:rPr>
          <w:rFonts w:ascii="Times New Roman" w:hAnsi="Times New Roman" w:cs="Times New Roman"/>
          <w:noProof/>
        </w:rPr>
      </w:pPr>
      <w:r>
        <w:rPr>
          <w:rFonts w:ascii="Times New Roman" w:hAnsi="Times New Roman"/>
          <w:noProof/>
          <w:sz w:val="24"/>
        </w:rPr>
        <w:t xml:space="preserve">Uusien </w:t>
      </w:r>
      <w:r>
        <w:rPr>
          <w:rFonts w:ascii="Times New Roman" w:hAnsi="Times New Roman"/>
          <w:noProof/>
          <w:sz w:val="24"/>
        </w:rPr>
        <w:t>teknologioiden ja suuntauksien sisällyttäminen julkishallinnon kehittyneisiin palveluihin, tehokkuuden ja vaikuttavuuden lisääminen sekä järjestelmien käyttö-, päivitys- ja ylläpitokustannusten pieneneminen (tunniste: 16928)</w:t>
      </w:r>
    </w:p>
    <w:p w:rsidR="00B0093E" w:rsidRDefault="00762CA6">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Älykkäät kaupungit (tunniste: 1</w:t>
      </w:r>
      <w:r>
        <w:rPr>
          <w:rFonts w:ascii="Times New Roman" w:hAnsi="Times New Roman"/>
          <w:noProof/>
          <w:sz w:val="24"/>
        </w:rPr>
        <w:t>6854)</w:t>
      </w:r>
    </w:p>
    <w:p w:rsidR="00B0093E" w:rsidRDefault="00762CA6">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Keskitetyn pilvipalveluinfrastruktuurin ja -palvelujen tarjonta (tunniste: 16853)</w:t>
      </w:r>
    </w:p>
    <w:p w:rsidR="00B0093E" w:rsidRDefault="00762CA6">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Kansallisten tutkimus- ja teknologiainfrastruktuurien (GRNET) pilvipalveluinfrastruktuurin ja -palvelujen parantaminen (tunniste: 16955)</w:t>
      </w:r>
    </w:p>
    <w:p w:rsidR="00B0093E" w:rsidRDefault="00762CA6">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Julkisen sektorin toiminnan jat</w:t>
      </w:r>
      <w:r>
        <w:rPr>
          <w:rFonts w:ascii="Times New Roman" w:hAnsi="Times New Roman"/>
          <w:noProof/>
          <w:sz w:val="24"/>
        </w:rPr>
        <w:t>kuvuuden parantaminen (tunniste: 16287)</w:t>
      </w:r>
    </w:p>
    <w:p w:rsidR="00B0093E" w:rsidRDefault="00762CA6">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Syzefksis II:n laajentaminen (tunniste: 16956)</w:t>
      </w:r>
    </w:p>
    <w:p w:rsidR="00B0093E" w:rsidRDefault="00762CA6">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Datanhallintastrategia ja -toimet julkista sektoria varten (tunniste: 16827)</w:t>
      </w:r>
    </w:p>
    <w:p w:rsidR="00B0093E" w:rsidRDefault="00762CA6">
      <w:pPr>
        <w:numPr>
          <w:ilvl w:val="0"/>
          <w:numId w:val="43"/>
        </w:numPr>
        <w:spacing w:before="120" w:after="120" w:line="240" w:lineRule="auto"/>
        <w:jc w:val="both"/>
        <w:rPr>
          <w:rFonts w:ascii="Times New Roman" w:hAnsi="Times New Roman" w:cs="Times New Roman"/>
          <w:noProof/>
          <w:sz w:val="24"/>
        </w:rPr>
      </w:pPr>
      <w:r>
        <w:rPr>
          <w:rFonts w:ascii="Times New Roman" w:hAnsi="Times New Roman"/>
          <w:noProof/>
          <w:sz w:val="24"/>
        </w:rPr>
        <w:t>Central BI – Data-analytiikka (tunniste: 16842)</w:t>
      </w:r>
    </w:p>
    <w:tbl>
      <w:tblPr>
        <w:tblW w:w="15863" w:type="dxa"/>
        <w:jc w:val="center"/>
        <w:tblLook w:val="04A0" w:firstRow="1" w:lastRow="0" w:firstColumn="1" w:lastColumn="0" w:noHBand="0" w:noVBand="1"/>
      </w:tblPr>
      <w:tblGrid>
        <w:gridCol w:w="1027"/>
        <w:gridCol w:w="2925"/>
        <w:gridCol w:w="1626"/>
        <w:gridCol w:w="2150"/>
        <w:gridCol w:w="2773"/>
        <w:gridCol w:w="1502"/>
        <w:gridCol w:w="966"/>
        <w:gridCol w:w="1006"/>
        <w:gridCol w:w="1387"/>
        <w:gridCol w:w="709"/>
        <w:gridCol w:w="3677"/>
      </w:tblGrid>
      <w:tr w:rsidR="00B0093E">
        <w:trPr>
          <w:trHeight w:val="939"/>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93"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b/>
                <w:noProof/>
                <w:sz w:val="18"/>
                <w:szCs w:val="18"/>
              </w:rPr>
              <w:t xml:space="preserve"> </w:t>
            </w:r>
            <w:r>
              <w:rPr>
                <w:rFonts w:ascii="Times New Roman" w:hAnsi="Times New Roman"/>
                <w:b/>
                <w:noProof/>
                <w:sz w:val="18"/>
                <w:szCs w:val="18"/>
              </w:rPr>
              <w:br/>
            </w:r>
            <w:r>
              <w:rPr>
                <w:rFonts w:ascii="Times New Roman" w:hAnsi="Times New Roman"/>
                <w:b/>
                <w:bCs/>
                <w:noProof/>
                <w:sz w:val="18"/>
                <w:szCs w:val="18"/>
              </w:rPr>
              <w:t>(välitavoitteiden osalta)</w:t>
            </w:r>
          </w:p>
        </w:tc>
        <w:tc>
          <w:tcPr>
            <w:tcW w:w="3206"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b/>
                <w:noProof/>
                <w:sz w:val="18"/>
                <w:szCs w:val="18"/>
              </w:rPr>
              <w:t xml:space="preserve"> </w:t>
            </w:r>
            <w:r>
              <w:rPr>
                <w:rFonts w:ascii="Times New Roman" w:hAnsi="Times New Roman"/>
                <w:b/>
                <w:noProof/>
                <w:sz w:val="18"/>
                <w:szCs w:val="18"/>
              </w:rPr>
              <w:br/>
            </w:r>
            <w:r>
              <w:rPr>
                <w:rFonts w:ascii="Times New Roman" w:hAnsi="Times New Roman"/>
                <w:b/>
                <w:bCs/>
                <w:noProof/>
                <w:sz w:val="18"/>
                <w:szCs w:val="18"/>
              </w:rPr>
              <w:t>(tavoitteiden osalta)</w:t>
            </w:r>
          </w:p>
        </w:tc>
        <w:tc>
          <w:tcPr>
            <w:tcW w:w="166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36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253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393"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39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343"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1006"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5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single" w:sz="4" w:space="0" w:color="auto"/>
              <w:left w:val="nil"/>
              <w:bottom w:val="single" w:sz="4" w:space="0" w:color="auto"/>
              <w:right w:val="single" w:sz="4" w:space="0" w:color="auto"/>
            </w:tcBorders>
            <w:shd w:val="clear" w:color="auto" w:fill="BDD7EE"/>
            <w:vAlign w:val="center"/>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367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ind w:right="690"/>
              <w:rPr>
                <w:rFonts w:ascii="Times New Roman" w:eastAsia="Times New Roman" w:hAnsi="Times New Roman" w:cs="Times New Roman"/>
                <w:b/>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121</w:t>
            </w:r>
          </w:p>
        </w:tc>
        <w:tc>
          <w:tcPr>
            <w:tcW w:w="25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16842_Central BI – Data-analytiikka</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Hankintasopimus Central Business Intelligence (BI) </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134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367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 ministeriö tekee sopimuksen </w:t>
            </w:r>
            <w:r>
              <w:rPr>
                <w:noProof/>
                <w:color w:val="006100"/>
                <w:sz w:val="18"/>
                <w:szCs w:val="18"/>
              </w:rPr>
              <w:t>keskitetystä business intelligence -datasta. Analytiikka, joka kattaa</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a)</w:t>
            </w:r>
            <w:r>
              <w:rPr>
                <w:noProof/>
                <w:color w:val="006100"/>
                <w:sz w:val="18"/>
                <w:szCs w:val="18"/>
              </w:rPr>
              <w:tab/>
              <w:t>datanhallintakehyksen kehittämisen ja validoinnin, datahakemiston sekä keskeisten suorituskykyindikaattoreiden määrittämisen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b)</w:t>
            </w:r>
            <w:r>
              <w:rPr>
                <w:noProof/>
                <w:color w:val="006100"/>
                <w:sz w:val="18"/>
                <w:szCs w:val="18"/>
              </w:rPr>
              <w:tab/>
              <w:t>keskeisten suorituskykyindikaattoreiden määrittämisen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c</w:t>
            </w:r>
            <w:r>
              <w:rPr>
                <w:noProof/>
                <w:color w:val="006100"/>
                <w:sz w:val="18"/>
                <w:szCs w:val="18"/>
              </w:rPr>
              <w:t>)</w:t>
            </w:r>
            <w:r>
              <w:rPr>
                <w:noProof/>
                <w:color w:val="006100"/>
                <w:sz w:val="18"/>
                <w:szCs w:val="18"/>
              </w:rPr>
              <w:tab/>
              <w:t>datahakemiston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d)</w:t>
            </w:r>
            <w:r>
              <w:rPr>
                <w:noProof/>
                <w:color w:val="006100"/>
                <w:sz w:val="18"/>
                <w:szCs w:val="18"/>
              </w:rPr>
              <w:tab/>
              <w:t>datanhallintakehyksen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e)</w:t>
            </w:r>
            <w:r>
              <w:rPr>
                <w:noProof/>
                <w:color w:val="006100"/>
                <w:sz w:val="18"/>
                <w:szCs w:val="18"/>
              </w:rPr>
              <w:tab/>
              <w:t>rakennetta koskevan lähestymistavan ja integrointipisteiden suunnittelun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f)</w:t>
            </w:r>
            <w:r>
              <w:rPr>
                <w:noProof/>
                <w:color w:val="006100"/>
                <w:sz w:val="18"/>
                <w:szCs w:val="18"/>
              </w:rPr>
              <w:tab/>
              <w:t>tietovaraston konfiguroinnin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g)</w:t>
            </w:r>
            <w:r>
              <w:rPr>
                <w:noProof/>
                <w:color w:val="006100"/>
                <w:sz w:val="18"/>
                <w:szCs w:val="18"/>
              </w:rPr>
              <w:tab/>
              <w:t>integroimisen back-office-tietojärjestelmiin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h)</w:t>
            </w:r>
            <w:r>
              <w:rPr>
                <w:noProof/>
                <w:color w:val="006100"/>
                <w:sz w:val="18"/>
                <w:szCs w:val="18"/>
              </w:rPr>
              <w:tab/>
              <w:t>business intelligence -raporttien ja -analyysien laatim</w:t>
            </w:r>
            <w:r>
              <w:rPr>
                <w:noProof/>
                <w:color w:val="006100"/>
                <w:sz w:val="18"/>
                <w:szCs w:val="18"/>
              </w:rPr>
              <w:t>isen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i)</w:t>
            </w:r>
            <w:r>
              <w:rPr>
                <w:noProof/>
                <w:color w:val="006100"/>
                <w:sz w:val="18"/>
                <w:szCs w:val="18"/>
              </w:rPr>
              <w:tab/>
              <w:t>business intelligence -ekosysteemin toiminnan tukemisen kolmen vuoden ajan</w:t>
            </w:r>
          </w:p>
          <w:p w:rsidR="00B0093E" w:rsidRDefault="00762CA6">
            <w:pPr>
              <w:spacing w:after="0" w:line="240" w:lineRule="auto"/>
              <w:ind w:left="383" w:hanging="284"/>
              <w:rPr>
                <w:rFonts w:eastAsia="Times New Roman" w:cs="Calibri"/>
                <w:noProof/>
                <w:color w:val="006100"/>
                <w:sz w:val="18"/>
                <w:szCs w:val="18"/>
              </w:rPr>
            </w:pPr>
            <w:r>
              <w:rPr>
                <w:noProof/>
                <w:color w:val="006100"/>
                <w:sz w:val="18"/>
                <w:szCs w:val="18"/>
              </w:rPr>
              <w:t>j)</w:t>
            </w:r>
            <w:r>
              <w:rPr>
                <w:noProof/>
                <w:color w:val="006100"/>
                <w:sz w:val="18"/>
                <w:szCs w:val="18"/>
              </w:rPr>
              <w:tab/>
              <w:t>lisenssimaksut 200 käyttäjälle, joilla on ylimmät hallintoedut ja 200 teratavua muistia.</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122</w:t>
            </w:r>
          </w:p>
        </w:tc>
        <w:tc>
          <w:tcPr>
            <w:tcW w:w="25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16853 keskitetyn pilvipalveluinfrastruktuurin </w:t>
            </w:r>
            <w:r>
              <w:rPr>
                <w:noProof/>
                <w:color w:val="006100"/>
                <w:sz w:val="18"/>
                <w:szCs w:val="18"/>
              </w:rPr>
              <w:t>ja -palvelujen tarjonta)</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Pilvipalvelujen keskitetyn infrastruktuurin ja palvelujen valmiiksi saattaminen</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Digitaalisesta hallinnosta vastaavan ministeriön raportti, jossa dokumentoidaan kaikkien hankkeen osien ja parametrisen infrastruktuurin </w:t>
            </w:r>
            <w:r>
              <w:rPr>
                <w:noProof/>
                <w:color w:val="006100"/>
                <w:sz w:val="18"/>
                <w:szCs w:val="18"/>
              </w:rPr>
              <w:t>valmiiksi saattaminen pilvilaskentakeskusinfrastruktuurin ja -palvelujen hanketta varten.</w:t>
            </w:r>
          </w:p>
        </w:tc>
        <w:tc>
          <w:tcPr>
            <w:tcW w:w="134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367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Kaikkien hankekomponenttien ja parametrisen infrastruktuurin valmiiksi saattaminen keskitettyä pilvipalveluinfrastruktuuria ja -palveluja koskevaa hanketta</w:t>
            </w:r>
            <w:r>
              <w:rPr>
                <w:noProof/>
                <w:color w:val="006100"/>
                <w:sz w:val="18"/>
                <w:szCs w:val="18"/>
              </w:rPr>
              <w:t xml:space="preserve"> varten. Käynnistetään ja otetaan käyttöön pilvipalvelujen keskitetty infrastruktuuri- ja palveluhanke. Uuteen asennettuun infrastruktuuriin kuuluvat virtuaaliset koneet ja vastaavat virtuaaliverkot (infrastruktuuri palveluna), alustat palveluna, kolme reu</w:t>
            </w:r>
            <w:r>
              <w:rPr>
                <w:noProof/>
                <w:color w:val="006100"/>
                <w:sz w:val="18"/>
                <w:szCs w:val="18"/>
              </w:rPr>
              <w:t>nalaskentajärjestelmää, kolme nopeaa valokuituliitäntää sekä koulutus- ja tukipalvelut koko hanketta varten.</w:t>
            </w:r>
          </w:p>
          <w:p w:rsidR="00B0093E" w:rsidRDefault="00762CA6">
            <w:pPr>
              <w:spacing w:after="0" w:line="240" w:lineRule="auto"/>
              <w:rPr>
                <w:rFonts w:eastAsia="Times New Roman" w:cs="Calibri"/>
                <w:noProof/>
                <w:color w:val="006100"/>
                <w:sz w:val="18"/>
                <w:szCs w:val="18"/>
              </w:rPr>
            </w:pPr>
            <w:r>
              <w:rPr>
                <w:noProof/>
                <w:color w:val="006100"/>
                <w:sz w:val="18"/>
                <w:szCs w:val="18"/>
              </w:rPr>
              <w:t>Pilvipalvelujen tarjoajan tietokeskusten on noudatettava tietokeskusten energiatehokkuutta koskevia eurooppalaisia käytännesääntöjä.</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123</w:t>
            </w:r>
          </w:p>
        </w:tc>
        <w:tc>
          <w:tcPr>
            <w:tcW w:w="2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w:t>
            </w:r>
            <w:r>
              <w:rPr>
                <w:noProof/>
                <w:color w:val="006100"/>
                <w:sz w:val="18"/>
                <w:szCs w:val="18"/>
              </w:rPr>
              <w:t>Nykyaikaistaminen – 16854_Älykkäät kaupungit</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Älykkäitä kaupunkeja koskevien hankkeiden täysimääräinen täytäntöönpano</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Niiden kaupunkien lukumäärä, jotka ovat ottaneet käyttöön infrastruktuureja, alustoja ja järjestelmiä, joilla tuetaan niiden siirtymistä älykkäiksi kaupungeiksi </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w:t>
            </w:r>
          </w:p>
          <w:p w:rsidR="00B0093E" w:rsidRDefault="00B0093E">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Toteutetaan hankkeita, joilla helpotetaan 11 kreikkalaisen kaupungin muuttamista älykkäiksi kaupungeiksi investoimalla älykkäisiin kestäviin kaupunkeihin ja infrastruktuureihin sekä kaupunkien kestävää ja vihreää tulevaisuutta tukeviin järjestelmiin. Tälla</w:t>
            </w:r>
            <w:r>
              <w:rPr>
                <w:noProof/>
                <w:color w:val="006100"/>
                <w:sz w:val="18"/>
                <w:szCs w:val="18"/>
              </w:rPr>
              <w:t>isia investointeja ovat muun muassa seuraavat: a) avoimen datan saatavuus ja käyttö, millä on tarkoitus edistää älykkäitä kaupunkeja varten innovatiivisten ratkaisujen ja tuotteiden (kuten esineiden internet-sovellukset, massadata ja pilvipalvelut) markkin</w:t>
            </w:r>
            <w:r>
              <w:rPr>
                <w:noProof/>
                <w:color w:val="006100"/>
                <w:sz w:val="18"/>
                <w:szCs w:val="18"/>
              </w:rPr>
              <w:t>oiden kehittämistä, b) käytössä olevien kiinteiden ja langattomien verkkojen käyttö, c) tutkimus- ja tiedeyhteisön aktivointi täydentävien innovatiivisten toimien järjestämistä varten, d) alustat, joilla on tarkoitus edistää avointen kaupunkien aikasarjoje</w:t>
            </w:r>
            <w:r>
              <w:rPr>
                <w:noProof/>
                <w:color w:val="006100"/>
                <w:sz w:val="18"/>
                <w:szCs w:val="18"/>
              </w:rPr>
              <w:t xml:space="preserve">n luomista ja e) digitaalisen kaksosen luominen sekä muut kansalaiskeskeiset ratkaisut ja palvelut, jotka sisältyvät alusta alkaen kansalaisten osallistamista koskevaan lähestymistapaa (yhteissuunnitteluun perustuvalla tavalla).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124</w:t>
            </w:r>
          </w:p>
        </w:tc>
        <w:tc>
          <w:tcPr>
            <w:tcW w:w="2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highlight w:val="yellow"/>
              </w:rPr>
            </w:pPr>
            <w:r>
              <w:rPr>
                <w:noProof/>
                <w:color w:val="006100"/>
                <w:sz w:val="18"/>
                <w:szCs w:val="18"/>
              </w:rPr>
              <w:t xml:space="preserve">6 - 2.2. </w:t>
            </w:r>
            <w:r>
              <w:rPr>
                <w:noProof/>
                <w:color w:val="006100"/>
                <w:sz w:val="18"/>
                <w:szCs w:val="18"/>
              </w:rPr>
              <w:t>Nykyaikaistaminen – 16928_Uuden teknologian käyttöönotto ja suuntaukset kohti julkishallinnon kehittyneitä palveluja, tehokkuuden ja vaikuttavuuden lisääminen sekä järjestelmien käyttö-, päivitys- ja ylläpitokustannusten alentaminen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p w:rsidR="00B0093E" w:rsidRDefault="00B0093E">
            <w:pPr>
              <w:spacing w:after="0" w:line="240" w:lineRule="auto"/>
              <w:rPr>
                <w:rFonts w:eastAsia="Times New Roman" w:cs="Calibri"/>
                <w:noProof/>
                <w:color w:val="006100"/>
                <w:sz w:val="18"/>
                <w:szCs w:val="18"/>
                <w:lang w:eastAsia="en-GB"/>
              </w:rPr>
            </w:pP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Julkishall</w:t>
            </w:r>
            <w:r>
              <w:rPr>
                <w:noProof/>
                <w:color w:val="006100"/>
                <w:sz w:val="18"/>
                <w:szCs w:val="18"/>
              </w:rPr>
              <w:t>innon uusien teknologioiden loppuun saattaminen</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Digitaalihallinnosta vastaavan ministeriön raportti, jossa esitetään yhteenveto siitä, miten julkishallinnon teknologisten ratkaisujen tarpeisiin ja puutteisiin on puututtu</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Ottaa käyttöön uusia teknologioita ja välineitä, joilla helpotetaan julkishallinnon digitalisaatiota ja nykyaikaistamista, vähennetään toimintakustannuksia ja lisätään tarjottavien julkisten palvelujen arvoa.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125</w:t>
            </w:r>
          </w:p>
        </w:tc>
        <w:tc>
          <w:tcPr>
            <w:tcW w:w="2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w:t>
            </w:r>
            <w:r>
              <w:rPr>
                <w:noProof/>
                <w:color w:val="006100"/>
                <w:sz w:val="18"/>
                <w:szCs w:val="18"/>
              </w:rPr>
              <w:t>16955_Pilvitietokoneinfrastruktuurin ja -palvelujen päivitys kansallisissa tutkimus- ja teknologiainfrastruktuureissa (GRNET)</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GRNET-verkoston loppuun saattaminen </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Loppuraportti, jossa saatetaan päätökseen kaikkien alahankkeiden täytäntöönpano k</w:t>
            </w:r>
            <w:r>
              <w:rPr>
                <w:noProof/>
                <w:color w:val="006100"/>
                <w:sz w:val="18"/>
                <w:szCs w:val="18"/>
              </w:rPr>
              <w:t>ansallisten tutkimus- ja teknologiainfrastruktuurien (GRNET) pilvipalveluinfrastruktuurin ja -palvelujen parantamiseksi digitaalisesta hallinnosta vastaavan ministeriön toimesta</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Kansallisten tutkimus- ja teknologiainfrastruktuurien (GRNET) </w:t>
            </w:r>
            <w:r>
              <w:rPr>
                <w:noProof/>
                <w:color w:val="006100"/>
                <w:sz w:val="18"/>
                <w:szCs w:val="18"/>
              </w:rPr>
              <w:t>pilvipalveluinfrastruktuurin ja -palvelujen parantaminen saatetaan päätökseen.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Supertietokoneen toimittaminen/nykyisen kansallisen järjestelmän osan korvaaminen</w:t>
            </w:r>
          </w:p>
          <w:p w:rsidR="00B0093E" w:rsidRDefault="00762CA6">
            <w:pPr>
              <w:spacing w:after="0" w:line="240" w:lineRule="auto"/>
              <w:rPr>
                <w:rFonts w:eastAsia="Times New Roman" w:cs="Calibri"/>
                <w:noProof/>
                <w:color w:val="006100"/>
                <w:sz w:val="18"/>
                <w:szCs w:val="18"/>
              </w:rPr>
            </w:pPr>
            <w:r>
              <w:rPr>
                <w:noProof/>
                <w:color w:val="006100"/>
                <w:sz w:val="18"/>
                <w:szCs w:val="18"/>
              </w:rPr>
              <w:t>Datakeskusten päivitykset/muutokset uuden supertietokoneen tueksi</w:t>
            </w:r>
          </w:p>
          <w:p w:rsidR="00B0093E" w:rsidRDefault="00762CA6">
            <w:pPr>
              <w:spacing w:after="0" w:line="240" w:lineRule="auto"/>
              <w:rPr>
                <w:rFonts w:eastAsia="Times New Roman" w:cs="Calibri"/>
                <w:noProof/>
                <w:color w:val="006100"/>
                <w:sz w:val="18"/>
                <w:szCs w:val="18"/>
              </w:rPr>
            </w:pPr>
            <w:r>
              <w:rPr>
                <w:noProof/>
                <w:color w:val="006100"/>
                <w:sz w:val="18"/>
                <w:szCs w:val="18"/>
              </w:rPr>
              <w:t>Ohjelmistojen asennus, konfi</w:t>
            </w:r>
            <w:r>
              <w:rPr>
                <w:noProof/>
                <w:color w:val="006100"/>
                <w:sz w:val="18"/>
                <w:szCs w:val="18"/>
              </w:rPr>
              <w:t>guraatio, siirtyminen, pilottikäyttö, laitteiston suorituskyvyn valvonta ja arviointi.</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126</w:t>
            </w:r>
          </w:p>
        </w:tc>
        <w:tc>
          <w:tcPr>
            <w:tcW w:w="2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16287_Julkisen sektorin toiminnan jatkuvuuden parantaminen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Julkisen sektorin toiminnan jatkuvuuden loppuun saattaminen </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Digitaalisesta hallinnosta vastaavan ministeriön loppuraportti, jossa dokumentoidaan julkisen sektorin toiminnan jatkuvuutta koskevan hankkeen loppuun saattaminen, mukaan lukien 71500 yrityksen kannettavan tietokoneen tarjonta.</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Julkisen sektorin</w:t>
            </w:r>
            <w:r>
              <w:rPr>
                <w:noProof/>
                <w:color w:val="006100"/>
                <w:sz w:val="18"/>
                <w:szCs w:val="18"/>
              </w:rPr>
              <w:t xml:space="preserve"> toiminnan jatkuvuuden parantamista koskevan hankkeen loppuun saattaminen, mukaan lukien toiminnan jatkuvuussuunnitelman viimeistely ja yritysten kannettavien tietokoneiden toimittaminen.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127</w:t>
            </w:r>
          </w:p>
        </w:tc>
        <w:tc>
          <w:tcPr>
            <w:tcW w:w="2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6 - 2.2. Nykyaikaistaminen – 16956_Syzefksis II:n laajentaminen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Syzefksis II:n loppuun saattaminen</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Yhteenveto uuden infrastruktuurin täytäntöönpanon tarkastamisesta, julkisen sektorin verkkoyhteisöjen rekisteri, turvallisuusjohtamisjärjestelmä, kartoitus, seurantamekanismi, Syzefksis II -laajennuksen piiri</w:t>
            </w:r>
            <w:r>
              <w:rPr>
                <w:noProof/>
                <w:color w:val="006100"/>
                <w:sz w:val="18"/>
                <w:szCs w:val="18"/>
              </w:rPr>
              <w:t>in kuuluvien laitteiden toimittaminen digitaalisesta hallinnosta vastaavan ministeriön toimesta</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Syzefksis II:n laajentamisen loppuun saattaminen.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Seuraavat osahankkeet sisältyvät täytäntöönpanosuunnitelmaan: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Julkisen sektorin verkkojen yhteenliittämisen parantaminen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Liittäminen/eriyttäminen/uudelleen siirtäminen/yksiköiden palvelujen yhdistäminen ja parantaminen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Julkisen sektorin verkoston entiteettien rekisterin tukeminen/ylläpito (kohdetutkimus) </w:t>
            </w:r>
          </w:p>
          <w:p w:rsidR="00B0093E" w:rsidRDefault="00762CA6">
            <w:pPr>
              <w:spacing w:after="0" w:line="240" w:lineRule="auto"/>
              <w:rPr>
                <w:rFonts w:eastAsia="Times New Roman" w:cs="Calibri"/>
                <w:noProof/>
                <w:color w:val="006100"/>
                <w:sz w:val="18"/>
                <w:szCs w:val="18"/>
              </w:rPr>
            </w:pPr>
            <w:r>
              <w:rPr>
                <w:noProof/>
                <w:color w:val="006100"/>
                <w:sz w:val="18"/>
                <w:szCs w:val="18"/>
              </w:rPr>
              <w:t>Julkissek</w:t>
            </w:r>
            <w:r>
              <w:rPr>
                <w:noProof/>
                <w:color w:val="006100"/>
                <w:sz w:val="18"/>
                <w:szCs w:val="18"/>
              </w:rPr>
              <w:t>torin verkoston tiedotus- ja edistämistoimet (loppuQ3/2024 mennessä)</w:t>
            </w:r>
          </w:p>
          <w:p w:rsidR="00B0093E" w:rsidRDefault="00762CA6">
            <w:pPr>
              <w:spacing w:after="0" w:line="240" w:lineRule="auto"/>
              <w:rPr>
                <w:rFonts w:eastAsia="Times New Roman" w:cs="Calibri"/>
                <w:noProof/>
                <w:color w:val="006100"/>
                <w:sz w:val="18"/>
                <w:szCs w:val="18"/>
              </w:rPr>
            </w:pPr>
            <w:r>
              <w:rPr>
                <w:noProof/>
                <w:color w:val="006100"/>
                <w:sz w:val="18"/>
                <w:szCs w:val="18"/>
              </w:rPr>
              <w:t>Julkisen sektorin verkoston turvallisuustietosuojavaltuutettu ja tietoturvallisuuden hallintajärjestelmä (SIS)</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Seuranta, laadunvalvonta, täytäntöönpanon tukeminen ja avustaminen julkisen </w:t>
            </w:r>
            <w:r>
              <w:rPr>
                <w:noProof/>
                <w:color w:val="006100"/>
                <w:sz w:val="18"/>
                <w:szCs w:val="18"/>
              </w:rPr>
              <w:t xml:space="preserve">sektorin verkoston strukturoitujen kaapelijärjestelmien lopullisen hyväksymisen yhteydessä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SYZEFXIS II:n laitoskartoituksen και käyttöönottovaiheiden tukeminen ja seuranta. </w:t>
            </w:r>
          </w:p>
          <w:p w:rsidR="00B0093E" w:rsidRDefault="00762CA6">
            <w:pPr>
              <w:spacing w:after="0" w:line="240" w:lineRule="auto"/>
              <w:rPr>
                <w:rFonts w:eastAsia="Times New Roman" w:cs="Calibri"/>
                <w:noProof/>
                <w:color w:val="006100"/>
                <w:sz w:val="18"/>
                <w:szCs w:val="18"/>
              </w:rPr>
            </w:pPr>
            <w:r>
              <w:rPr>
                <w:noProof/>
                <w:color w:val="006100"/>
                <w:sz w:val="18"/>
                <w:szCs w:val="18"/>
              </w:rPr>
              <w:t>Laitetoimitukset sähköntoimitusten keskeytymistä varten tietyissä julkisen sektor</w:t>
            </w:r>
            <w:r>
              <w:rPr>
                <w:noProof/>
                <w:color w:val="006100"/>
                <w:sz w:val="18"/>
                <w:szCs w:val="18"/>
              </w:rPr>
              <w:t xml:space="preserve">in yksiköissä – julkisen sektorin verkosto.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Seuraavan sukupolven julkisen sektorin verkon suunnittelupalvelut (PSN Next Gen) – Panhellenic School -verkoston (SchoolNet) infrastruktuurin parantaminen.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128</w:t>
            </w:r>
          </w:p>
        </w:tc>
        <w:tc>
          <w:tcPr>
            <w:tcW w:w="2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w:t>
            </w:r>
            <w:r>
              <w:rPr>
                <w:noProof/>
                <w:color w:val="006100"/>
                <w:sz w:val="18"/>
                <w:szCs w:val="18"/>
              </w:rPr>
              <w:t>16827_datanhallintastrategia ja -toimet julkista sektoria varten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Datanhallintastrategian loppuun saattaminen</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Digitaalisesta hallinnosta vastaavan ministeriön hankkeen päätösraportti, jossa esitetään yhteenveto siitä, miten julkisen sektorin dat</w:t>
            </w:r>
            <w:r>
              <w:rPr>
                <w:noProof/>
                <w:color w:val="006100"/>
                <w:sz w:val="18"/>
                <w:szCs w:val="18"/>
              </w:rPr>
              <w:t xml:space="preserve">anhallintastrategia ja -politiikka ovat saavuttaneet julkisen ja yksityisen sektorin pilvipalvelujen hallinnointistrategian sekä avoimen ja uudelleenkäytettävissä olevan datan ekosysteemin kehittämisen julkisella ja yksityisellä sektorilla. </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Julkisen sektorin datanhallintastrategiaa ja -toimia koskevan hankkeen loppuun saattaminen </w:t>
            </w:r>
          </w:p>
          <w:p w:rsidR="00B0093E" w:rsidRDefault="00762CA6">
            <w:pPr>
              <w:spacing w:after="0" w:line="240" w:lineRule="auto"/>
              <w:rPr>
                <w:rFonts w:eastAsia="Times New Roman" w:cs="Calibri"/>
                <w:noProof/>
                <w:color w:val="006100"/>
                <w:sz w:val="18"/>
                <w:szCs w:val="18"/>
              </w:rPr>
            </w:pPr>
            <w:r>
              <w:rPr>
                <w:noProof/>
                <w:color w:val="006100"/>
                <w:sz w:val="18"/>
                <w:szCs w:val="18"/>
              </w:rPr>
              <w:t>Hankkeella on oltava seuraavat tulokset: hallituksen pilvipalvelujen hallinnointistrategian ja -politiikkojen kehittäminen ja b) julkisen datan hallinnoinnin puitte</w:t>
            </w:r>
            <w:r>
              <w:rPr>
                <w:noProof/>
                <w:color w:val="006100"/>
                <w:sz w:val="18"/>
                <w:szCs w:val="18"/>
              </w:rPr>
              <w:t>iden, infrastruktuurin, kapasiteetin ja valmiuksien luominen, avointa ja uudelleenkäytettävää dataa koskeva politiikka sekä asiaankuuluvien palvelujen tarjoaminen julkiselle ja yksityiselle sektorille.</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129</w:t>
            </w:r>
          </w:p>
        </w:tc>
        <w:tc>
          <w:tcPr>
            <w:tcW w:w="2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6 - 2.2. Nykyaikaistaminen – 16842_Central BI – </w:t>
            </w:r>
            <w:r>
              <w:rPr>
                <w:noProof/>
                <w:color w:val="006100"/>
                <w:sz w:val="18"/>
                <w:szCs w:val="18"/>
              </w:rPr>
              <w:t>Data-analytiikka</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Keskitetyn innovaatiokumppanuuden loppuun saattaminen</w:t>
            </w:r>
          </w:p>
        </w:tc>
        <w:tc>
          <w:tcPr>
            <w:tcW w:w="13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Digitaalisesta hallinnosta vastaavan ministeriön hankeraportti, jossa hahmotellaan, miten keskitetty BI-hanke on luonut liiketoimintatiedustelu- ja data-analyysialustan ja </w:t>
            </w:r>
            <w:r>
              <w:rPr>
                <w:noProof/>
                <w:color w:val="006100"/>
                <w:sz w:val="18"/>
                <w:szCs w:val="18"/>
              </w:rPr>
              <w:t xml:space="preserve">miten julkishallinto käyttää sitä. </w:t>
            </w:r>
          </w:p>
        </w:tc>
        <w:tc>
          <w:tcPr>
            <w:tcW w:w="134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Seuraavan hankkeen loppuun saattaminen: Central BI – Data Analytics.</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Yhden ”kansallisen kojelautan” yritystietoutta koskevan ratkaisun täytäntöönpano ja sen toimivuuden arviointi.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Hankkeella on oltava </w:t>
            </w:r>
            <w:r>
              <w:rPr>
                <w:noProof/>
                <w:color w:val="006100"/>
                <w:sz w:val="18"/>
                <w:szCs w:val="18"/>
              </w:rPr>
              <w:t>seuraavat tulokset:</w:t>
            </w:r>
          </w:p>
          <w:p w:rsidR="00B0093E" w:rsidRDefault="00762CA6">
            <w:pPr>
              <w:spacing w:after="0" w:line="240" w:lineRule="auto"/>
              <w:rPr>
                <w:rFonts w:eastAsia="Times New Roman" w:cs="Calibri"/>
                <w:noProof/>
                <w:color w:val="006100"/>
                <w:sz w:val="18"/>
                <w:szCs w:val="18"/>
              </w:rPr>
            </w:pPr>
            <w:r>
              <w:rPr>
                <w:noProof/>
                <w:color w:val="006100"/>
                <w:sz w:val="18"/>
                <w:szCs w:val="18"/>
              </w:rPr>
              <w:t>otetaan käyttöön keskitetty liiketoiminta-analyysialusta, jonka avulla julkishallinnon virastot voivat kerätä, yhdistää ja tulkita tietoja mistä tahansa lähteestä ja analysoida tietoja, jotka vaikuttavat niiden toimintaan ja työnkulkuun</w:t>
            </w:r>
            <w:r>
              <w:rPr>
                <w:noProof/>
                <w:color w:val="006100"/>
                <w:sz w:val="18"/>
                <w:szCs w:val="18"/>
              </w:rPr>
              <w:t>, ja helpottaa strategioiden ja päätöksenteon tekemistä.</w:t>
            </w:r>
          </w:p>
          <w:p w:rsidR="00B0093E" w:rsidRDefault="00B0093E">
            <w:pPr>
              <w:spacing w:after="0" w:line="240" w:lineRule="auto"/>
              <w:rPr>
                <w:rFonts w:eastAsia="Times New Roman" w:cs="Calibri"/>
                <w:noProof/>
                <w:color w:val="006100"/>
                <w:sz w:val="18"/>
                <w:szCs w:val="18"/>
                <w:lang w:eastAsia="en-GB"/>
              </w:rPr>
            </w:pPr>
          </w:p>
        </w:tc>
      </w:tr>
    </w:tbl>
    <w:p w:rsidR="00B0093E" w:rsidRDefault="00B0093E">
      <w:pPr>
        <w:spacing w:before="120" w:after="120" w:line="240" w:lineRule="auto"/>
        <w:ind w:left="709"/>
        <w:rPr>
          <w:rFonts w:ascii="Times New Roman" w:hAnsi="Times New Roman" w:cs="Times New Roman"/>
          <w:noProof/>
          <w:sz w:val="24"/>
        </w:rPr>
        <w:sectPr w:rsidR="00B0093E">
          <w:headerReference w:type="even" r:id="rId101"/>
          <w:headerReference w:type="default" r:id="rId102"/>
          <w:footerReference w:type="even" r:id="rId103"/>
          <w:footerReference w:type="default" r:id="rId104"/>
          <w:headerReference w:type="first" r:id="rId105"/>
          <w:footerReference w:type="first" r:id="rId106"/>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G. KOMPONENTTI 2.3: YRITYSTEN DIGITALISOINTI</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Tämä Kreikan elpymisen ja palautumiskyvyn komponentti koskee pääoman tarjoamista Kreikan pienille ja keskisuurille yrityksille digitaaliteknologiaan tehtävien investointien ja niihin liittyvien palvelujen hankinnan rahoittamiseksi. Sen tavoitteena on puutt</w:t>
      </w:r>
      <w:r>
        <w:rPr>
          <w:rFonts w:ascii="Times New Roman" w:hAnsi="Times New Roman"/>
          <w:noProof/>
          <w:sz w:val="24"/>
        </w:rPr>
        <w:t>ua niiden keskuudessa tällä hetkellä heikkoon digitaaliseen kypsyysasteeseen, joka johtuu muun muassa heikosta digitaalisesta osaamisesta, ja samalla edistää tuottavuutta ja innovatiivisten yritysten kehittämistä. Samalla sen odotetaan auttavan tällaisia y</w:t>
      </w:r>
      <w:r>
        <w:rPr>
          <w:rFonts w:ascii="Times New Roman" w:hAnsi="Times New Roman"/>
          <w:noProof/>
          <w:sz w:val="24"/>
        </w:rPr>
        <w:t xml:space="preserve">rityksiä sopeutumaan uusiin haasteisiin ja hyödyntämään uusia liiketoimintasuuntauksia. Komponentissa säädetään erityisesti digitaalisten sisämarkkinoiden perustamisesta, johon sekä näiden tuotteiden että palvelujen tarjoajilla on pääsy. Tämän komponentin </w:t>
      </w:r>
      <w:r>
        <w:rPr>
          <w:rFonts w:ascii="Times New Roman" w:hAnsi="Times New Roman"/>
          <w:noProof/>
          <w:sz w:val="24"/>
        </w:rPr>
        <w:t>keskeisiä tavoitteita ovat sähköisten maksujen ja myynnin edistäminen, rekisteröivien kassakoneiden ja maksupäätejärjestelmän ekosysteemin päivittäminen sekä teollisten data-alustojen luominen. Lisäksi komponentti tarjoaa verokannustimia, jotka auttavat lu</w:t>
      </w:r>
      <w:r>
        <w:rPr>
          <w:rFonts w:ascii="Times New Roman" w:hAnsi="Times New Roman"/>
          <w:noProof/>
          <w:sz w:val="24"/>
        </w:rPr>
        <w:t>omaan digitaalisen liiketoimintaekosysteemin, joka edistää pienten ja keskisuurten yritysten digitalisaatiota. Suunnitteilla on myös pk-yrityksille tarkoitettu keskitetty tukimekanismi, jolla helpotetaan koulutus- ja valistusohjelmien tarjoamista niin, ett</w:t>
      </w:r>
      <w:r>
        <w:rPr>
          <w:rFonts w:ascii="Times New Roman" w:hAnsi="Times New Roman"/>
          <w:noProof/>
          <w:sz w:val="24"/>
        </w:rPr>
        <w:t xml:space="preserve">ä ne voivat hyödyntää parhaalla mahdollisella tavalla digitaalisten markkinoiden kautta tarjottavia välineitä ja palveluja. </w:t>
      </w:r>
    </w:p>
    <w:p w:rsidR="00B0093E" w:rsidRDefault="00762CA6">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Toimenpiteiden odotetaan vastaavan digitaaliseen siirtymään ja siitä aiheutuviin haasteisiin, sillä niiden odotetaan edistävän digi</w:t>
      </w:r>
      <w:r>
        <w:rPr>
          <w:rFonts w:ascii="Times New Roman" w:hAnsi="Times New Roman"/>
          <w:noProof/>
          <w:sz w:val="24"/>
        </w:rPr>
        <w:t xml:space="preserve">taaliteknologian käyttöönottoa ja pienten ja keskisuurten yritysten digitaalisen osaamisen kehittämistä Kreikassa. Lisäksi toimenpiteiden odotetaan helpottavan älykästä ja kestävää kasvua lisäämällä yksityisiä investointeja ja auttamalla näin noudattamaan </w:t>
      </w:r>
      <w:r>
        <w:rPr>
          <w:rFonts w:ascii="Times New Roman" w:hAnsi="Times New Roman"/>
          <w:noProof/>
          <w:sz w:val="24"/>
        </w:rPr>
        <w:t>maakohtaisia suosituksia julkisista ja yksityisistä investoinneista (maakohtainen suositus 3 2020). Minkään tähän osa-alueeseen kuuluvan toimenpiteen ei odoteta aiheuttavan merkittävää haittaa asetuksen (EU) 2020/852 17 artiklassa tarkoitetuille ympäristöt</w:t>
      </w:r>
      <w:r>
        <w:rPr>
          <w:rFonts w:ascii="Times New Roman" w:hAnsi="Times New Roman"/>
          <w:noProof/>
          <w:sz w:val="24"/>
        </w:rPr>
        <w:t>avoitteille, kun otetaan huomioon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G.1 </w:t>
      </w:r>
      <w:r>
        <w:rPr>
          <w:rFonts w:ascii="Times New Roman" w:hAnsi="Times New Roman"/>
          <w:b/>
          <w:noProof/>
          <w:sz w:val="24"/>
          <w:u w:val="single"/>
        </w:rPr>
        <w:tab/>
      </w:r>
      <w:r>
        <w:rPr>
          <w:rFonts w:ascii="Times New Roman" w:hAnsi="Times New Roman"/>
          <w:b/>
          <w:bCs/>
          <w:noProof/>
          <w:sz w:val="24"/>
          <w:u w:val="single"/>
        </w:rPr>
        <w:t xml:space="preserve">Kuvaus uudistuksista ja investoinneista, </w:t>
      </w:r>
      <w:r>
        <w:rPr>
          <w:rFonts w:ascii="Times New Roman" w:hAnsi="Times New Roman"/>
          <w:b/>
          <w:bCs/>
          <w:noProof/>
          <w:sz w:val="24"/>
          <w:u w:val="single"/>
        </w:rPr>
        <w:t>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Digitaalisen liiketoimintaekosysteemin luominen ja verokannustimien käyttöönotto pk-yritysten digitalisaation helpottamiseksi (toimenpiteen tunniste 16973)</w:t>
      </w:r>
    </w:p>
    <w:p w:rsidR="00B0093E" w:rsidRDefault="00762CA6">
      <w:pPr>
        <w:spacing w:before="120" w:after="120" w:line="240" w:lineRule="auto"/>
        <w:jc w:val="both"/>
        <w:rPr>
          <w:rFonts w:ascii="Times New Roman" w:hAnsi="Times New Roman" w:cs="Times New Roman"/>
          <w:iCs/>
          <w:noProof/>
          <w:sz w:val="24"/>
          <w:highlight w:val="green"/>
        </w:rPr>
      </w:pPr>
      <w:r>
        <w:rPr>
          <w:rFonts w:ascii="Times New Roman" w:hAnsi="Times New Roman"/>
          <w:noProof/>
          <w:sz w:val="24"/>
        </w:rPr>
        <w:t xml:space="preserve">Uudistuksella pyritään luomaan </w:t>
      </w:r>
      <w:r>
        <w:rPr>
          <w:rFonts w:ascii="Times New Roman" w:hAnsi="Times New Roman"/>
          <w:noProof/>
          <w:sz w:val="24"/>
        </w:rPr>
        <w:t>digitaalinen liiketoimintaekosysteemi, joka edistää pk-yritysten digitalisaatiota. Se koostuu erityisesti seuraavista osista: a) luodaan digitaaliset markkinat pk-yritysten digitalisaatiota varten räätälöityjen edistyneiden digitaalisten palvelujen ja väli</w:t>
      </w:r>
      <w:r>
        <w:rPr>
          <w:rFonts w:ascii="Times New Roman" w:hAnsi="Times New Roman"/>
          <w:noProof/>
          <w:sz w:val="24"/>
        </w:rPr>
        <w:t>neiden toimittamiselle ja hankinnalle ja lisätään yritysjohtajien digitaalista tietoisuutta, b) kannustetaan suoraan investoimaan nykyaikaiseen digitaaliseen teknologiaan käyttämällä aineelliseen ja aineettomaan omaisuuteen liittyviä verokannustimia liiket</w:t>
      </w:r>
      <w:r>
        <w:rPr>
          <w:rFonts w:ascii="Times New Roman" w:hAnsi="Times New Roman"/>
          <w:noProof/>
          <w:sz w:val="24"/>
        </w:rPr>
        <w:t>oimintaympäristön muuttamiseksi ja c) päivitetään rekisteröiviä kassakoneita ja myyntipisteiden ekosysteemiä. Sen varmistamiseksi, että toimenpide on ”ei merkittävää haittaa” -periaatteen teknisten ohjeiden (2021/C58/01) mukainen, verokannustimia koskevien</w:t>
      </w:r>
      <w:r>
        <w:rPr>
          <w:rFonts w:ascii="Times New Roman" w:hAnsi="Times New Roman"/>
          <w:noProof/>
          <w:sz w:val="24"/>
        </w:rPr>
        <w:t xml:space="preserve"> tukikelpoisuusperusteiden ulkopuolelle jätetään seuraavat toimet:</w:t>
      </w:r>
      <w:r>
        <w:rPr>
          <w:rFonts w:ascii="Times New Roman" w:hAnsi="Times New Roman"/>
          <w:noProof/>
          <w:color w:val="FF0000"/>
          <w:sz w:val="24"/>
        </w:rPr>
        <w:t xml:space="preserve"> </w:t>
      </w:r>
      <w:r>
        <w:rPr>
          <w:rFonts w:ascii="Times New Roman" w:hAnsi="Times New Roman"/>
          <w:noProof/>
          <w:sz w:val="24"/>
        </w:rPr>
        <w:t>i) fossiilisiin polttoaineisiin liittyvät toimet, mukaan lukien tuotantoketjun loppupään käyttö</w:t>
      </w:r>
      <w:r>
        <w:rPr>
          <w:rFonts w:ascii="Times New Roman" w:hAnsi="Times New Roman" w:cs="Times New Roman"/>
          <w:noProof/>
          <w:sz w:val="24"/>
          <w:vertAlign w:val="superscript"/>
        </w:rPr>
        <w:footnoteReference w:id="10"/>
      </w:r>
      <w:r>
        <w:rPr>
          <w:rFonts w:ascii="Times New Roman" w:hAnsi="Times New Roman"/>
          <w:noProof/>
          <w:sz w:val="24"/>
        </w:rPr>
        <w:t>; EU:n päästökauppajärjestelmän mukaiset toimet, joilla saavutetaan ennustetut kasvihuonekaas</w:t>
      </w:r>
      <w:r>
        <w:rPr>
          <w:rFonts w:ascii="Times New Roman" w:hAnsi="Times New Roman"/>
          <w:noProof/>
          <w:sz w:val="24"/>
        </w:rPr>
        <w:t>upäästöt, jotka eivät alita asiaankuuluvia vertailuarvoja</w:t>
      </w:r>
      <w:r>
        <w:rPr>
          <w:rFonts w:ascii="Times New Roman" w:hAnsi="Times New Roman" w:cs="Times New Roman"/>
          <w:noProof/>
          <w:sz w:val="24"/>
          <w:vertAlign w:val="superscript"/>
        </w:rPr>
        <w:footnoteReference w:id="11"/>
      </w:r>
      <w:r>
        <w:rPr>
          <w:rFonts w:ascii="Times New Roman" w:hAnsi="Times New Roman"/>
          <w:noProof/>
          <w:sz w:val="24"/>
        </w:rPr>
        <w:t>; iii) jätteiden kaatopaikkoja, polttolaitoksia</w:t>
      </w:r>
      <w:r>
        <w:rPr>
          <w:rFonts w:ascii="Times New Roman" w:hAnsi="Times New Roman" w:cs="Times New Roman"/>
          <w:noProof/>
          <w:sz w:val="24"/>
          <w:vertAlign w:val="superscript"/>
        </w:rPr>
        <w:footnoteReference w:id="12"/>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13"/>
      </w:r>
      <w:r>
        <w:rPr>
          <w:rFonts w:ascii="Times New Roman" w:hAnsi="Times New Roman"/>
          <w:noProof/>
          <w:sz w:val="24"/>
        </w:rPr>
        <w:t xml:space="preserve"> koskevat toimet; ja iv) toimet, joissa jätteiden pitkän aikavälin loppukäsittely voi aiheuttaa haittaa y</w:t>
      </w:r>
      <w:r>
        <w:rPr>
          <w:rFonts w:ascii="Times New Roman" w:hAnsi="Times New Roman"/>
          <w:noProof/>
          <w:sz w:val="24"/>
        </w:rPr>
        <w:t>mpäristölle. Tukikelpoisuuskriteereissä on lisäksi edellytettävä, että ainoastaan toimet, jotka ovat asiaa koskevan EU:n ja kansallisen ympäristölainsäädännön mukaisia, voidaan valita.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Valinta-/tukikelpoisuuskriteereillä pyritään myös edistämään investoint</w:t>
      </w:r>
      <w:r>
        <w:rPr>
          <w:rFonts w:ascii="Times New Roman" w:hAnsi="Times New Roman"/>
          <w:noProof/>
          <w:sz w:val="24"/>
        </w:rPr>
        <w:t>eja digitalisointiin eli sellaisten tuotteiden ja palvelujen hankintaan, jotka liittyvät sähköiseen maksuun, sähköiseen myyntiin ja sähköiseen laskutukseen, digitaalisen mainonnan välineisiin, etätyöjärjestelmiin, yritysanalytiikkaan, digitaalisen osaamise</w:t>
      </w:r>
      <w:r>
        <w:rPr>
          <w:rFonts w:ascii="Times New Roman" w:hAnsi="Times New Roman"/>
          <w:noProof/>
          <w:sz w:val="24"/>
        </w:rPr>
        <w:t>n parantamiseen, vara- ja palautumispalveluihin, tekoälyyn, esineiden internetiin, kontaktittomia palveluja varten tarkoitettuihin integroituihin ratkaisuihin, kyberturvallisuusjärjestelmiin, pilvi-infrastruktuuriin ja -palveluihin, teollisiin data-alustam</w:t>
      </w:r>
      <w:r>
        <w:rPr>
          <w:rFonts w:ascii="Times New Roman" w:hAnsi="Times New Roman"/>
          <w:noProof/>
          <w:sz w:val="24"/>
        </w:rPr>
        <w:t>alleihin ja -ohjelmistoihin, rekisteröiviin kassakoneisiin ja maksupäätejärjestelmien parantamiseen. Uudistus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Pk-yritysten digitalisaatio (toimenpiteen tunniste 16706)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kosk</w:t>
      </w:r>
      <w:r>
        <w:rPr>
          <w:rFonts w:ascii="Times New Roman" w:hAnsi="Times New Roman"/>
          <w:noProof/>
          <w:sz w:val="24"/>
        </w:rPr>
        <w:t>ee asianmukaisten digitaalisten välineiden (tuotteiden ja palvelujen) kehittämistä ja tarjoamista kreikkalaisille pk-yrityksille seuraavilla aloilla: a) sähköiset maksut ja myynti, b) teolliset data-alustat ja c) kassarekisterit ja POS-ekosysteemin paranta</w:t>
      </w:r>
      <w:r>
        <w:rPr>
          <w:rFonts w:ascii="Times New Roman" w:hAnsi="Times New Roman"/>
          <w:noProof/>
          <w:sz w:val="24"/>
        </w:rPr>
        <w:t>minen. Tämä saavutetaan perustamalla pk-yrityksiä varten keskitetty tukimekanismi, jolla helpotetaan koulutus- ja valistusohjelmien tarjoamista, jotta ne voivat hyödyntää parhaalla mahdollisella tavalla digitaalisten markkinoiden tarjoamia välineitä ja pal</w:t>
      </w:r>
      <w:r>
        <w:rPr>
          <w:rFonts w:ascii="Times New Roman" w:hAnsi="Times New Roman"/>
          <w:noProof/>
          <w:sz w:val="24"/>
        </w:rPr>
        <w:t>veluja. Tavoitteena on viime kädessä tukea kreikkalaisten pk-yritysten digitalisaatiota sekä lisätä avoimuutta ja tervettä kilpailua Next-Gen POS -järjestelmän ja kassarekistereiden avulla. Investointi on määrä toteuttaa viimeistään 30 päivänä kesäkuuta 20</w:t>
      </w:r>
      <w:r>
        <w:rPr>
          <w:rFonts w:ascii="Times New Roman" w:hAnsi="Times New Roman"/>
          <w:noProof/>
          <w:sz w:val="24"/>
        </w:rPr>
        <w:t>25.</w:t>
      </w:r>
    </w:p>
    <w:p w:rsidR="00B0093E" w:rsidRDefault="00762CA6">
      <w:pPr>
        <w:spacing w:before="120" w:after="120" w:line="240" w:lineRule="auto"/>
        <w:jc w:val="both"/>
        <w:rPr>
          <w:rFonts w:ascii="Times New Roman" w:hAnsi="Times New Roman" w:cs="Times New Roman"/>
          <w:iCs/>
          <w:noProof/>
          <w:sz w:val="24"/>
          <w:highlight w:val="green"/>
        </w:rPr>
      </w:pPr>
      <w:r>
        <w:rPr>
          <w:rFonts w:ascii="Times New Roman" w:hAnsi="Times New Roman"/>
          <w:noProof/>
          <w:sz w:val="24"/>
        </w:rPr>
        <w:t>Sen varmistamiseksi, että toimenpide on ”ei merkittävää haittaa” -periaatteen teknisten ohjeiden (2021/C58/01) mukainen, hanke-ehdotuspyyntöjä koskeviin 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i) fossiilisiin polttoa</w:t>
      </w:r>
      <w:r>
        <w:rPr>
          <w:rFonts w:ascii="Times New Roman" w:hAnsi="Times New Roman"/>
          <w:noProof/>
          <w:sz w:val="24"/>
        </w:rPr>
        <w:t>ineisiin liittyvät toimet, mukaan lukien tuotantoketjun loppupään käyttö</w:t>
      </w:r>
      <w:r>
        <w:rPr>
          <w:rFonts w:ascii="Times New Roman" w:hAnsi="Times New Roman" w:cs="Times New Roman"/>
          <w:noProof/>
          <w:sz w:val="24"/>
          <w:vertAlign w:val="superscript"/>
        </w:rPr>
        <w:footnoteReference w:id="14"/>
      </w:r>
      <w:r>
        <w:rPr>
          <w:rFonts w:ascii="Times New Roman" w:hAnsi="Times New Roman"/>
          <w:noProof/>
          <w:sz w:val="24"/>
        </w:rPr>
        <w:t>; EU:n päästökauppajärjestelmän mukaiset toimet, joilla saavutetaan ennustetut kasvihuonekaasupäästöt, jotka eivät alita asiaankuuluvia vertailuarvoja</w:t>
      </w:r>
      <w:r>
        <w:rPr>
          <w:rFonts w:ascii="Times New Roman" w:hAnsi="Times New Roman" w:cs="Times New Roman"/>
          <w:noProof/>
          <w:sz w:val="24"/>
          <w:vertAlign w:val="superscript"/>
        </w:rPr>
        <w:footnoteReference w:id="15"/>
      </w:r>
      <w:r>
        <w:rPr>
          <w:rFonts w:ascii="Times New Roman" w:hAnsi="Times New Roman"/>
          <w:noProof/>
          <w:sz w:val="24"/>
        </w:rPr>
        <w:t>; iii) kaatopaikkoja, polttolait</w:t>
      </w:r>
      <w:r>
        <w:rPr>
          <w:rFonts w:ascii="Times New Roman" w:hAnsi="Times New Roman"/>
          <w:noProof/>
          <w:sz w:val="24"/>
        </w:rPr>
        <w:t>oksia</w:t>
      </w:r>
      <w:r>
        <w:rPr>
          <w:rFonts w:ascii="Times New Roman" w:hAnsi="Times New Roman" w:cs="Times New Roman"/>
          <w:noProof/>
          <w:sz w:val="24"/>
          <w:vertAlign w:val="superscript"/>
        </w:rPr>
        <w:footnoteReference w:id="16"/>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17"/>
      </w:r>
      <w:r>
        <w:rPr>
          <w:rFonts w:ascii="Times New Roman" w:hAnsi="Times New Roman"/>
          <w:noProof/>
          <w:sz w:val="24"/>
        </w:rPr>
        <w:t xml:space="preserve"> koskevat toimet; ja iv) toiminnot, joissa jätteiden pitkän aikavälin loppukäsittely voi aiheuttaa haittaa ympäristölle. Tehtävänkuvauksessa on lisäksi edellytettävä, että voidaan valita ainoastaan toimia,</w:t>
      </w:r>
      <w:r>
        <w:rPr>
          <w:rFonts w:ascii="Times New Roman" w:hAnsi="Times New Roman"/>
          <w:noProof/>
          <w:sz w:val="24"/>
        </w:rPr>
        <w:t xml:space="preserve"> jotka ovat asiaa koskevan EU:n ja kansallisen ympäristölainsäädännön mukaisia.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Valinta-/tukikelpoisuuskriteerit on kohdennettava myös seuraaviin teknologioihin ja palveluihin: sähköiseen maksuun, sähköiseen myyntiin ja sähköiseen laskutukseen, digitaalise</w:t>
      </w:r>
      <w:r>
        <w:rPr>
          <w:rFonts w:ascii="Times New Roman" w:hAnsi="Times New Roman"/>
          <w:noProof/>
          <w:sz w:val="24"/>
        </w:rPr>
        <w:t>n mainonnan välineisiin, etätyöjärjestelmiin, yritysanalytiikkaan, digitaalisen osaamisen parantamiseen, vara- ja palautumispalveluihin, tekoälyyn, esineiden internetiin, kontaktittomia palveluja varten tarkoitettuihin integroituihin ratkaisuihin, kybertur</w:t>
      </w:r>
      <w:r>
        <w:rPr>
          <w:rFonts w:ascii="Times New Roman" w:hAnsi="Times New Roman"/>
          <w:noProof/>
          <w:sz w:val="24"/>
        </w:rPr>
        <w:t xml:space="preserve">vallisuusjärjestelmiin, pilvi-infrastruktuuriin ja -palveluihin, teollisiin data-alustamalleihin ja -ohjelmistoihin, rekisteröiviin kassakoneisiin ja maksupäätejärjestelmien parantamiseen. </w:t>
      </w: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07"/>
          <w:headerReference w:type="default" r:id="rId108"/>
          <w:footerReference w:type="even" r:id="rId109"/>
          <w:footerReference w:type="default" r:id="rId110"/>
          <w:headerReference w:type="first" r:id="rId111"/>
          <w:footerReference w:type="first" r:id="rId112"/>
          <w:pgSz w:w="11907" w:h="16839"/>
          <w:pgMar w:top="1134" w:right="1418" w:bottom="1134" w:left="1418"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G.2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Suurin investointi 4: Pk-yritysten digitalisaatio</w:t>
      </w:r>
    </w:p>
    <w:tbl>
      <w:tblPr>
        <w:tblW w:w="14674" w:type="dxa"/>
        <w:jc w:val="center"/>
        <w:tblLook w:val="04A0" w:firstRow="1" w:lastRow="0" w:firstColumn="1" w:lastColumn="0" w:noHBand="0" w:noVBand="1"/>
      </w:tblPr>
      <w:tblGrid>
        <w:gridCol w:w="1019"/>
        <w:gridCol w:w="1730"/>
        <w:gridCol w:w="1324"/>
        <w:gridCol w:w="1650"/>
        <w:gridCol w:w="1730"/>
        <w:gridCol w:w="1026"/>
        <w:gridCol w:w="806"/>
        <w:gridCol w:w="837"/>
        <w:gridCol w:w="1136"/>
        <w:gridCol w:w="636"/>
        <w:gridCol w:w="2893"/>
      </w:tblGrid>
      <w:tr w:rsidR="00B0093E">
        <w:trPr>
          <w:trHeight w:val="927"/>
          <w:tblHeader/>
          <w:jc w:val="center"/>
        </w:trPr>
        <w:tc>
          <w:tcPr>
            <w:tcW w:w="123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8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08"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599"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776"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3622"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jc w:val="center"/>
        </w:trPr>
        <w:tc>
          <w:tcPr>
            <w:tcW w:w="123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8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08"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5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5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69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102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5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3622"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jc w:val="center"/>
        </w:trPr>
        <w:tc>
          <w:tcPr>
            <w:tcW w:w="123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130</w:t>
            </w:r>
          </w:p>
        </w:tc>
        <w:tc>
          <w:tcPr>
            <w:tcW w:w="17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w:t>
            </w:r>
            <w:r>
              <w:rPr>
                <w:noProof/>
                <w:color w:val="006100"/>
                <w:sz w:val="18"/>
                <w:szCs w:val="18"/>
              </w:rPr>
              <w:t xml:space="preserve"> - 2.3. Yritysten digitalisointi – 16706_pk-yritysten digitalisaatio</w:t>
            </w:r>
          </w:p>
        </w:tc>
        <w:tc>
          <w:tcPr>
            <w:tcW w:w="98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Pk-yritysten digitalisaatio – ehdotuspyynnöt</w:t>
            </w:r>
          </w:p>
        </w:tc>
        <w:tc>
          <w:tcPr>
            <w:tcW w:w="13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Julkaistu ehdotuspyyntö</w:t>
            </w:r>
          </w:p>
        </w:tc>
        <w:tc>
          <w:tcPr>
            <w:tcW w:w="95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2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3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Käynnistetään kaikki kilpailuun perustuvat ehdotuspyynnöt yritysten digitalisaatiota (alahankkeet 1), teollisuusdata-alustoja ja data-avaruuksia (alahankkeet 2) sekä rekisteröiviä kassakoneita ja maksupäätejärjestelmäekosysteemin parantamista (alahankkeet </w:t>
            </w:r>
            <w:r>
              <w:rPr>
                <w:noProof/>
                <w:color w:val="006100"/>
                <w:sz w:val="18"/>
                <w:szCs w:val="18"/>
              </w:rPr>
              <w:t>4) koskevan arvosetelijärjestelmän rahoittamiseksi. Tarkistusehdot sisältävät tukikelpoisuuskriteerit, joilla varmistetaan, että valitut hankkeet ovat ”ei merkittävää haittaa” -periaatteen teknisten ohjeiden (2021/C58/01) mukaisia käyttämällä poissulkemisl</w:t>
            </w:r>
            <w:r>
              <w:rPr>
                <w:noProof/>
                <w:color w:val="006100"/>
                <w:sz w:val="18"/>
                <w:szCs w:val="18"/>
              </w:rPr>
              <w:t xml:space="preserve">uetteloa ja edellyttämällä, että asiaa koskevaa EU:n ja kansallista ympäristölainsäädäntöä noudatetaan.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Investoinnit on kohdennettava teknologiaan ja palveluihin, joilla edistetään pienten ja keskisuurten yritysten digitalisaatiota, eli sähköiseen maksuu</w:t>
            </w:r>
            <w:r>
              <w:rPr>
                <w:noProof/>
                <w:color w:val="006100"/>
                <w:sz w:val="18"/>
                <w:szCs w:val="18"/>
              </w:rPr>
              <w:t>n, verkkomyyntiin ja sähköisen laskutuksen sovelluksiin, digitaalisen mainonnan välineisiin, etätyöjärjestelmiin, yritysanalytiikkaan, digitaalisen osaamisen parantamiseen, vara- ja palautumispalveluihin, tekoälyyn, esineiden internetiin, kontaktittomia pa</w:t>
            </w:r>
            <w:r>
              <w:rPr>
                <w:noProof/>
                <w:color w:val="006100"/>
                <w:sz w:val="18"/>
                <w:szCs w:val="18"/>
              </w:rPr>
              <w:t>lveluja varten tarkoitettuihin integroituihin ratkaisuihin, kyberturvallisuusjärjestelmiin, pilvi-infrastruktuuriin ja -palveluihin, teollisiin data-alustamalleihin ja -ohjelmistoihin, rekisteröiviin kassakoneisiin ja maksupäätejärjestelmäekosysteemin para</w:t>
            </w:r>
            <w:r>
              <w:rPr>
                <w:noProof/>
                <w:color w:val="006100"/>
                <w:sz w:val="18"/>
                <w:szCs w:val="18"/>
              </w:rPr>
              <w:t xml:space="preserve">ntamiseen. </w:t>
            </w:r>
          </w:p>
        </w:tc>
      </w:tr>
      <w:tr w:rsidR="00B0093E">
        <w:trPr>
          <w:trHeight w:val="309"/>
          <w:jc w:val="center"/>
        </w:trPr>
        <w:tc>
          <w:tcPr>
            <w:tcW w:w="123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131</w:t>
            </w:r>
          </w:p>
        </w:tc>
        <w:tc>
          <w:tcPr>
            <w:tcW w:w="17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7 - 2.3. Yritysten digitalisointi – 16706_pk-yritysten digitalisaatio</w:t>
            </w:r>
          </w:p>
        </w:tc>
        <w:tc>
          <w:tcPr>
            <w:tcW w:w="98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Pk-yritysten digitalisaatio – tuotteiden ja palvelujen toimittaminen</w:t>
            </w:r>
          </w:p>
        </w:tc>
        <w:tc>
          <w:tcPr>
            <w:tcW w:w="13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Digitaalisesta hallinnosta vastaavan ministeriön raportti, jossa vahvistetaan kaikkien neljän alahankkeen täysimääräinen täytäntöönpano, mukaan lukien seuraavat tavoitteet: 100 000 pk-yritystä, joita tuetaan digitalisaatiosetelillä (alahanke 1), 1 000 pk-y</w:t>
            </w:r>
            <w:r>
              <w:rPr>
                <w:noProof/>
                <w:color w:val="006100"/>
                <w:sz w:val="18"/>
                <w:szCs w:val="18"/>
              </w:rPr>
              <w:t>ritystä, joita tuetaan palvelusetelijärjestelmällä niiden siirtyessä pilvipalveluihin (alahanke 2); 4 teollista data-alustaa (kärkihanke) ja Gaia X:n pk-yrityskeskittymä perustettu (alahanke 3). Alahanke 4 saatu valmiiksi päivittämällä 500 000 rekisteröivä</w:t>
            </w:r>
            <w:r>
              <w:rPr>
                <w:noProof/>
                <w:color w:val="006100"/>
                <w:sz w:val="18"/>
                <w:szCs w:val="18"/>
              </w:rPr>
              <w:t xml:space="preserve">ä kassakonetta ja korvaamalla 100 000 maksupäätejärjestelmää. </w:t>
            </w:r>
          </w:p>
        </w:tc>
        <w:tc>
          <w:tcPr>
            <w:tcW w:w="95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2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sz w:val="18"/>
                <w:szCs w:val="18"/>
              </w:rPr>
              <w:t>Tuensaajien valinta ja laitteiden ja palvelujen toimittaminen pk-yrityksille kilpailuun perustuvien ehdotuspyyntöjen perusteella ”ei merkittävää haittaa” -periaatteen teknisten ohjei</w:t>
            </w:r>
            <w:r>
              <w:rPr>
                <w:noProof/>
                <w:sz w:val="18"/>
                <w:szCs w:val="18"/>
              </w:rPr>
              <w:t>den (2021/C58/01) mukaisesti käyttämällä poissulkemisluetteloa sekä vaatimusta asiaankuuluvan EU:n ja kansallisen ympäristölainsäädännön noudattamisesta.</w:t>
            </w:r>
            <w:r>
              <w:rPr>
                <w:noProof/>
                <w:color w:val="006100"/>
                <w:sz w:val="18"/>
                <w:szCs w:val="18"/>
              </w:rPr>
              <w:t xml:space="preserve"> Erityisesti on saavutettava seuraavat tavoitteet: </w:t>
            </w:r>
          </w:p>
          <w:p w:rsidR="00B0093E" w:rsidRDefault="00762CA6">
            <w:pPr>
              <w:spacing w:after="0" w:line="240" w:lineRule="auto"/>
              <w:rPr>
                <w:rFonts w:eastAsia="Times New Roman" w:cs="Calibri"/>
                <w:noProof/>
                <w:color w:val="006100"/>
                <w:sz w:val="18"/>
                <w:szCs w:val="18"/>
              </w:rPr>
            </w:pPr>
            <w:r>
              <w:rPr>
                <w:noProof/>
                <w:color w:val="006100"/>
                <w:sz w:val="18"/>
                <w:szCs w:val="18"/>
              </w:rPr>
              <w:t>Alahankkeessa 1: 100 000 pk-yritystä sai digitaliso</w:t>
            </w:r>
            <w:r>
              <w:rPr>
                <w:noProof/>
                <w:color w:val="006100"/>
                <w:sz w:val="18"/>
                <w:szCs w:val="18"/>
              </w:rPr>
              <w:t>intitukea, joka rahoitettiin arvosetelijärjestelmästä;</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Alahankkeessa 2: </w:t>
            </w:r>
            <w:r>
              <w:rPr>
                <w:noProof/>
              </w:rPr>
              <w:t>pilvi-infrastruktuuri on saatettu päätökseen, 1 000 pk-yritystä, joita tuetaan taloudellisesti yksinomaan pilvipalveluihin siirtymisessä, teollinen data-alustamalli on toimitettu ja Kr</w:t>
            </w:r>
            <w:r>
              <w:rPr>
                <w:noProof/>
              </w:rPr>
              <w:t>eikan Gaia-X-pk-keskus on perustettu ja neljä teollisia data-alustoja koskevaa kärkihanketta on perustettu;</w:t>
            </w:r>
          </w:p>
          <w:p w:rsidR="00B0093E" w:rsidRDefault="00762CA6">
            <w:pPr>
              <w:spacing w:after="0" w:line="240" w:lineRule="auto"/>
              <w:rPr>
                <w:rFonts w:eastAsia="Times New Roman" w:cs="Calibri"/>
                <w:noProof/>
                <w:color w:val="006100"/>
                <w:sz w:val="18"/>
                <w:szCs w:val="18"/>
              </w:rPr>
            </w:pPr>
            <w:r>
              <w:rPr>
                <w:noProof/>
                <w:color w:val="006100"/>
                <w:sz w:val="18"/>
                <w:szCs w:val="18"/>
              </w:rPr>
              <w:t>Alahankkeessa 4: 500 000 rekisteröivää kassakonetta on päivitetty tai korvattu tietokonepohjaisilla ratkaisuilla, 100 000 vanhaa maksupäätejärjestel</w:t>
            </w:r>
            <w:r>
              <w:rPr>
                <w:noProof/>
                <w:color w:val="006100"/>
                <w:sz w:val="18"/>
                <w:szCs w:val="18"/>
              </w:rPr>
              <w:t>mää on korvattu</w:t>
            </w:r>
          </w:p>
          <w:p w:rsidR="00B0093E" w:rsidRDefault="00762CA6">
            <w:pPr>
              <w:spacing w:after="0" w:line="240" w:lineRule="auto"/>
              <w:rPr>
                <w:rFonts w:eastAsia="Times New Roman" w:cs="Calibri"/>
                <w:noProof/>
                <w:color w:val="006100"/>
                <w:sz w:val="18"/>
                <w:szCs w:val="18"/>
              </w:rPr>
            </w:pPr>
            <w:r>
              <w:rPr>
                <w:noProof/>
                <w:color w:val="006100"/>
                <w:sz w:val="18"/>
                <w:szCs w:val="18"/>
              </w:rPr>
              <w:t>(edunsaajien antama todistus uuden teknologian/tuotteen/maksutositteen integroinnista tuotteiden ja palvelujen oston todistamiseksi).</w:t>
            </w:r>
          </w:p>
        </w:tc>
      </w:tr>
      <w:tr w:rsidR="00B0093E">
        <w:trPr>
          <w:trHeight w:val="309"/>
          <w:jc w:val="center"/>
        </w:trPr>
        <w:tc>
          <w:tcPr>
            <w:tcW w:w="123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132</w:t>
            </w:r>
          </w:p>
        </w:tc>
        <w:tc>
          <w:tcPr>
            <w:tcW w:w="177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7 - 2.3. Yritysten digitalisaatio – 16973_Digitaalisen liiketoimintaekosysteemin perustaminen ja </w:t>
            </w:r>
            <w:r>
              <w:rPr>
                <w:noProof/>
                <w:color w:val="006100"/>
                <w:sz w:val="18"/>
                <w:szCs w:val="18"/>
              </w:rPr>
              <w:t>verokannustimien käyttöönotto pk-yritysten digitalisaation helpottamiseksi</w:t>
            </w:r>
          </w:p>
        </w:tc>
        <w:tc>
          <w:tcPr>
            <w:tcW w:w="98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0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Pk-yritysten lainsäädäntöuudistuksen digitalisaatio teknologian käyttöönoton edistämiseksi</w:t>
            </w:r>
          </w:p>
        </w:tc>
        <w:tc>
          <w:tcPr>
            <w:tcW w:w="137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Primaarilainsäädännön ja hallituksen sekundaarisäädösten voimaantulo siltä osin kuin ne ovat merkityksellisiä digitaalisten investointien verokannustimien käyttöönoton kannalta, ja digitaalisesta hallinnosta vastaavan ministeriön raportit, joissa dokumento</w:t>
            </w:r>
            <w:r>
              <w:rPr>
                <w:noProof/>
                <w:color w:val="006100"/>
                <w:sz w:val="18"/>
                <w:szCs w:val="18"/>
              </w:rPr>
              <w:t xml:space="preserve">idaan digitaalisen liiketoimintaekosysteemin perustaminen. </w:t>
            </w:r>
          </w:p>
        </w:tc>
        <w:tc>
          <w:tcPr>
            <w:tcW w:w="95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2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Q2</w:t>
            </w:r>
          </w:p>
        </w:tc>
        <w:tc>
          <w:tcPr>
            <w:tcW w:w="75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62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Määritetään ja toteutetaan toimia sellaisen digitaalisen liiketoimintaekosysteemin luomiseksi, joka edistää pk-yritysten digitalisaatiota, erityisesti a) luomalla digitaalista infrastr</w:t>
            </w:r>
            <w:r>
              <w:rPr>
                <w:noProof/>
                <w:color w:val="006100"/>
                <w:sz w:val="18"/>
                <w:szCs w:val="18"/>
              </w:rPr>
              <w:t>uktuuria rahoittamalla digitaalisten välineiden ja prosessien tarjontaa ja täytäntöönpanoa sekä lisäämällä yritysjohtajien digitaalista tietoisuutta ja b) kannustamalla suoraan investoimaan digitalisaatioon, hyödyntämällä aineelliseen ja aineettomaan omais</w:t>
            </w:r>
            <w:r>
              <w:rPr>
                <w:noProof/>
                <w:color w:val="006100"/>
                <w:sz w:val="18"/>
                <w:szCs w:val="18"/>
              </w:rPr>
              <w:t>uuteen tehtävien investointien liiallista vähentämistä liiketoimintaympäristön muuttamiseksi ja moderniin digitaaliteknologiaan tehtävien investointien lisäämiseksi.</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Verokannustimia koskevan lainsäädännön, jolla tuetaan talouden viherryttämistä, energia-a</w:t>
            </w:r>
            <w:r>
              <w:rPr>
                <w:noProof/>
                <w:color w:val="006100"/>
                <w:sz w:val="18"/>
                <w:szCs w:val="18"/>
              </w:rPr>
              <w:t>laa ja digitaalista siirtymää, on täytettävä tukikelpoisuusperusteet, joilla varmistetaan, että valitut hankkeet ovat ”ei merkittävää haittaa” -periaatteen teknisten ohjeiden (2021/C58/01) mukaisia, käyttämällä poissulkemisluetteloa ja vaatimusta asiaankuu</w:t>
            </w:r>
            <w:r>
              <w:rPr>
                <w:noProof/>
                <w:color w:val="006100"/>
                <w:sz w:val="18"/>
                <w:szCs w:val="18"/>
              </w:rPr>
              <w:t>luvan EU:n ja kansallisen ympäristölainsäädännön noudattamisesta.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Investoinnit on kohdennettava edistämään investointeja digitaalisaatioon eli sellaisten tuotteiden ja palvelujen hankintaan, jotka liittyvät sähköiseen maksuun, sähköiseen myyntiin ja sähkö</w:t>
            </w:r>
            <w:r>
              <w:rPr>
                <w:noProof/>
                <w:color w:val="006100"/>
                <w:sz w:val="18"/>
                <w:szCs w:val="18"/>
              </w:rPr>
              <w:t>iseen laskutukseen, digitaalisen mainonnan välineisiin, etätyöjärjestelmiin, yritysanalytiikkaan, digitaalisen osaamisen parantamiseen, vara- ja palautumispalveluihin, tekoälyyn, esineiden internetiin, kontaktittomia palveluja varten tarkoitettuihin integr</w:t>
            </w:r>
            <w:r>
              <w:rPr>
                <w:noProof/>
                <w:color w:val="006100"/>
                <w:sz w:val="18"/>
                <w:szCs w:val="18"/>
              </w:rPr>
              <w:t>oituihin ratkaisuihin, kyberturvallisuusjärjestelmiin, pilvipalveluinfrastruktuuriin ja pilvipalveluihin, teollisiin data-alustamalleihin ja -ohjelmistoihin, rekisteröiviin kassakoneisiin ja maksupäätejärjestelmäekosysteemien päivittämiseen.</w:t>
            </w:r>
          </w:p>
        </w:tc>
      </w:tr>
    </w:tbl>
    <w:p w:rsidR="00B0093E" w:rsidRDefault="00B0093E">
      <w:pPr>
        <w:spacing w:before="120" w:after="120" w:line="240" w:lineRule="auto"/>
        <w:jc w:val="both"/>
        <w:outlineLvl w:val="3"/>
        <w:rPr>
          <w:rFonts w:ascii="Times New Roman" w:hAnsi="Times New Roman" w:cs="Times New Roman"/>
          <w:b/>
          <w:bCs/>
          <w:noProof/>
          <w:sz w:val="24"/>
        </w:rPr>
        <w:sectPr w:rsidR="00B0093E">
          <w:headerReference w:type="even" r:id="rId113"/>
          <w:headerReference w:type="default" r:id="rId114"/>
          <w:footerReference w:type="even" r:id="rId115"/>
          <w:footerReference w:type="default" r:id="rId116"/>
          <w:headerReference w:type="first" r:id="rId117"/>
          <w:footerReference w:type="first" r:id="rId118"/>
          <w:pgSz w:w="16839" w:h="11907" w:orient="landscape"/>
          <w:pgMar w:top="1417" w:right="1134" w:bottom="1417" w:left="1134" w:header="709" w:footer="709" w:gutter="0"/>
          <w:cols w:space="720"/>
          <w:docGrid w:linePitch="360"/>
        </w:sectPr>
      </w:pPr>
    </w:p>
    <w:p w:rsidR="00B0093E" w:rsidRDefault="00B0093E">
      <w:pPr>
        <w:spacing w:before="120" w:after="120" w:line="240" w:lineRule="auto"/>
        <w:ind w:left="680" w:firstLine="6"/>
        <w:jc w:val="both"/>
        <w:outlineLvl w:val="3"/>
        <w:rPr>
          <w:rFonts w:ascii="Times New Roman" w:hAnsi="Times New Roman" w:cs="Times New Roman"/>
          <w:b/>
          <w:bCs/>
          <w:noProof/>
          <w:sz w:val="24"/>
        </w:rPr>
        <w:sectPr w:rsidR="00B0093E">
          <w:headerReference w:type="even" r:id="rId119"/>
          <w:headerReference w:type="default" r:id="rId120"/>
          <w:footerReference w:type="even" r:id="rId121"/>
          <w:footerReference w:type="default" r:id="rId122"/>
          <w:headerReference w:type="first" r:id="rId123"/>
          <w:footerReference w:type="first" r:id="rId124"/>
          <w:pgSz w:w="11907" w:h="16839"/>
          <w:pgMar w:top="1134" w:right="1417" w:bottom="1134" w:left="1417" w:header="709" w:footer="709" w:gutter="0"/>
          <w:pgNumType w:start="89"/>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H. KOMPONENTTI 3.1: TYÖPAIKKOJEN LUOMISEN JA TYÖMARKKINOILLE OSALLISTUMISEN EDISTÄMINEN</w:t>
      </w:r>
    </w:p>
    <w:p w:rsidR="00B0093E" w:rsidRDefault="00762CA6">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sz w:val="24"/>
        </w:rPr>
        <w:t xml:space="preserve">Kreikan elpymis- ja palautumissuunnitelman tähän </w:t>
      </w:r>
      <w:r>
        <w:rPr>
          <w:rFonts w:ascii="Times New Roman" w:hAnsi="Times New Roman"/>
          <w:noProof/>
          <w:sz w:val="24"/>
        </w:rPr>
        <w:t xml:space="preserve">komponenttiin sisältyy toimenpiteitä, joilla suunnitellaan uudelleen ja vahvistetaan aktiivista työmarkkinapolitiikkaa, parannetaan julkisten työvoimapalvelujen tehokkuutta ja tarjotaan tehokas turvaverkko työttömyyden torjumiseksi ja vahvistetaan samalla </w:t>
      </w:r>
      <w:r>
        <w:rPr>
          <w:rFonts w:ascii="Times New Roman" w:hAnsi="Times New Roman"/>
          <w:noProof/>
          <w:sz w:val="24"/>
        </w:rPr>
        <w:t>kannustimia työmarkkinoille palaamiseksi.</w:t>
      </w:r>
      <w:r>
        <w:rPr>
          <w:rFonts w:ascii="Times New Roman" w:hAnsi="Times New Roman"/>
          <w:b/>
          <w:noProof/>
          <w:color w:val="000000"/>
          <w:sz w:val="24"/>
          <w:shd w:val="clear" w:color="auto" w:fill="FFFFFF"/>
        </w:rPr>
        <w:t xml:space="preserve"> </w:t>
      </w:r>
      <w:r>
        <w:rPr>
          <w:rFonts w:ascii="Times New Roman" w:hAnsi="Times New Roman"/>
          <w:noProof/>
          <w:sz w:val="24"/>
        </w:rPr>
        <w:t>Suurin osa osatoimenpiteistä keskittyy aktiiviseen työmarkkinapolitiikkaan, mukaan lukien aktivointiohjelmat, joilla tuetaan työllisyyttä yksityisellä sektorilla ja edistetään työvoiman täydennys- ja uudelleenkoulu</w:t>
      </w:r>
      <w:r>
        <w:rPr>
          <w:rFonts w:ascii="Times New Roman" w:hAnsi="Times New Roman"/>
          <w:noProof/>
          <w:sz w:val="24"/>
        </w:rPr>
        <w:t>tusta, sekä investointeja, joilla parannetaan Kreikan julkisen työvoimapalvelun (OAED) valmiuksia parantamalla digitalisaatiota ja neuvontapalveluja.</w:t>
      </w:r>
      <w:r>
        <w:rPr>
          <w:rFonts w:ascii="Times New Roman" w:hAnsi="Times New Roman"/>
          <w:noProof/>
          <w:color w:val="000000"/>
          <w:sz w:val="24"/>
          <w:shd w:val="clear" w:color="auto" w:fill="FFFFFF"/>
        </w:rPr>
        <w:t xml:space="preserve"> </w:t>
      </w:r>
      <w:r>
        <w:rPr>
          <w:rFonts w:ascii="Times New Roman" w:hAnsi="Times New Roman"/>
          <w:noProof/>
          <w:sz w:val="24"/>
        </w:rPr>
        <w:t>Suunnitelmassa pyritään passiivista työvoimapolitiikkaa uudistettaessa parantamaan työttömyysetuuksien kat</w:t>
      </w:r>
      <w:r>
        <w:rPr>
          <w:rFonts w:ascii="Times New Roman" w:hAnsi="Times New Roman"/>
          <w:noProof/>
          <w:sz w:val="24"/>
        </w:rPr>
        <w:t>tavuutta ja jakautumista, lujittamaan sosiaalista turvaverkkoa, edistämään työmarkkinoille osallistumista, myös heikossa asemassa olevien ryhmien keskuudessa, sekä parantamaan sosiaalisen suojelun järjestelmän tehokkuutta ja vaikuttavuutta.</w:t>
      </w:r>
      <w:r>
        <w:rPr>
          <w:rFonts w:ascii="Times New Roman" w:hAnsi="Times New Roman"/>
          <w:noProof/>
          <w:color w:val="000000"/>
          <w:sz w:val="24"/>
          <w:shd w:val="clear" w:color="auto" w:fill="FFFFFF"/>
        </w:rPr>
        <w:t xml:space="preserve"> Komponentti vas</w:t>
      </w:r>
      <w:r>
        <w:rPr>
          <w:rFonts w:ascii="Times New Roman" w:hAnsi="Times New Roman"/>
          <w:noProof/>
          <w:color w:val="000000"/>
          <w:sz w:val="24"/>
          <w:shd w:val="clear" w:color="auto" w:fill="FFFFFF"/>
        </w:rPr>
        <w:t>taa maakohtaisia suosituksia, joilla varmistetaan tehokas työvoiman aktivointituki, investoidaan osaamiseen ja työllistettävyyteen ja parannetaan julkishallinnon digitalisaatiota (maakohtaiset suositukset 2 ja 3 2020 ja maakohtainen suositus 2 2019). Lisäk</w:t>
      </w:r>
      <w:r>
        <w:rPr>
          <w:rFonts w:ascii="Times New Roman" w:hAnsi="Times New Roman"/>
          <w:noProof/>
          <w:color w:val="000000"/>
          <w:sz w:val="24"/>
          <w:shd w:val="clear" w:color="auto" w:fill="FFFFFF"/>
        </w:rPr>
        <w:t xml:space="preserve">si komponentilla tuetaan digitaalista ja vihreää siirtymää keskittymällä muun muassa osaamisen ja työllisyyden edistämiseen digitaalisella ja vihreällä sektorilla. </w:t>
      </w:r>
      <w:r>
        <w:rPr>
          <w:rFonts w:ascii="Times New Roman" w:hAnsi="Times New Roman"/>
          <w:noProof/>
          <w:sz w:val="24"/>
        </w:rPr>
        <w:t>Minkään tähän osa-alueeseen kuuluvan toimenpiteen ei odoteta aiheuttavan merkittävää haittaa</w:t>
      </w:r>
      <w:r>
        <w:rPr>
          <w:rFonts w:ascii="Times New Roman" w:hAnsi="Times New Roman"/>
          <w:noProof/>
          <w:sz w:val="24"/>
        </w:rPr>
        <w:t xml:space="preserve"> asetuksen (EU) 2020/852 17 artiklassa tarkoitetuille ympäristötavoitteille, kun otetaan huomioon elpymis- ja palautumissuunnitelmassa esitettyjen toimenpiteiden kuvaus ja lieventävät toimet ”ei merkittävää haittaa -periaatteen” teknisten ohjeiden (2021/C5</w:t>
      </w:r>
      <w:r>
        <w:rPr>
          <w:rFonts w:ascii="Times New Roman" w:hAnsi="Times New Roman"/>
          <w:noProof/>
          <w:sz w:val="24"/>
        </w:rPr>
        <w:t>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H.1 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Uudistus: </w:t>
      </w:r>
      <w:r>
        <w:rPr>
          <w:rFonts w:ascii="Times New Roman" w:hAnsi="Times New Roman"/>
          <w:noProof/>
          <w:sz w:val="24"/>
        </w:rPr>
        <w:t>Työlainsäädännön nykyaikaistaminen ja yksinkertaistaminen (toimenpiteen tunniste: 16744)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Uudistukseen sisältyy sellaisen kat</w:t>
      </w:r>
      <w:r>
        <w:rPr>
          <w:rFonts w:ascii="Times New Roman" w:hAnsi="Times New Roman"/>
          <w:noProof/>
          <w:sz w:val="24"/>
        </w:rPr>
        <w:t>tavan työlain voimaantulo, jolla virtaviivaistetaan työmarkkinoiden keskeisiä näkökohtia työmarkkinoiden toiminnan parantamiseksi. Uudistuksella pyritään erityisesti nykyaikaistamaan a) yksittäistä työvoimaa koskevaa lakia, b) kollektiivista työtä koskevaa</w:t>
      </w:r>
      <w:r>
        <w:rPr>
          <w:rFonts w:ascii="Times New Roman" w:hAnsi="Times New Roman"/>
          <w:noProof/>
          <w:sz w:val="24"/>
        </w:rPr>
        <w:t xml:space="preserve"> lakia ja ammattiyhdistyslainsäädäntöä, c) työministeriön ERGANI-tietojärjestelmää, jota käytetään työmarkkinoiden seurantaan ja pimeän ja liian vähäisen työn havaitsemiseen, ja d) työ- ja yksityiselämän tasapainottamista koskevaa kehystä. Uudistuksen ylei</w:t>
      </w:r>
      <w:r>
        <w:rPr>
          <w:rFonts w:ascii="Times New Roman" w:hAnsi="Times New Roman"/>
          <w:noProof/>
          <w:sz w:val="24"/>
        </w:rPr>
        <w:t>stavoitteena on lisätä työpaikkojen luomista ja kilpailukykyä, torjua pimeää ja ali-ilmoitettua työtä, parantaa työ- ja yksityiselämän tasapainoa ja kuroa umpeen sukupuolten välistä työllisyyseroa. Uudistus on määrä toteuttaa viimeistään 30 päivänä syyskuu</w:t>
      </w:r>
      <w:r>
        <w:rPr>
          <w:rFonts w:ascii="Times New Roman" w:hAnsi="Times New Roman"/>
          <w:noProof/>
          <w:sz w:val="24"/>
        </w:rPr>
        <w:t>ta 2021.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Työvoimajärjestelmien digitalisaatio (toimenpiteen tunniste: 16750)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Investoinnissa keskitytään nykyaikaistamaan julkishallinnon valmiuksia tarjota työntekijöille ja työnantajille parempia ja nopeampia palveluja, jotta voidaan vähentä</w:t>
      </w:r>
      <w:r>
        <w:rPr>
          <w:rFonts w:ascii="Times New Roman" w:hAnsi="Times New Roman"/>
          <w:noProof/>
          <w:sz w:val="24"/>
        </w:rPr>
        <w:t>ä byrokratiaa, parantaa työmarkkinoiden seurantamekanismien tehokkuutta, vähentää pimeää ja pimeää työtä sekä saada oikea-aikaista ja täsmällistä tietoa. Investointi koostuu erityisesti e-EFKAn (yhdenmukaistettu sosiaaliturvarahasto) digitaalisen infrastru</w:t>
      </w:r>
      <w:r>
        <w:rPr>
          <w:rFonts w:ascii="Times New Roman" w:hAnsi="Times New Roman"/>
          <w:noProof/>
          <w:sz w:val="24"/>
        </w:rPr>
        <w:t>ktuurin parantamisesta, mukaan lukien digitaalinen eläkejärjestelmä (ATLAS), ja erilaisten tietotekniikkajärjestelmien (ERGANI, EFKA ja SEPE) yhdistämisestä yhteen ainoaan järjestelmään (ARIADNE). Investointiin sisältyy myös yhdennetyn työterveyden ja -tur</w:t>
      </w:r>
      <w:r>
        <w:rPr>
          <w:rFonts w:ascii="Times New Roman" w:hAnsi="Times New Roman"/>
          <w:noProof/>
          <w:sz w:val="24"/>
        </w:rPr>
        <w:t>vallisuuden tietojärjestelmän (HERIDANOS) perustaminen. Investointi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Aktiivisen työmarkkinapolitiikan uudistus (toimenpiteen tunniste: 16747)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Aktiivisen työmarkkinapolitiikan uudistuksella</w:t>
      </w:r>
      <w:r>
        <w:rPr>
          <w:rFonts w:ascii="Times New Roman" w:hAnsi="Times New Roman"/>
          <w:noProof/>
          <w:sz w:val="24"/>
        </w:rPr>
        <w:t xml:space="preserve"> pyritään maksimoimaan niiden tehokkuus suunnittelemalla uudelleen ja vahvistamalla palkkatukiohjelmia ja siirtymällä asteittain aktiivisten työmarkkinatoimenpiteiden uuteen täytäntöönpanomalliin. Uudistukseen liittyy merkittäviä investointeja. Näitä ovat </w:t>
      </w:r>
      <w:r>
        <w:rPr>
          <w:rFonts w:ascii="Times New Roman" w:hAnsi="Times New Roman"/>
          <w:noProof/>
          <w:sz w:val="24"/>
        </w:rPr>
        <w:t>muun muassa a) viisi kohdennettua lyhyen aikavälin ohjelmaa, joilla tuetaan yksityisen sektorin työllisyyttä 52 000 työttömälle (mukaan lukien koulutus- ja työllisyystukea yhdistävä ohjelma), b) aktiivisen työmarkkinapolitiikan uuden kokeilukokeilun avoimi</w:t>
      </w:r>
      <w:r>
        <w:rPr>
          <w:rFonts w:ascii="Times New Roman" w:hAnsi="Times New Roman"/>
          <w:noProof/>
          <w:sz w:val="24"/>
        </w:rPr>
        <w:t>en puitteiden täytäntöönpano kolmella muulla maantieteellisellä alueella (joissa osallistujille tarjotaan 22 500 koulutusohjelmaa, 15 000 työllistämistukea ja 852 yrittäjyystukea), c) julkisen työvoimapalvelun neuvontahenkilöstön väliaikainen lisääminen (6</w:t>
      </w:r>
      <w:r>
        <w:rPr>
          <w:rFonts w:ascii="Times New Roman" w:hAnsi="Times New Roman"/>
          <w:noProof/>
          <w:sz w:val="24"/>
        </w:rPr>
        <w:t>00 lisäneuvoja neljän vuoden ajan) ja d)</w:t>
      </w:r>
      <w:r>
        <w:rPr>
          <w:rFonts w:ascii="Times New Roman" w:hAnsi="Times New Roman"/>
          <w:noProof/>
          <w:color w:val="000000"/>
          <w:sz w:val="24"/>
          <w:shd w:val="clear" w:color="auto" w:fill="FFFFFF"/>
        </w:rPr>
        <w:t xml:space="preserve"> </w:t>
      </w:r>
      <w:r>
        <w:rPr>
          <w:rFonts w:ascii="Times New Roman" w:hAnsi="Times New Roman"/>
          <w:noProof/>
          <w:sz w:val="24"/>
        </w:rPr>
        <w:t>Kohdennetulla osalla myönnetyistä avustuksista edistetään vihreää osaamista ja työpaikkoja vihreässä taloudessa. Uudistus ja investoinnit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Passiivi</w:t>
      </w:r>
      <w:r>
        <w:rPr>
          <w:rFonts w:ascii="Times New Roman" w:hAnsi="Times New Roman"/>
          <w:noProof/>
          <w:sz w:val="24"/>
        </w:rPr>
        <w:t>sen työmarkkinapolitiikan uudistus työelämään siirtymisen tukemiseksi (toimenpiteen tunniste: 16746)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käsittää kaksi pilottihanketta työttömyysvakuutusjärjestelmän uudistamiseksi.</w:t>
      </w:r>
      <w:r>
        <w:rPr>
          <w:rFonts w:ascii="Times New Roman" w:hAnsi="Times New Roman"/>
          <w:noProof/>
          <w:color w:val="000000"/>
          <w:sz w:val="24"/>
          <w:shd w:val="clear" w:color="auto" w:fill="FFFFFF"/>
        </w:rPr>
        <w:t xml:space="preserve"> Hankkeissa testataan vaikutuksia, joita aiheutuu a) pitkäaikaistyött</w:t>
      </w:r>
      <w:r>
        <w:rPr>
          <w:rFonts w:ascii="Times New Roman" w:hAnsi="Times New Roman"/>
          <w:noProof/>
          <w:color w:val="000000"/>
          <w:sz w:val="24"/>
          <w:shd w:val="clear" w:color="auto" w:fill="FFFFFF"/>
        </w:rPr>
        <w:t>ömyyskorvauksen tason ja kattavuuden lisääntymisestä ja b) vakiomuotoisen työttömyysetuuden indeksoinnista viimeisimpään nettopalkkatasoon. Lisäksi suunnitelma sisältää kustannustehokkaita uudistuksia, joilla pyritään a) parantamaan julkisten työvoimapalve</w:t>
      </w:r>
      <w:r>
        <w:rPr>
          <w:rFonts w:ascii="Times New Roman" w:hAnsi="Times New Roman"/>
          <w:noProof/>
          <w:color w:val="000000"/>
          <w:sz w:val="24"/>
          <w:shd w:val="clear" w:color="auto" w:fill="FFFFFF"/>
        </w:rPr>
        <w:t>lujen ja työnhakijoiden välisten keskinäisten velvoitteiden kehystä, b) vakiinnuttamaan ja virtaviivaistamaan työttömyysetuuksia ja -avustuksia julkisten menojen tehostamiseksi ja c) poistamaan työttömien taitojen parantamisen ja uudelleenkoulutuksen estei</w:t>
      </w:r>
      <w:r>
        <w:rPr>
          <w:rFonts w:ascii="Times New Roman" w:hAnsi="Times New Roman"/>
          <w:noProof/>
          <w:color w:val="000000"/>
          <w:sz w:val="24"/>
          <w:shd w:val="clear" w:color="auto" w:fill="FFFFFF"/>
        </w:rPr>
        <w:t>tä säilyttämällä heidän oikeutensa työttömyysetuuksiin koulutukseen osallistumisen aikana.</w:t>
      </w:r>
      <w:r>
        <w:rPr>
          <w:rFonts w:ascii="Times New Roman" w:hAnsi="Times New Roman"/>
          <w:noProof/>
          <w:sz w:val="24"/>
        </w:rPr>
        <w:t xml:space="preserve"> Uudistus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OAED:n paikallisten julkisten työvoimapalvelujen uudelleenjärjestely ja -brändäys (KPA2) (toimenpiteen tunniste: 16941)</w:t>
      </w:r>
    </w:p>
    <w:p w:rsidR="00B0093E" w:rsidRDefault="00762CA6">
      <w:pPr>
        <w:spacing w:before="120" w:after="120" w:line="240" w:lineRule="auto"/>
        <w:jc w:val="both"/>
        <w:rPr>
          <w:rFonts w:cs="Calibri"/>
          <w:noProof/>
          <w:color w:val="000000"/>
          <w:shd w:val="clear" w:color="auto" w:fill="FFFFFF"/>
        </w:rPr>
      </w:pPr>
      <w:r>
        <w:rPr>
          <w:rFonts w:ascii="Times New Roman" w:hAnsi="Times New Roman"/>
          <w:noProof/>
          <w:sz w:val="24"/>
        </w:rPr>
        <w:t>Investoinnin tavoitteena on uudistaa Kreikan julkista työvoimapalvelua (OAED) sen palvelujen laadun, yleisen kapasiteetin ja vaikuttavu</w:t>
      </w:r>
      <w:r>
        <w:rPr>
          <w:rFonts w:ascii="Times New Roman" w:hAnsi="Times New Roman"/>
          <w:noProof/>
          <w:sz w:val="24"/>
        </w:rPr>
        <w:t>uden parantamiseksi. Investointiin kuuluu a) julkisen työvoimapalvelun (OAED) organisaatiouudistus, jolla päivitetään sen hallintomallia ja luodaan uusi organisaatiokaavio ja taloushallintojärjestelmä; OAED:n 118 paikallisen yksikön uudelleensuunnittelu ja</w:t>
      </w:r>
      <w:r>
        <w:rPr>
          <w:rFonts w:ascii="Times New Roman" w:hAnsi="Times New Roman"/>
          <w:noProof/>
          <w:sz w:val="24"/>
        </w:rPr>
        <w:t xml:space="preserve"> rakennusten kunnostaminen työllisyyden edistämiseksi (KPA2) panostamalla entistä enemmän räätälöityihin työnhakijoiden ja työpaikkojen kohtaantopalveluihin, tehostettuun neuvontaan ja tiedottamiseen; OAED:n uusi viestintästrategia; parannetaan asiakaspalv</w:t>
      </w:r>
      <w:r>
        <w:rPr>
          <w:rFonts w:ascii="Times New Roman" w:hAnsi="Times New Roman"/>
          <w:noProof/>
          <w:sz w:val="24"/>
        </w:rPr>
        <w:t>elun laadunvalvontamekanismeja mittaamalla ja seuraamalla vaikuttavuutta, tehokkuutta, tuottavuutta ja asiakastyytyväisyyttä; uusien profilointi- ja neuvontapalvelujen käyttöönotto.</w:t>
      </w:r>
      <w:r>
        <w:rPr>
          <w:noProof/>
          <w:color w:val="000000"/>
          <w:shd w:val="clear" w:color="auto" w:fill="FFFFFF"/>
        </w:rPr>
        <w:t> </w:t>
      </w:r>
      <w:r>
        <w:rPr>
          <w:rFonts w:ascii="Times New Roman" w:hAnsi="Times New Roman"/>
          <w:noProof/>
          <w:sz w:val="24"/>
        </w:rPr>
        <w:t>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w:t>
      </w:r>
      <w:r>
        <w:rPr>
          <w:rFonts w:ascii="Times New Roman" w:hAnsi="Times New Roman"/>
          <w:b/>
          <w:bCs/>
          <w:noProof/>
          <w:sz w:val="24"/>
        </w:rPr>
        <w:t>estoinnit:</w:t>
      </w:r>
      <w:r>
        <w:rPr>
          <w:rFonts w:ascii="Times New Roman" w:hAnsi="Times New Roman"/>
          <w:noProof/>
          <w:sz w:val="24"/>
        </w:rPr>
        <w:t xml:space="preserve"> Julkisen työvoimapalvelun (OAED) digitalisaatio (toimenpiteen tunniste: 16942)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Investoinnissa keskitytään julkisen työvoimapalvelun (OAED) digitalisaatioon tarjottavien palvelujen vaikuttavuuden lisäämiseksi. Investointi koskee erityisesti OAED:</w:t>
      </w:r>
      <w:r>
        <w:rPr>
          <w:rFonts w:ascii="Times New Roman" w:hAnsi="Times New Roman"/>
          <w:noProof/>
          <w:sz w:val="24"/>
        </w:rPr>
        <w:t>n arkistojen digitalisointia, sitä, että OAED ostaa useita uusia tietoteknisiä järjestelmiä, sekä verkkopohjaisia että kotoperäisiä sovelluksia, sekä joidenkin sen nykyisten käyttöjärjestelmien uudelleensuunnittelua. Investointi sisältää myös a) digitaalis</w:t>
      </w:r>
      <w:r>
        <w:rPr>
          <w:rFonts w:ascii="Times New Roman" w:hAnsi="Times New Roman"/>
          <w:noProof/>
          <w:sz w:val="24"/>
        </w:rPr>
        <w:t>ten palvelujen laajentamisen (OAED-sovelluksen kautta), jonka ansiosta OAED voi tarjota sähköisiä palveluja työttömille ja yrityksille matkapuhelimilla ja tableteilla, ja b) erittäin pitkälle kehitetty huipputason täsmäytysväline, jonka avulla OAED voi opt</w:t>
      </w:r>
      <w:r>
        <w:rPr>
          <w:rFonts w:ascii="Times New Roman" w:hAnsi="Times New Roman"/>
          <w:noProof/>
          <w:sz w:val="24"/>
        </w:rPr>
        <w:t>imoida työvoiman kysynnän ja tarjonnan yhteensovittamisen. Edellä mainitun investoinnin on johdettava parempaan tiedonhallinta- ja päätöksentekojärjestelmään, resurssien maksimointiin ja parempaan asiakastyytyväisyyteen. Investointi on määrä toteuttaa viim</w:t>
      </w:r>
      <w:r>
        <w:rPr>
          <w:rFonts w:ascii="Times New Roman" w:hAnsi="Times New Roman"/>
          <w:noProof/>
          <w:sz w:val="24"/>
        </w:rPr>
        <w:t>eistään 31 päivänä joulukuuta 2025.</w:t>
      </w: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25"/>
          <w:headerReference w:type="default" r:id="rId126"/>
          <w:footerReference w:type="even" r:id="rId127"/>
          <w:footerReference w:type="default" r:id="rId128"/>
          <w:headerReference w:type="first" r:id="rId129"/>
          <w:footerReference w:type="first" r:id="rId130"/>
          <w:type w:val="continuous"/>
          <w:pgSz w:w="11907" w:h="16839"/>
          <w:pgMar w:top="1134" w:right="1418" w:bottom="1134" w:left="1418" w:header="709" w:footer="709" w:gutter="0"/>
          <w:cols w:space="720"/>
          <w:docGrid w:linePitch="360"/>
        </w:sectPr>
      </w:pPr>
    </w:p>
    <w:p w:rsidR="00B0093E" w:rsidRDefault="00762CA6">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H.2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Keskeinen uudistus 6: </w:t>
      </w:r>
      <w:r>
        <w:rPr>
          <w:rFonts w:ascii="Cambria" w:hAnsi="Cambria"/>
          <w:noProof/>
          <w:color w:val="365F91"/>
          <w:sz w:val="24"/>
        </w:rPr>
        <w:t>Työlainsäädännön nykyaikaistaminen ja yksinkertaistaminen sekä työjärjestelmien digitalisaatio</w:t>
      </w:r>
    </w:p>
    <w:tbl>
      <w:tblPr>
        <w:tblW w:w="15871" w:type="dxa"/>
        <w:tblInd w:w="113" w:type="dxa"/>
        <w:tblLook w:val="04A0" w:firstRow="1" w:lastRow="0" w:firstColumn="1" w:lastColumn="0" w:noHBand="0" w:noVBand="1"/>
      </w:tblPr>
      <w:tblGrid>
        <w:gridCol w:w="1027"/>
        <w:gridCol w:w="2065"/>
        <w:gridCol w:w="1626"/>
        <w:gridCol w:w="2124"/>
        <w:gridCol w:w="2096"/>
        <w:gridCol w:w="1247"/>
        <w:gridCol w:w="966"/>
        <w:gridCol w:w="1006"/>
        <w:gridCol w:w="1387"/>
        <w:gridCol w:w="657"/>
        <w:gridCol w:w="5074"/>
      </w:tblGrid>
      <w:tr w:rsidR="00B0093E">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2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44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817"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w:t>
            </w:r>
            <w:r>
              <w:rPr>
                <w:rFonts w:ascii="Times New Roman" w:hAnsi="Times New Roman"/>
                <w:b/>
                <w:bCs/>
                <w:noProof/>
                <w:sz w:val="18"/>
                <w:szCs w:val="18"/>
              </w:rPr>
              <w:t>iden osalta)</w:t>
            </w:r>
          </w:p>
        </w:tc>
        <w:tc>
          <w:tcPr>
            <w:tcW w:w="1446"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50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56"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4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74"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98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59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507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133</w:t>
            </w:r>
          </w:p>
        </w:tc>
        <w:tc>
          <w:tcPr>
            <w:tcW w:w="18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w:t>
            </w:r>
            <w:r>
              <w:rPr>
                <w:noProof/>
                <w:color w:val="006100"/>
                <w:sz w:val="18"/>
                <w:szCs w:val="18"/>
              </w:rPr>
              <w:t xml:space="preserve"> - 3.1. Työpaikkojen luomisen ja työmarkkinoille osallistumisen edistäminen – 16744_työlainsäädännön nykyaikaistaminen ja yksinkertaistaminen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Työlainsäädännön voimaantulo</w:t>
            </w:r>
          </w:p>
        </w:tc>
        <w:tc>
          <w:tcPr>
            <w:tcW w:w="144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Voimaantuloa osoittava lain säännös — </w:t>
            </w:r>
          </w:p>
        </w:tc>
        <w:tc>
          <w:tcPr>
            <w:tcW w:w="97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50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Voimaan tulee työlaki, </w:t>
            </w:r>
            <w:r>
              <w:rPr>
                <w:noProof/>
                <w:color w:val="006100"/>
                <w:sz w:val="18"/>
                <w:szCs w:val="18"/>
              </w:rPr>
              <w:t>jolla nykyaikaistetaan a) yksittäistä työvoimaa koskevaa lakia, b) kollektiivista työtä ja ammattiyhdistyksiä koskevaa lainsäädäntöä, c) työministeriön ERGANI-tietojärjestelmää, jota käytetään työmarkkinoiden seurantaan ja pimeän ja liian vähäisen työn hav</w:t>
            </w:r>
            <w:r>
              <w:rPr>
                <w:noProof/>
                <w:color w:val="006100"/>
                <w:sz w:val="18"/>
                <w:szCs w:val="18"/>
              </w:rPr>
              <w:t>aitsemiseen, ja d) työ- ja yksityiselämän tasapainottamista koskevaa kehystä.</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134</w:t>
            </w:r>
          </w:p>
        </w:tc>
        <w:tc>
          <w:tcPr>
            <w:tcW w:w="18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8 - 3.1. Työpaikkojen luomisen ja työmarkkinoille osallistumisen edistäminen – 16750_Työjärjestelmien digitalisaatio</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Työhön liittyviä tietoteknisiä järjestelmiä </w:t>
            </w:r>
            <w:r>
              <w:rPr>
                <w:noProof/>
                <w:color w:val="006100"/>
                <w:sz w:val="18"/>
                <w:szCs w:val="18"/>
              </w:rPr>
              <w:t>koskevan sopimuksen tekeminen</w:t>
            </w:r>
          </w:p>
        </w:tc>
        <w:tc>
          <w:tcPr>
            <w:tcW w:w="144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97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0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Tarjouskilpailun loppuun saattaminen seuraavien hankkeiden osalta:</w:t>
            </w:r>
          </w:p>
          <w:p w:rsidR="00B0093E" w:rsidRDefault="00762CA6">
            <w:pPr>
              <w:spacing w:after="0" w:line="240" w:lineRule="auto"/>
              <w:rPr>
                <w:rFonts w:eastAsia="Times New Roman" w:cs="Calibri"/>
                <w:noProof/>
                <w:color w:val="006100"/>
                <w:sz w:val="18"/>
                <w:szCs w:val="18"/>
              </w:rPr>
            </w:pPr>
            <w:r>
              <w:rPr>
                <w:noProof/>
                <w:color w:val="006100"/>
                <w:sz w:val="18"/>
                <w:szCs w:val="18"/>
              </w:rPr>
              <w:t>Yhteinen tietojärjestelmä työmarkkinoiden seurantaa varten (ARIADNE)</w:t>
            </w:r>
          </w:p>
          <w:p w:rsidR="00B0093E" w:rsidRDefault="00762CA6">
            <w:pPr>
              <w:spacing w:after="0" w:line="240" w:lineRule="auto"/>
              <w:rPr>
                <w:rFonts w:eastAsia="Times New Roman" w:cs="Calibri"/>
                <w:noProof/>
                <w:color w:val="006100"/>
                <w:sz w:val="18"/>
                <w:szCs w:val="18"/>
              </w:rPr>
            </w:pPr>
            <w:r>
              <w:rPr>
                <w:noProof/>
                <w:color w:val="006100"/>
                <w:sz w:val="18"/>
                <w:szCs w:val="18"/>
              </w:rPr>
              <w:t>Työterveys ja -turvallisuus (HERIDANOS)</w:t>
            </w:r>
          </w:p>
          <w:p w:rsidR="00B0093E" w:rsidRDefault="00762CA6">
            <w:pPr>
              <w:spacing w:after="0" w:line="240" w:lineRule="auto"/>
              <w:rPr>
                <w:rFonts w:eastAsia="Times New Roman" w:cs="Calibri"/>
                <w:noProof/>
                <w:color w:val="006100"/>
                <w:sz w:val="18"/>
                <w:szCs w:val="18"/>
              </w:rPr>
            </w:pPr>
            <w:r>
              <w:rPr>
                <w:noProof/>
                <w:color w:val="006100"/>
                <w:sz w:val="18"/>
                <w:szCs w:val="18"/>
              </w:rPr>
              <w:t>Lakisääteisen vähimmäispalkan vahvistamisprosessi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—Yhden eläkerahaston (e-EFKA) vakuutushistorian digitalisointi </w:t>
            </w:r>
          </w:p>
          <w:p w:rsidR="00B0093E" w:rsidRDefault="00762CA6">
            <w:pPr>
              <w:spacing w:after="0" w:line="240" w:lineRule="auto"/>
              <w:rPr>
                <w:rFonts w:eastAsia="Times New Roman" w:cs="Calibri"/>
                <w:noProof/>
                <w:color w:val="006100"/>
                <w:sz w:val="18"/>
                <w:szCs w:val="18"/>
              </w:rPr>
            </w:pPr>
            <w:r>
              <w:rPr>
                <w:noProof/>
                <w:color w:val="006100"/>
                <w:sz w:val="18"/>
                <w:szCs w:val="18"/>
              </w:rPr>
              <w:t>Uusi e-EFKA-tietojärjestelmä (EFKA IITS)</w:t>
            </w:r>
          </w:p>
          <w:p w:rsidR="00B0093E" w:rsidRDefault="00762CA6">
            <w:pPr>
              <w:spacing w:after="0" w:line="240" w:lineRule="auto"/>
              <w:rPr>
                <w:rFonts w:eastAsia="Times New Roman" w:cs="Calibri"/>
                <w:noProof/>
                <w:color w:val="006100"/>
                <w:sz w:val="18"/>
                <w:szCs w:val="18"/>
              </w:rPr>
            </w:pPr>
            <w:r>
              <w:rPr>
                <w:noProof/>
                <w:color w:val="006100"/>
                <w:sz w:val="18"/>
                <w:szCs w:val="18"/>
              </w:rPr>
              <w:t>—Digitaalisen eläkejärjestelmän (ATLAS) parantaminen</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135</w:t>
            </w:r>
          </w:p>
        </w:tc>
        <w:tc>
          <w:tcPr>
            <w:tcW w:w="18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8 - 3.1. Työpaikkojen luomisen ja </w:t>
            </w:r>
            <w:r>
              <w:rPr>
                <w:noProof/>
                <w:color w:val="006100"/>
                <w:sz w:val="18"/>
                <w:szCs w:val="18"/>
              </w:rPr>
              <w:t>työmarkkinoille osallistumisen edistäminen – 16942_Julkisen työvoimapalvelun (OAED) digitalisaatio</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OAED:n digitalisointi A3/A4-sivua digitoituja arkistoja</w:t>
            </w:r>
          </w:p>
        </w:tc>
        <w:tc>
          <w:tcPr>
            <w:tcW w:w="144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Digitoitujen OAED-arkistojen A3/A4-sivujen määrä </w:t>
            </w:r>
          </w:p>
        </w:tc>
        <w:tc>
          <w:tcPr>
            <w:tcW w:w="85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98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8 000 000</w:t>
            </w: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0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OAED-arkistojen </w:t>
            </w:r>
            <w:r>
              <w:rPr>
                <w:noProof/>
                <w:color w:val="006100"/>
                <w:sz w:val="18"/>
                <w:szCs w:val="18"/>
              </w:rPr>
              <w:t>8 000 000 A3/A4-sivun digitointi on saatettu päätökseen ja on vahvistettu OAED:n raportissa.</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136</w:t>
            </w:r>
          </w:p>
        </w:tc>
        <w:tc>
          <w:tcPr>
            <w:tcW w:w="18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8 - 3.1. Työpaikkojen luomisen ja työmarkkinoille osallistumisen edistäminen – 16750_Työjärjestelmien digitalisaatio</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ATLAS-eläkejärjestelmän </w:t>
            </w:r>
            <w:r>
              <w:rPr>
                <w:noProof/>
                <w:color w:val="006100"/>
                <w:sz w:val="18"/>
                <w:szCs w:val="18"/>
              </w:rPr>
              <w:t>valmistuminen</w:t>
            </w:r>
          </w:p>
        </w:tc>
        <w:tc>
          <w:tcPr>
            <w:tcW w:w="144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Järjestelmää koskevan johdetun oikeuden voimaantulo</w:t>
            </w:r>
          </w:p>
        </w:tc>
        <w:tc>
          <w:tcPr>
            <w:tcW w:w="97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50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Saatetaan päätökseen digitaalisen eläkejärjestelmän (ATLAS) päivitys, joka mahdollistaa eläke- ja kertasuoritusperusteisten etuuksien hakemusten paremman käsittelyn, kun </w:t>
            </w:r>
            <w:r>
              <w:rPr>
                <w:noProof/>
                <w:color w:val="006100"/>
                <w:sz w:val="18"/>
                <w:szCs w:val="18"/>
              </w:rPr>
              <w:t>järjestelmää koskeva sekundaarilainsäädäntö tulee voimaan.</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137</w:t>
            </w:r>
          </w:p>
        </w:tc>
        <w:tc>
          <w:tcPr>
            <w:tcW w:w="18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8 - 3.1. Työpaikkojen luomisen ja työmarkkinoille osallistumisen edistäminen – 16750_Työjärjestelmien digitalisaatio</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Yhtenäistä tietotekniikkajärjestelmää ARIADNEA koskevan </w:t>
            </w:r>
            <w:r>
              <w:rPr>
                <w:noProof/>
                <w:color w:val="006100"/>
                <w:sz w:val="18"/>
                <w:szCs w:val="18"/>
              </w:rPr>
              <w:t>sekundäärilainsäädännön voimaantulo</w:t>
            </w:r>
          </w:p>
        </w:tc>
        <w:tc>
          <w:tcPr>
            <w:tcW w:w="144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Sekundaarilainsäädännön voimaantulo, jolla käynnistetään maanlaajuinen tietojen keruu järjestelmän kautta</w:t>
            </w:r>
          </w:p>
        </w:tc>
        <w:tc>
          <w:tcPr>
            <w:tcW w:w="97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50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Otetaan käyttöön yhtenäinen tietojärjestelmä (ARIADNE) työmarkkinoiden seurantaa varten ottamalla käyttöön sekundaarilainsäädäntö, jolla käynnistetään maanlaajuinen tietojen keruu järjestelmän kautta. </w:t>
            </w:r>
          </w:p>
          <w:p w:rsidR="00B0093E" w:rsidRDefault="00762CA6">
            <w:pPr>
              <w:spacing w:after="0" w:line="240" w:lineRule="auto"/>
              <w:rPr>
                <w:rFonts w:eastAsia="Times New Roman" w:cs="Calibri"/>
                <w:noProof/>
                <w:color w:val="006100"/>
                <w:sz w:val="18"/>
                <w:szCs w:val="18"/>
              </w:rPr>
            </w:pPr>
            <w:r>
              <w:rPr>
                <w:noProof/>
                <w:color w:val="006100"/>
                <w:sz w:val="18"/>
                <w:szCs w:val="18"/>
              </w:rPr>
              <w:t>Järjestelmä varmistaa työajan digitaalisen kirjaamisen</w:t>
            </w:r>
            <w:r>
              <w:rPr>
                <w:noProof/>
                <w:color w:val="006100"/>
                <w:sz w:val="18"/>
                <w:szCs w:val="18"/>
              </w:rPr>
              <w:t xml:space="preserve"> (sähköinen työkortti, aika ja läsnäolo) ja yhden portin työllisyyttä ja sosiaaliturvaa koskeville hallinnollisille tiedoille.</w:t>
            </w:r>
          </w:p>
        </w:tc>
      </w:tr>
    </w:tbl>
    <w:p w:rsidR="00B0093E" w:rsidRDefault="00B0093E">
      <w:pPr>
        <w:spacing w:before="120" w:after="120" w:line="240" w:lineRule="auto"/>
        <w:jc w:val="both"/>
        <w:rPr>
          <w:rFonts w:ascii="Times New Roman" w:hAnsi="Times New Roman" w:cs="Times New Roman"/>
          <w:noProof/>
          <w:sz w:val="24"/>
        </w:rPr>
        <w:sectPr w:rsidR="00B0093E">
          <w:headerReference w:type="even" r:id="rId131"/>
          <w:headerReference w:type="default" r:id="rId132"/>
          <w:footerReference w:type="even" r:id="rId133"/>
          <w:footerReference w:type="default" r:id="rId134"/>
          <w:headerReference w:type="first" r:id="rId135"/>
          <w:footerReference w:type="first" r:id="rId136"/>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 xml:space="preserve">I. KOMPONENTTI 3.2: YLEISSIVISTÄVÄ JA AMMATILLINEN KOULUTUS SEKÄ </w:t>
      </w:r>
      <w:r>
        <w:rPr>
          <w:rFonts w:ascii="Times New Roman" w:hAnsi="Times New Roman"/>
          <w:b/>
          <w:bCs/>
          <w:noProof/>
          <w:sz w:val="24"/>
        </w:rPr>
        <w:t>OSAAMINEN</w:t>
      </w:r>
    </w:p>
    <w:p w:rsidR="00B0093E" w:rsidRDefault="00762CA6">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sz w:val="24"/>
        </w:rPr>
        <w:t>Kreikan elpymis- ja palautumissuunnitelman tällä komponentilla pyritään parantamaan koulutus- ja elinikäisen oppimisen järjestelmien laatua, tehokkuutta ja vaikuttavuutta. Komponenttiin sisältyy investointi digitaalisia, vihreitä ja finanssiosaam</w:t>
      </w:r>
      <w:r>
        <w:rPr>
          <w:rFonts w:ascii="Times New Roman" w:hAnsi="Times New Roman"/>
          <w:noProof/>
          <w:sz w:val="24"/>
        </w:rPr>
        <w:t>iseen liittyviä taitoja koskeviin horisontaalisiin koulutusohjelmiin yhteensä 628 000 edunsaajalle. Tähän liittyy elinikäisen oppimisen järjestelmän uudistus koulutuksen tarjonnan parantamiseksi sekä uudistus- ja investointipaketti, jossa keskitytään ammat</w:t>
      </w:r>
      <w:r>
        <w:rPr>
          <w:rFonts w:ascii="Times New Roman" w:hAnsi="Times New Roman"/>
          <w:noProof/>
          <w:sz w:val="24"/>
        </w:rPr>
        <w:t>illiseen koulutukseen ja oppisopimusjärjestelmiin niiden työmarkkinarelevanssin parantamiseksi. Ammatillisen koulutuksen osalta suunnitelmassa pyritään parantamaan ammatillisen koulutuksen perusrakenteita ja laitteita, nykyaikaistamaan nykyisiä opetussuunn</w:t>
      </w:r>
      <w:r>
        <w:rPr>
          <w:rFonts w:ascii="Times New Roman" w:hAnsi="Times New Roman"/>
          <w:noProof/>
          <w:sz w:val="24"/>
        </w:rPr>
        <w:t>itelmia ja kehittämään uusia ammatillisia profiileja muun muassa energia-, ympäristö- ja digitaalitalouden aloilla. Lisäksi suunnitelmassa esitetään korkeakoulujen huippuosaamista koskeva uusi strategia, jonka tavoitteena on parantaa korkeakoulujen tutkimu</w:t>
      </w:r>
      <w:r>
        <w:rPr>
          <w:rFonts w:ascii="Times New Roman" w:hAnsi="Times New Roman"/>
          <w:noProof/>
          <w:sz w:val="24"/>
        </w:rPr>
        <w:t>stuloksia ja koulutuksen laatua investoimalla tutkimus- ja koulutusinfrastruktuurien parantamiseen, tukemalla tutkimushankkeita ja tohtorintutkintoa koskevia hankkeita myös yhteistyössä yksityisen sektorin kanssa sekä vierailevien professuurien ohjelmia. N</w:t>
      </w:r>
      <w:r>
        <w:rPr>
          <w:rFonts w:ascii="Times New Roman" w:hAnsi="Times New Roman"/>
          <w:noProof/>
          <w:sz w:val="24"/>
        </w:rPr>
        <w:t>äihin uudistuksiin liittyy koulutusjärjestelmän digitalisointiin tehtäviä investointeja, joista suuri osa suunnataan interaktiivisiin oppimisjärjestelmiin perus- ja keskiasteen oppilaitoksissa ja arvoseteleihin pienituloisten perheiden oppilaille ja opiske</w:t>
      </w:r>
      <w:r>
        <w:rPr>
          <w:rFonts w:ascii="Times New Roman" w:hAnsi="Times New Roman"/>
          <w:noProof/>
          <w:sz w:val="24"/>
        </w:rPr>
        <w:t>lijoille tietotekniikkalaitteiden hankintaa varten.</w:t>
      </w:r>
      <w:r>
        <w:rPr>
          <w:rFonts w:ascii="Times New Roman" w:hAnsi="Times New Roman"/>
          <w:noProof/>
          <w:color w:val="000000"/>
          <w:sz w:val="24"/>
          <w:shd w:val="clear" w:color="auto" w:fill="FFFFFF"/>
        </w:rPr>
        <w:t xml:space="preserve">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 xml:space="preserve">Tämä komponentti vastaa maakohtaisia suosituksia investoida koulutukseen, työllistettävyyteen ja osaamiseen sekä parantaa julkishallinnon digitalisaatiota (maakohtaiset suositukset 3 2020 ja 2 2019). </w:t>
      </w:r>
      <w:r>
        <w:rPr>
          <w:rFonts w:ascii="Times New Roman" w:hAnsi="Times New Roman"/>
          <w:noProof/>
          <w:sz w:val="24"/>
        </w:rPr>
        <w:t>Minkään tähän osa-alueeseen kuuluvan toimenpiteen ei odoteta aiheuttavan merkittävää haittaa asetuksen (EU) 2020/852 17 artiklassa tarkoitetuille ympäristötavoitteille, kun otetaan huomioon elpymis- ja palautumissuunnitelmassa esitettyjen toimenpiteiden ku</w:t>
      </w:r>
      <w:r>
        <w:rPr>
          <w:rFonts w:ascii="Times New Roman" w:hAnsi="Times New Roman"/>
          <w:noProof/>
          <w:sz w:val="24"/>
        </w:rPr>
        <w:t>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I.1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Uusi elinikäisen taidon strateg</w:t>
      </w:r>
      <w:r>
        <w:rPr>
          <w:rFonts w:ascii="Times New Roman" w:hAnsi="Times New Roman"/>
          <w:noProof/>
          <w:sz w:val="24"/>
        </w:rPr>
        <w:t>ia: Kreikan täydennys- ja uudelleenkoulutusjärjestelmän nykyaikaistaminen ja päivittäminen (toimenpiteen tunniste: 16913)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Uudistuksella pyritään parantamaan elinikäisen oppimisen puitteita sen laadun ja työmarkkinarelevanssin parantamiseksi. Uudistuksella </w:t>
      </w:r>
      <w:r>
        <w:rPr>
          <w:rFonts w:ascii="Times New Roman" w:hAnsi="Times New Roman"/>
          <w:noProof/>
          <w:sz w:val="24"/>
        </w:rPr>
        <w:t xml:space="preserve">voidaan erityisesti seurata paremmin työmarkkinoiden tarpeita ja vastata niihin parantamalla eri ministeriöiden ja virastojen olemassa olevien tietokokonaisuuksien nykyaikaistamista, päivittämistä ja yhteenliittämistä, mukaan lukien vuonna 2016 perustettu </w:t>
      </w:r>
      <w:r>
        <w:rPr>
          <w:rFonts w:ascii="Times New Roman" w:hAnsi="Times New Roman"/>
          <w:noProof/>
          <w:sz w:val="24"/>
        </w:rPr>
        <w:t>työmarkkinoiden valvontamekanismi. Uudistuksessa on myös otettava käyttöön elinikäinen taitotili, jonka odotetaan olevan tärkein väline jatkuvan koulutuksen tarjoamiseksi yksilöllisten tarpeiden mukaan, sekä uusi kansallisten kelpoisuusvaatimukset täyttävi</w:t>
      </w:r>
      <w:r>
        <w:rPr>
          <w:rFonts w:ascii="Times New Roman" w:hAnsi="Times New Roman"/>
          <w:noProof/>
          <w:sz w:val="24"/>
        </w:rPr>
        <w:t>en koulutuksen tarjoajien luettelo, jossa kouluttajiin sovelletaan panospohjaisia vähimmäislaatuvaatimuksia. Uudistuksen tuloksena perustetaan uusi hallintorakenne, kansallinen osaamisneuvosto, jonka toimipaikkana on OAED ja joka vastaa kansallisen osaamis</w:t>
      </w:r>
      <w:r>
        <w:rPr>
          <w:rFonts w:ascii="Times New Roman" w:hAnsi="Times New Roman"/>
          <w:noProof/>
          <w:sz w:val="24"/>
        </w:rPr>
        <w:t>strategian vuotuisen päivityksen suunnittelusta. Uudistuksen yhteydessä investoidaan eri väestöryhmille suunnattuihin horisontaalisiin taitojen parantamisohjelmiin, joiden tavoitteena on a) perustason ja keskitason digitaaliset taidot, b) vihreät taidot ja</w:t>
      </w:r>
      <w:r>
        <w:rPr>
          <w:rFonts w:ascii="Times New Roman" w:hAnsi="Times New Roman"/>
          <w:noProof/>
          <w:sz w:val="24"/>
        </w:rPr>
        <w:t xml:space="preserve"> c) finanssiosaamista koskevat taidot. Uudistus ja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Huippuosaamisstrategia korkeakoulujen ja innovoinnin osa-alueella (toimenpiteen tunniste: 16289)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para</w:t>
      </w:r>
      <w:r>
        <w:rPr>
          <w:rFonts w:ascii="Times New Roman" w:hAnsi="Times New Roman"/>
          <w:noProof/>
          <w:sz w:val="24"/>
        </w:rPr>
        <w:t>ntamaan Kreikan yliopistojen tutkimustuloksia ja suuntautumista ulospäin muun muassa houkuttelemalla pätevää ja arvostettua akateemista ja tutkimushenkilöstöä sekä parantamaan opiskelijoille tarjottavan koulutuksen laatua ja työmarkkinarelevanssia. Uudistu</w:t>
      </w:r>
      <w:r>
        <w:rPr>
          <w:rFonts w:ascii="Times New Roman" w:hAnsi="Times New Roman"/>
          <w:noProof/>
          <w:sz w:val="24"/>
        </w:rPr>
        <w:t>ksessa kaavaillaan erityisesti a) 70 tutkimushankkeen (tutkimuksen huippuosaamisklusterit) rahoitusjärjestelmää, joka suunnataan merkittäville kansallisille tai kansainvälisille tutkijoille. Tavoitteena on kannustaa heitä  toteuttamaan innovatiivisia ja yh</w:t>
      </w:r>
      <w:r>
        <w:rPr>
          <w:rFonts w:ascii="Times New Roman" w:hAnsi="Times New Roman"/>
          <w:noProof/>
          <w:sz w:val="24"/>
        </w:rPr>
        <w:t>teistyöhön perustuvia tutkimushankkeita yksityisen sektorin yritysten kanssa Kreikassa; b) rahoitusjärjestely (vierailevat professuurit), jolla kannustetaan 250:tä ulkomaisten yliopistojen tai tutkimuslaitosten (kohdennettu ensisijaisesti EU:n ulkopuolisii</w:t>
      </w:r>
      <w:r>
        <w:rPr>
          <w:rFonts w:ascii="Times New Roman" w:hAnsi="Times New Roman"/>
          <w:noProof/>
          <w:sz w:val="24"/>
        </w:rPr>
        <w:t>n yliopistoihin) akateemisen henkilöstön jäsentä tulemaan Kreikan yliopistoihin enintään kolmeksi vuodeksi ja osallistumaan tutkimusyhteistyöhankkeisiin Kreikassa tai ulkomailla toimivien yksityisen sektorin yritysten kanssa; c) valikoitujen Kreikan yliopi</w:t>
      </w:r>
      <w:r>
        <w:rPr>
          <w:rFonts w:ascii="Times New Roman" w:hAnsi="Times New Roman"/>
          <w:noProof/>
          <w:sz w:val="24"/>
        </w:rPr>
        <w:t>stojen ja soveltavan tieteen ja teknologian yliopistoyksikköjen tutkimus- ja koulutusinfrastruktuurien parantaminen; d) 249 teollisuuden tohtorikoulutusohjelman rahoittaminen kolmen vuoden ajan yhteistyössä yksityisen sektorin yritysten kanssa; rahoituksen</w:t>
      </w:r>
      <w:r>
        <w:rPr>
          <w:rFonts w:ascii="Times New Roman" w:hAnsi="Times New Roman"/>
          <w:noProof/>
          <w:sz w:val="24"/>
        </w:rPr>
        <w:t xml:space="preserve"> tarjoaminen yksittäisille tutkijoille tai tutkijaryhmille huippuosaamisen kriteerien perusteella; f) rahoitetaan kouluttajien pedagogisen ja opetustaitojen riittävyyden sertifiointia koskevan Educator-todistuksen kehittämistä (puoli vuotta yliopisto-opetu</w:t>
      </w:r>
      <w:r>
        <w:rPr>
          <w:rFonts w:ascii="Times New Roman" w:hAnsi="Times New Roman"/>
          <w:noProof/>
          <w:sz w:val="24"/>
        </w:rPr>
        <w:t>sta ja puoli vuotta opetusta kouluissa 30 000 opettajaehdokkaan koeharjoitteluna) ja g) Kreikan kansallisen kirjastoverkoston digitalisointi.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Oppisopimusjärjestelmän vahvistamin</w:t>
      </w:r>
      <w:r>
        <w:rPr>
          <w:rFonts w:ascii="Times New Roman" w:hAnsi="Times New Roman"/>
          <w:noProof/>
          <w:sz w:val="24"/>
        </w:rPr>
        <w:t>en (toimenpiteen tunniste: 16794)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luoda uudelleen julkisen työvoimapalvelun (OAED EPAS) oppisopimuslaitokset, jotka ovat olennainen osa ammatillista koulutusta ja nuorten työllisyyttä koskevaa hallituksen strategiaa. Uudistukseen</w:t>
      </w:r>
      <w:r>
        <w:rPr>
          <w:rFonts w:ascii="Times New Roman" w:hAnsi="Times New Roman"/>
          <w:noProof/>
          <w:sz w:val="24"/>
        </w:rPr>
        <w:t xml:space="preserve"> sisältyy erityisesti 1) uuden oikeudellisen kehyksen käyttöönotto ammatillista koulutusta koskevaa kansallista järjestelmää varten; Suunnitellaan ja pannaan täytäntöön uusi järjestelmä, jolla parannetaan OAED:n (EPAS) ammatillisen koulutuksen oppilaitoste</w:t>
      </w:r>
      <w:r>
        <w:rPr>
          <w:rFonts w:ascii="Times New Roman" w:hAnsi="Times New Roman"/>
          <w:noProof/>
          <w:sz w:val="24"/>
        </w:rPr>
        <w:t>n laadunvalvontaa, arvioidaan sen tuloksia ja seurataan opiskelijoiden edistymistä ja suoriutumista työmarkkinoilla; 3) oppimisprosessien yksinkertaistaminen ja uusien menetelmien ja välineiden, kuten verkko-oppimisen alustojen ja digitaalisen koulutussisä</w:t>
      </w:r>
      <w:r>
        <w:rPr>
          <w:rFonts w:ascii="Times New Roman" w:hAnsi="Times New Roman"/>
          <w:noProof/>
          <w:sz w:val="24"/>
        </w:rPr>
        <w:t>llön, integrointi sekä oppisopimusoppilaille että kouluttajille; Nykyisten opetussuunnitelmien arviointi, uudelleensuunnittelu ja päivittäminen (työmarkkinaosapuolten ja työnantajien myötävaikutuksella), jotta ne vastaisivat paremmin työmarkkinoiden todell</w:t>
      </w:r>
      <w:r>
        <w:rPr>
          <w:rFonts w:ascii="Times New Roman" w:hAnsi="Times New Roman"/>
          <w:noProof/>
          <w:sz w:val="24"/>
        </w:rPr>
        <w:t xml:space="preserve">isia tarpeita; Ammatillisen koulutuksen infrastruktuurin (laboratoriot ja laitteet) uudistaminen ja nykyaikaistaminen; 6) EPAS-rakennusten kunnostaminen energiatehokkuuden ja tilan toimivuuden parantamiseksi; Virtuaalitodellisuuden teknologian integrointi </w:t>
      </w:r>
      <w:r>
        <w:rPr>
          <w:rFonts w:ascii="Times New Roman" w:hAnsi="Times New Roman"/>
          <w:noProof/>
          <w:sz w:val="24"/>
        </w:rPr>
        <w:t>jokapäiväisiin oppimismoduuleihin; 8) ad hoc -kumppanuuksien edistäminen työnantajien ja kamarien kanssa sekä EPAS-oppilaitosten perustaminen; Koulujen rakentaminen vihreään siirtymään liittyviä ammatteja varten; 10) nykyisen uratoimistojen verkoston laaje</w:t>
      </w:r>
      <w:r>
        <w:rPr>
          <w:rFonts w:ascii="Times New Roman" w:hAnsi="Times New Roman"/>
          <w:noProof/>
          <w:sz w:val="24"/>
        </w:rPr>
        <w:t>ntaminen; 11) laaja-alaisen kouluttajien kouluttamista koskevan ohjelman täytäntöönpano EPAS-kouluissa; 12) rahoitetaan tiedotuskampanja oppisopimusjärjestelmän edistämiseksi. Kohdennetulla osalla myönnetyistä avustuksista edistetään vihreää osaamista ja t</w:t>
      </w:r>
      <w:r>
        <w:rPr>
          <w:rFonts w:ascii="Times New Roman" w:hAnsi="Times New Roman"/>
          <w:noProof/>
          <w:sz w:val="24"/>
        </w:rPr>
        <w:t>yöpaikkoja sekä vihreää taloutta.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Energiatehokkuutta parantavien peruskorjausten ja -toimenpiteiden on oltava i) rakennusten kunnostamisesta annetussa komission suosituksessa (EU) 2019/786</w:t>
      </w:r>
      <w:r>
        <w:rPr>
          <w:rFonts w:ascii="Times New Roman" w:hAnsi="Times New Roman"/>
          <w:noProof/>
          <w:sz w:val="24"/>
        </w:rPr>
        <w:t xml:space="preserve"> määritellyn keskipitkän peruskorjauksen tai b) suorien ja välillisten kasvihuonekaasupäästöjen vähentämiseksi keskimäärin vähintään 30 prosenttia ennakkopäästöihin verrattuna. Minkään tähän osa-alueeseen kuuluvan toimenpiteen ei odoteta aiheuttavan merkit</w:t>
      </w:r>
      <w:r>
        <w:rPr>
          <w:rFonts w:ascii="Times New Roman" w:hAnsi="Times New Roman"/>
          <w:noProof/>
          <w:sz w:val="24"/>
        </w:rPr>
        <w:t>tävää haittaa asetuksen (EU) 2020/852 17 artiklassa tarkoitetuille ympäristötavoitteille, kun otetaan huomioon elpymis- ja palautumissuunnitelmassa esitettyjen toimenpiteen kuvaus ja lieventävät toimet ”ei merkittävää haittaa -periaatteen” teknisten ohjeid</w:t>
      </w:r>
      <w:r>
        <w:rPr>
          <w:rFonts w:ascii="Times New Roman" w:hAnsi="Times New Roman"/>
          <w:noProof/>
          <w:sz w:val="24"/>
        </w:rPr>
        <w:t>en (2021/C58/01) mukaisesti. Toimenpiteessä edellytetään erityisesti, että rakennustyöt suorittavien talouden toimijoiden on varmistettava, että vähintään 70 prosenttia (painoprosentteina) rakennustyömaalla tuotetusta vaarattomasta rakennus- ja purkujättee</w:t>
      </w:r>
      <w:r>
        <w:rPr>
          <w:rFonts w:ascii="Times New Roman" w:hAnsi="Times New Roman"/>
          <w:noProof/>
          <w:sz w:val="24"/>
        </w:rPr>
        <w:t>stä (lukuun ottamatta luokkaan 17 05 04 kuuluvaa luonnosta peräisin olevaa ainesta, joka sisältyy Euroopan jäteluetteloon, joka on perustettu 3 päivänä toukokuuta 2000 tehdyllä päätöksellä 2000/532/EY jätteistä annetun neuvoston direktiivin 75/442/ETY 1 ar</w:t>
      </w:r>
      <w:r>
        <w:rPr>
          <w:rFonts w:ascii="Times New Roman" w:hAnsi="Times New Roman"/>
          <w:noProof/>
          <w:sz w:val="24"/>
        </w:rPr>
        <w:t>tiklan a alakohdan mukaisen jäteluettelon laatimisesta tehdyn komission päätöksen 94/3/EY ja vaarallisista jätteistä annetun neuvoston direktiivin 91/689/ETY 1 artiklan 4 kohdan mukaisen vaarallisten jätteiden luettelon laatimisesta tehdyn neuvoston päätök</w:t>
      </w:r>
      <w:r>
        <w:rPr>
          <w:rFonts w:ascii="Times New Roman" w:hAnsi="Times New Roman"/>
          <w:noProof/>
          <w:sz w:val="24"/>
        </w:rPr>
        <w:t>sen 94/904/EY korvaamisesta (tiedoksiannettu numerolla K(2000) 1147)) valmistellaan uudelleenkäyttöön, kierrätykseen ja muuhun materiaalien hyödyntämiseen, mukaan lukien maantäyttötoimet, joissa käytetään jätettä korvaamaan muita materiaaleja, jätehierarki</w:t>
      </w:r>
      <w:r>
        <w:rPr>
          <w:rFonts w:ascii="Times New Roman" w:hAnsi="Times New Roman"/>
          <w:noProof/>
          <w:sz w:val="24"/>
        </w:rPr>
        <w:t>an ja EU:n rakennus- ja purkujätteen käsittely- ja kierrätysmallin mukaisesti.</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Uudistu</w:t>
      </w:r>
      <w:r>
        <w:rPr>
          <w:rFonts w:ascii="Times New Roman" w:hAnsi="Times New Roman"/>
          <w:b/>
          <w:bCs/>
          <w:noProof/>
          <w:sz w:val="24"/>
        </w:rPr>
        <w:t>s:</w:t>
      </w:r>
      <w:r>
        <w:rPr>
          <w:rFonts w:ascii="Times New Roman" w:hAnsi="Times New Roman"/>
          <w:noProof/>
          <w:sz w:val="24"/>
        </w:rPr>
        <w:t xml:space="preserve"> Työvoiman koulutus, uudelleen- ja täydennyskoulutus uudistetun koulutusmallin avulla (ammatillisen koulutuksen uudistus) (toimenpiteen tunniste: 16792)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w:t>
      </w:r>
      <w:r>
        <w:rPr>
          <w:rFonts w:ascii="Times New Roman" w:hAnsi="Times New Roman"/>
          <w:noProof/>
          <w:sz w:val="24"/>
        </w:rPr>
        <w:t>oitteena on 1) parantaa julkisen työvoimapalvelun (OAED) ammatillisen koulutuksen yksiköiden laadunvalvontaa (kuten arviointijärjestelmät, joilla seurataan harjoittelijoiden edistymistä ja suoriutumista), 2) päivittää niiden moduulit työmarkkinoiden nykyis</w:t>
      </w:r>
      <w:r>
        <w:rPr>
          <w:rFonts w:ascii="Times New Roman" w:hAnsi="Times New Roman"/>
          <w:noProof/>
          <w:sz w:val="24"/>
        </w:rPr>
        <w:t>ten ja tulevien tarpeiden mukaisesti osana OAED:n aktiivisen työmarkkinapolitiikan kattavaa uudistusta, 3) edistää verkko-oppimista ja koulutussisällön digitalisointia, 4) uudistaa työllisyyden ja ammatillisen koulutuksen tiliä (LAEK), josta rahoitetaan am</w:t>
      </w:r>
      <w:r>
        <w:rPr>
          <w:rFonts w:ascii="Times New Roman" w:hAnsi="Times New Roman"/>
          <w:noProof/>
          <w:sz w:val="24"/>
        </w:rPr>
        <w:t>matillista koulutusta koskevaa ohjelmaa. Tähän liittyy investointeja laboratorioiden kunnostamiseen ja laitetoimituksiin.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Ammatillisen koulutuksen parantaminen (toimenpiteen tunn</w:t>
      </w:r>
      <w:r>
        <w:rPr>
          <w:rFonts w:ascii="Times New Roman" w:hAnsi="Times New Roman"/>
          <w:noProof/>
          <w:sz w:val="24"/>
        </w:rPr>
        <w:t>iste: 16934)</w:t>
      </w:r>
    </w:p>
    <w:p w:rsidR="00B0093E" w:rsidRDefault="00762CA6">
      <w:pPr>
        <w:spacing w:before="120" w:after="120" w:line="240" w:lineRule="auto"/>
        <w:jc w:val="both"/>
        <w:rPr>
          <w:rFonts w:ascii="Segoe UI" w:hAnsi="Segoe UI" w:cs="Segoe UI"/>
          <w:noProof/>
          <w:sz w:val="18"/>
          <w:szCs w:val="18"/>
        </w:rPr>
      </w:pPr>
      <w:r>
        <w:rPr>
          <w:rFonts w:ascii="Times New Roman" w:hAnsi="Times New Roman"/>
          <w:noProof/>
          <w:sz w:val="24"/>
        </w:rPr>
        <w:t>Ehdotetulla uudistuksella pyritään nopeuttamaan lain 4763/2020 täytäntöönpanoa. Ehdotettujen toimien odotetaan 1) edistävän sitä, että ammatillisesta koulutuksesta tehdään houkutteleva koulutuspolku, 2) vahvistamaan koulutuksen ja työmarkkinoi</w:t>
      </w:r>
      <w:r>
        <w:rPr>
          <w:rFonts w:ascii="Times New Roman" w:hAnsi="Times New Roman"/>
          <w:noProof/>
          <w:sz w:val="24"/>
        </w:rPr>
        <w:t>den tarpeiden välistä yhteyttä ja 3) tarjoamaan vihreän siirtymän ja digitaalisen siirtymän edellyttämiä taitoja ja parantamaan erityisesti nuorten työllisyysnäkymiä. Uudistus koostuu seuraavista komponenteista: a) viiden temaattisen ja kymmenen kokeellise</w:t>
      </w:r>
      <w:r>
        <w:rPr>
          <w:rFonts w:ascii="Times New Roman" w:hAnsi="Times New Roman"/>
          <w:noProof/>
          <w:sz w:val="24"/>
        </w:rPr>
        <w:t>n IEK:n (ammattioppilaitokset) suunnittelu ja kehittäminen rakennusten kunnostamisen, laitteiden ja aineiston toimittamisen, uusien opetussuunnitelmien ja koulutusohjelmien kehittämisen sekä kouluttajille tarjottavan lisäkoulutuksen avulla; b) 25:n malliam</w:t>
      </w:r>
      <w:r>
        <w:rPr>
          <w:rFonts w:ascii="Times New Roman" w:hAnsi="Times New Roman"/>
          <w:noProof/>
          <w:sz w:val="24"/>
        </w:rPr>
        <w:t>mattioppilaitoksen (Model EPAL) suunnittelu ja kehittäminen rakennusten kunnostamisen, laitteiden ja aineiston toimittamisen, uusien opetussuunnitelmien ja koulutusohjelmien kehittämisen sekä opetushenkilöstön lisäkoulutuksen (Model ΕPΑL) avulla; c) tutkin</w:t>
      </w:r>
      <w:r>
        <w:rPr>
          <w:rFonts w:ascii="Times New Roman" w:hAnsi="Times New Roman"/>
          <w:noProof/>
          <w:sz w:val="24"/>
        </w:rPr>
        <w:t>tojen ja ammatillisen ohjauksen kansallisen sertifiointiorganisaation (EOPPEP) digitaalisten palvelujen laajentaminen ja sellaisen verkko-opiskelualustan kehittäminen, jolla käytössä oleva oppimateriaali muunnetaan verkko-oppimismoduuleiksi; 200 ammattipro</w:t>
      </w:r>
      <w:r>
        <w:rPr>
          <w:rFonts w:ascii="Times New Roman" w:hAnsi="Times New Roman"/>
          <w:noProof/>
          <w:sz w:val="24"/>
        </w:rPr>
        <w:t xml:space="preserve">fiilin kehittäminen ja sertifiointi energia-, ympäristö- ja digitaalitalouden aloilla.  </w:t>
      </w:r>
      <w:r>
        <w:rPr>
          <w:rFonts w:ascii="Times New Roman" w:hAnsi="Times New Roman"/>
          <w:noProof/>
          <w:color w:val="000000"/>
          <w:sz w:val="24"/>
          <w:szCs w:val="24"/>
        </w:rPr>
        <w:t>Kaikilla hankkeilla pyritään kannustamaan naisten osallistumista ammatilliseen koulutukseen ja edistämään heidän johtamistaitojaan.</w:t>
      </w:r>
      <w:r>
        <w:rPr>
          <w:rFonts w:ascii="Times New Roman" w:hAnsi="Times New Roman"/>
          <w:noProof/>
          <w:sz w:val="24"/>
        </w:rPr>
        <w:t xml:space="preserve"> Uudistus on määrä toteuttaa viimeist</w:t>
      </w:r>
      <w:r>
        <w:rPr>
          <w:rFonts w:ascii="Times New Roman" w:hAnsi="Times New Roman"/>
          <w:noProof/>
          <w:sz w:val="24"/>
        </w:rPr>
        <w: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Koulutuksen digitalisaatio (toimenpiteen tunniste: 16676)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Investointiin sisältyy koulutuksen digitalisaatio sisällön, infrastruktuurin ja palvelujen osalta, ja siihen liittyy kattava uudistusstrategia </w:t>
      </w:r>
      <w:r>
        <w:rPr>
          <w:rFonts w:ascii="Times New Roman" w:hAnsi="Times New Roman"/>
          <w:noProof/>
          <w:sz w:val="24"/>
        </w:rPr>
        <w:t>opetussuunnitelmien päivittämiseksi, palvelujen rationalisoimiseksi ja koulutustulosten seuraamiseksi. Investointi koostuu seuraavista komponenteista: Digitaalinen sisältö kouluissa digitaaliset laitteet kouluissa; opettajien ammatillinen kehittyminen koul</w:t>
      </w:r>
      <w:r>
        <w:rPr>
          <w:rFonts w:ascii="Times New Roman" w:hAnsi="Times New Roman"/>
          <w:noProof/>
          <w:sz w:val="24"/>
        </w:rPr>
        <w:t>uissa ja digitaaliset palvelut kouluissa ja yliopistoissa.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Ammatillisen koulutuksen parantaminen: Laboratoriolaitteiden toimittaminen laboratoriokeskuksiin IEK:n, EPAL:n, </w:t>
      </w:r>
      <w:r>
        <w:rPr>
          <w:rFonts w:ascii="Times New Roman" w:hAnsi="Times New Roman"/>
          <w:noProof/>
          <w:sz w:val="24"/>
        </w:rPr>
        <w:t>toisen vuoden oppisopimusluokan ja ammatillisen koulutuksen oppilaitoksiin (toimenpiteen tunniste: 16933)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Tällä investoinnilla parannetaan ja nykyaikaistetaan ammatillisen koulutuksen laitosten laboratorioinfrastruktuureja kaikkialla Kreikassa, erityisesti</w:t>
      </w:r>
      <w:r>
        <w:rPr>
          <w:rFonts w:ascii="Times New Roman" w:hAnsi="Times New Roman"/>
          <w:noProof/>
          <w:sz w:val="24"/>
        </w:rPr>
        <w:t xml:space="preserve"> ammatillisen koulutuksen instituuttien (IEK), ammattikorkeakoulujen (EPAL), toisen vuoden oppisopimusluokan ja ammatillisen koulutuksen koulujen osalta. Tämä investointi täydentää ammatillisen koulutuksen parantamiseen tähtäävää uudistusta. Investointi on</w:t>
      </w:r>
      <w:r>
        <w:rPr>
          <w:rFonts w:ascii="Times New Roman" w:hAnsi="Times New Roman"/>
          <w:noProof/>
          <w:sz w:val="24"/>
        </w:rPr>
        <w:t xml:space="preserve"> määrä toteuttaa viimeistään 31 päivänä joulukuuta 2025.</w:t>
      </w: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i/>
          <w:iCs/>
          <w:noProof/>
          <w:color w:val="4F81BD"/>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37"/>
          <w:headerReference w:type="default" r:id="rId138"/>
          <w:footerReference w:type="even" r:id="rId139"/>
          <w:footerReference w:type="default" r:id="rId140"/>
          <w:headerReference w:type="first" r:id="rId141"/>
          <w:footerReference w:type="first" r:id="rId142"/>
          <w:pgSz w:w="11907" w:h="16839"/>
          <w:pgMar w:top="1134" w:right="1418" w:bottom="1134" w:left="1418" w:header="709" w:footer="709" w:gutter="0"/>
          <w:cols w:space="720"/>
          <w:docGrid w:linePitch="360"/>
        </w:sectPr>
      </w:pPr>
    </w:p>
    <w:p w:rsidR="00B0093E" w:rsidRDefault="00762CA6">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I.2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Suurin investointi 5: Uusi elinikäisen taidon strategia: Kreikan täydennys- ja uudelleenkoulutusjärjestelmän nykyaikaistaminen ja parantaminen</w:t>
      </w:r>
    </w:p>
    <w:tbl>
      <w:tblPr>
        <w:tblW w:w="15502" w:type="dxa"/>
        <w:jc w:val="center"/>
        <w:tblLayout w:type="fixed"/>
        <w:tblLook w:val="04A0" w:firstRow="1" w:lastRow="0" w:firstColumn="1" w:lastColumn="0" w:noHBand="0" w:noVBand="1"/>
      </w:tblPr>
      <w:tblGrid>
        <w:gridCol w:w="1188"/>
        <w:gridCol w:w="1319"/>
        <w:gridCol w:w="1043"/>
        <w:gridCol w:w="1142"/>
        <w:gridCol w:w="1459"/>
        <w:gridCol w:w="1332"/>
        <w:gridCol w:w="870"/>
        <w:gridCol w:w="998"/>
        <w:gridCol w:w="850"/>
        <w:gridCol w:w="709"/>
        <w:gridCol w:w="4592"/>
      </w:tblGrid>
      <w:tr w:rsidR="00B0093E">
        <w:trPr>
          <w:trHeight w:val="927"/>
          <w:tblHeade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142"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b/>
                <w:bCs/>
                <w:noProof/>
                <w:sz w:val="18"/>
                <w:szCs w:val="18"/>
              </w:rPr>
              <w:t>(välitavoitteiden osalta)</w:t>
            </w:r>
          </w:p>
        </w:tc>
        <w:tc>
          <w:tcPr>
            <w:tcW w:w="3200"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5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jc w:val="center"/>
        </w:trPr>
        <w:tc>
          <w:tcPr>
            <w:tcW w:w="1188"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42"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3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70"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998"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592"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138</w:t>
            </w:r>
          </w:p>
        </w:tc>
        <w:tc>
          <w:tcPr>
            <w:tcW w:w="13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9 - 3.2. Yleissivistävä ja ammatillinen koulutus sekä osaaminen – 16913_Elinikäistä oppimista koskeva strategia: Kreikan täydennys- ja uudelleenkoulutusjärjestelmän nykyaikaistaminen ja parantaminen</w:t>
            </w:r>
          </w:p>
        </w:tc>
        <w:tc>
          <w:tcPr>
            <w:tcW w:w="104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iCs/>
                <w:noProof/>
                <w:color w:val="006100"/>
                <w:sz w:val="18"/>
                <w:szCs w:val="18"/>
              </w:rPr>
              <w:t>Elinikäisen oppimisen strategia lainsäädä</w:t>
            </w:r>
            <w:r>
              <w:rPr>
                <w:iCs/>
                <w:noProof/>
                <w:color w:val="006100"/>
                <w:sz w:val="18"/>
                <w:szCs w:val="18"/>
              </w:rPr>
              <w:t>nnön voimaantulo</w:t>
            </w:r>
          </w:p>
        </w:tc>
        <w:tc>
          <w:tcPr>
            <w:tcW w:w="145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Primaari- ja sekundaarilainsäädännön voimaantulo </w:t>
            </w:r>
          </w:p>
        </w:tc>
        <w:tc>
          <w:tcPr>
            <w:tcW w:w="133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7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5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Elinikäisen oppimisen kansallisen strategian pohjalta tulee voimaan primaari- ja sekundaarilainsäädäntö, jossa vahvistetaan elinikäisen oppimisen uuden kehyksen keskeiset osate</w:t>
            </w:r>
            <w:r>
              <w:rPr>
                <w:noProof/>
                <w:color w:val="006100"/>
                <w:sz w:val="18"/>
                <w:szCs w:val="18"/>
              </w:rPr>
              <w:t>kijät (mukaan lukien säännökset kansallisen osaamisneuvoston perustamisesta keskitetyksi valvontaelimeksi, elinikäisen oppimisen tilien perustamisesta, kansallisten kelpoisuusvaatimukset täyttävien koulutuksen tarjoajien luettelosta ja tulostaulusta sekä t</w:t>
            </w:r>
            <w:r>
              <w:rPr>
                <w:noProof/>
                <w:color w:val="006100"/>
                <w:sz w:val="18"/>
                <w:szCs w:val="18"/>
              </w:rPr>
              <w:t>yömarkkinoiden diagnosointimekanismista).</w:t>
            </w:r>
          </w:p>
        </w:tc>
      </w:tr>
      <w:tr w:rsidR="00B0093E">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139</w:t>
            </w:r>
          </w:p>
        </w:tc>
        <w:tc>
          <w:tcPr>
            <w:tcW w:w="13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9 - 3.2. Yleissivistävä ja ammatillinen koulutus sekä osaaminen – 16913_Elinikäistä oppimista koskeva strategia: Kreikan täydennys- ja uudelleenkoulutusjärjestelmän nykyaikaistaminen ja parantaminen</w:t>
            </w:r>
          </w:p>
        </w:tc>
        <w:tc>
          <w:tcPr>
            <w:tcW w:w="104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1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Elinikäisen oppimisen strategian loppuunsaattamisen validointi koulutusohjelmissa</w:t>
            </w:r>
          </w:p>
        </w:tc>
        <w:tc>
          <w:tcPr>
            <w:tcW w:w="145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3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Niiden henkilöiden lukumäärä, jotka saivat todistuksen menestyksestä</w:t>
            </w:r>
          </w:p>
          <w:p w:rsidR="00B0093E" w:rsidRDefault="00762CA6">
            <w:pPr>
              <w:spacing w:after="0" w:line="240" w:lineRule="auto"/>
              <w:rPr>
                <w:rFonts w:eastAsia="Times New Roman" w:cs="Calibri"/>
                <w:noProof/>
                <w:color w:val="006100"/>
                <w:sz w:val="18"/>
                <w:szCs w:val="18"/>
              </w:rPr>
            </w:pPr>
            <w:r>
              <w:rPr>
                <w:noProof/>
                <w:color w:val="006100"/>
                <w:sz w:val="18"/>
                <w:szCs w:val="18"/>
              </w:rPr>
              <w:t>osallistuminen koulutusohjelmaan</w:t>
            </w:r>
          </w:p>
        </w:tc>
        <w:tc>
          <w:tcPr>
            <w:tcW w:w="87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99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150 000</w:t>
            </w: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5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Digitaalista, vihreää ja talouslukutaitoa koskevien koulutusohjelmien loppuun saattaminen vähintään 150 000 osallistujalle ja kaikkien menestyneiden osallistujien hankkimien taitojen validointi ja sertifiointi.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Tällä investoinnilla vastataan seuraavien v</w:t>
            </w:r>
            <w:r>
              <w:rPr>
                <w:noProof/>
                <w:color w:val="006100"/>
                <w:sz w:val="18"/>
                <w:szCs w:val="18"/>
              </w:rPr>
              <w:t xml:space="preserve">äestöryhmien digitaalisen, vihreän ja finanssiosaamisen tarpeeseen: työttömiä, erityisesti nuoriso- ja pitkäaikaistyöttömiä, b) työntekijöitä, erityisesti niitä, joilla on suuri työttömyysriski, ja niitä, jotka jäävät jälkeen työtilateknologian vuoksi, c) </w:t>
            </w:r>
            <w:r>
              <w:rPr>
                <w:noProof/>
                <w:color w:val="006100"/>
                <w:sz w:val="18"/>
                <w:szCs w:val="18"/>
              </w:rPr>
              <w:t xml:space="preserve">työntekijöitä, erityisesti pk-yrityksissä, joiden valmiudet yrityksen sisäiseen koulutukseen ovat rajalliset, d) julkisen sektorin työntekijöitä, mukaan lukien opettajat. Tarjolla olevat taidot ovat seuraavat: perustason digitaaliset taidot, b) keskitason </w:t>
            </w:r>
            <w:r>
              <w:rPr>
                <w:noProof/>
                <w:color w:val="006100"/>
                <w:sz w:val="18"/>
                <w:szCs w:val="18"/>
              </w:rPr>
              <w:t>digitaaliset taidot, c) vihreät taidot ja d) finanssiosaamista koskevat taidot.</w:t>
            </w:r>
          </w:p>
        </w:tc>
      </w:tr>
      <w:tr w:rsidR="00B0093E">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140</w:t>
            </w:r>
          </w:p>
        </w:tc>
        <w:tc>
          <w:tcPr>
            <w:tcW w:w="131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9 - 3.2. Yleissivistävä ja ammatillinen koulutus sekä osaaminen – 16913_Elinikäistä oppimista koskeva strategia: Kreikan täydennys- ja uudelleenkoulutusjärjestelmän </w:t>
            </w:r>
            <w:r>
              <w:rPr>
                <w:noProof/>
                <w:color w:val="006100"/>
                <w:sz w:val="18"/>
                <w:szCs w:val="18"/>
              </w:rPr>
              <w:t>nykyaikaistaminen ja parantaminen</w:t>
            </w:r>
          </w:p>
        </w:tc>
        <w:tc>
          <w:tcPr>
            <w:tcW w:w="104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14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Koulutusohjelmat Elinikäisen oppimisen strategian valmistumisen validointi</w:t>
            </w:r>
          </w:p>
        </w:tc>
        <w:tc>
          <w:tcPr>
            <w:tcW w:w="145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133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Niiden henkilöiden lukumäärä, jotka saivat todistuksen menestyksestä </w:t>
            </w:r>
          </w:p>
          <w:p w:rsidR="00B0093E" w:rsidRDefault="00B0093E">
            <w:pPr>
              <w:spacing w:after="0" w:line="240" w:lineRule="auto"/>
              <w:rPr>
                <w:rFonts w:eastAsia="Times New Roman" w:cs="Calibri"/>
                <w:noProof/>
                <w:color w:val="006100"/>
                <w:sz w:val="18"/>
                <w:szCs w:val="18"/>
              </w:rPr>
            </w:pPr>
          </w:p>
        </w:tc>
        <w:tc>
          <w:tcPr>
            <w:tcW w:w="87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150 000</w:t>
            </w:r>
          </w:p>
        </w:tc>
        <w:tc>
          <w:tcPr>
            <w:tcW w:w="99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500 000</w:t>
            </w:r>
          </w:p>
        </w:tc>
        <w:tc>
          <w:tcPr>
            <w:tcW w:w="85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59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500 000 osallistujan digitaalista, vihreää ja talouslukutaitoa koskevien koulutusohjelmien loppuun saattaminen (kumulatiivinen, aalto 1 ja 2) sekä koulutusohjelmien molemmissa vaiheissa hankittujen taitojen validointi ja sertifiointi kaikille koulutusohjel</w:t>
            </w:r>
            <w:r>
              <w:rPr>
                <w:noProof/>
                <w:color w:val="006100"/>
                <w:sz w:val="18"/>
                <w:szCs w:val="18"/>
              </w:rPr>
              <w:t xml:space="preserve">man menestyksekkäästi suorittaneille osallistujille.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Osallistujien kokonaismäärästä vähintään 33 prosentin (167 000 osallistujaa) on täytynyt toteuttaa vihreään osaamiseen ja vihreän talouden työpaikkoihin liittyviä koulutusohjelmia. </w:t>
            </w:r>
          </w:p>
        </w:tc>
      </w:tr>
    </w:tbl>
    <w:p w:rsidR="00B0093E" w:rsidRDefault="00B0093E">
      <w:pPr>
        <w:spacing w:before="120" w:after="120" w:line="240" w:lineRule="auto"/>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szCs w:val="24"/>
        </w:rPr>
      </w:pPr>
      <w:r>
        <w:rPr>
          <w:rFonts w:ascii="Cambria" w:hAnsi="Cambria"/>
          <w:noProof/>
          <w:color w:val="365F91"/>
          <w:sz w:val="24"/>
        </w:rPr>
        <w:t xml:space="preserve">Ryhmä 11: </w:t>
      </w:r>
      <w:r>
        <w:rPr>
          <w:rFonts w:ascii="Cambria" w:hAnsi="Cambria"/>
          <w:noProof/>
          <w:color w:val="365F91"/>
          <w:sz w:val="24"/>
        </w:rPr>
        <w:t>Työpaikkojen luomisen ja työmarkkinoille osallistumisen edistäminen / Yleissivistävä koulutus, ammatillinen koulutus ja osaaminen – OAED-uudistukset ja -investoinnit</w:t>
      </w:r>
    </w:p>
    <w:p w:rsidR="00B0093E" w:rsidRDefault="00762CA6">
      <w:pPr>
        <w:numPr>
          <w:ilvl w:val="0"/>
          <w:numId w:val="42"/>
        </w:numPr>
        <w:spacing w:before="120" w:after="0" w:line="240" w:lineRule="auto"/>
        <w:jc w:val="both"/>
        <w:rPr>
          <w:rFonts w:ascii="Times New Roman" w:hAnsi="Times New Roman" w:cs="Times New Roman"/>
          <w:noProof/>
        </w:rPr>
      </w:pPr>
      <w:r>
        <w:rPr>
          <w:rFonts w:ascii="Times New Roman" w:hAnsi="Times New Roman"/>
          <w:noProof/>
          <w:sz w:val="24"/>
        </w:rPr>
        <w:t>OAED:n paikallisten julkisten työvoimapalvelujen uudelleenjärjestely ja -brändäys (KPA2) (</w:t>
      </w:r>
      <w:r>
        <w:rPr>
          <w:rFonts w:ascii="Times New Roman" w:hAnsi="Times New Roman"/>
          <w:noProof/>
          <w:sz w:val="24"/>
        </w:rPr>
        <w:t>tunniste: 16941)</w:t>
      </w:r>
    </w:p>
    <w:p w:rsidR="00B0093E" w:rsidRDefault="00762CA6">
      <w:pPr>
        <w:numPr>
          <w:ilvl w:val="0"/>
          <w:numId w:val="42"/>
        </w:numPr>
        <w:spacing w:before="120" w:after="0" w:line="240" w:lineRule="auto"/>
        <w:jc w:val="both"/>
        <w:rPr>
          <w:rFonts w:ascii="Times New Roman" w:hAnsi="Times New Roman" w:cs="Times New Roman"/>
          <w:noProof/>
          <w:sz w:val="24"/>
        </w:rPr>
      </w:pPr>
      <w:r>
        <w:rPr>
          <w:rFonts w:ascii="Times New Roman" w:hAnsi="Times New Roman"/>
          <w:noProof/>
          <w:sz w:val="24"/>
        </w:rPr>
        <w:t>Aktiivisen työmarkkinapolitiikan uudistus (tunniste: 16747)</w:t>
      </w:r>
    </w:p>
    <w:p w:rsidR="00B0093E" w:rsidRDefault="00762CA6">
      <w:pPr>
        <w:numPr>
          <w:ilvl w:val="0"/>
          <w:numId w:val="42"/>
        </w:numPr>
        <w:spacing w:before="120" w:after="0" w:line="240" w:lineRule="auto"/>
        <w:jc w:val="both"/>
        <w:rPr>
          <w:rFonts w:ascii="Times New Roman" w:hAnsi="Times New Roman" w:cs="Times New Roman"/>
          <w:noProof/>
          <w:sz w:val="24"/>
        </w:rPr>
      </w:pPr>
      <w:r>
        <w:rPr>
          <w:rFonts w:ascii="Times New Roman" w:hAnsi="Times New Roman"/>
          <w:noProof/>
          <w:sz w:val="24"/>
        </w:rPr>
        <w:t>Oppisopimusjärjestelmän parantaminen (tunniste: 16794)</w:t>
      </w:r>
    </w:p>
    <w:p w:rsidR="00B0093E" w:rsidRDefault="00762CA6">
      <w:pPr>
        <w:numPr>
          <w:ilvl w:val="0"/>
          <w:numId w:val="42"/>
        </w:numPr>
        <w:spacing w:before="120" w:after="0" w:line="240" w:lineRule="auto"/>
        <w:jc w:val="both"/>
        <w:rPr>
          <w:rFonts w:ascii="Times New Roman" w:hAnsi="Times New Roman" w:cs="Times New Roman"/>
          <w:noProof/>
          <w:sz w:val="24"/>
        </w:rPr>
      </w:pPr>
      <w:r>
        <w:rPr>
          <w:rFonts w:ascii="Times New Roman" w:hAnsi="Times New Roman"/>
          <w:noProof/>
          <w:sz w:val="24"/>
        </w:rPr>
        <w:t>Passiivisen työmarkkinapolitiikan uudistaminen työelämään siirtymisen tukemiseksi (tunniste: 16746)</w:t>
      </w:r>
    </w:p>
    <w:p w:rsidR="00B0093E" w:rsidRDefault="00762CA6">
      <w:pPr>
        <w:numPr>
          <w:ilvl w:val="0"/>
          <w:numId w:val="42"/>
        </w:numPr>
        <w:spacing w:before="120" w:after="120" w:line="240" w:lineRule="auto"/>
        <w:jc w:val="both"/>
        <w:rPr>
          <w:rFonts w:ascii="Times New Roman" w:hAnsi="Times New Roman" w:cs="Times New Roman"/>
          <w:noProof/>
          <w:sz w:val="24"/>
        </w:rPr>
        <w:sectPr w:rsidR="00B0093E">
          <w:headerReference w:type="even" r:id="rId143"/>
          <w:headerReference w:type="default" r:id="rId144"/>
          <w:footerReference w:type="even" r:id="rId145"/>
          <w:footerReference w:type="default" r:id="rId146"/>
          <w:headerReference w:type="first" r:id="rId147"/>
          <w:footerReference w:type="first" r:id="rId148"/>
          <w:pgSz w:w="16839" w:h="11907" w:orient="landscape"/>
          <w:pgMar w:top="720" w:right="720" w:bottom="720" w:left="720" w:header="709" w:footer="709" w:gutter="0"/>
          <w:cols w:space="720"/>
          <w:docGrid w:linePitch="360"/>
        </w:sectPr>
      </w:pPr>
      <w:r>
        <w:rPr>
          <w:rFonts w:ascii="Times New Roman" w:hAnsi="Times New Roman"/>
          <w:noProof/>
          <w:sz w:val="24"/>
        </w:rPr>
        <w:t>Työvoima-, uudelleen- ja täydennyskoulutus uudistetun koulutusmallin avulla (ammatillisen koulutuksen uudistus) (tunniste: 16792)</w:t>
      </w:r>
    </w:p>
    <w:tbl>
      <w:tblPr>
        <w:tblW w:w="15730" w:type="dxa"/>
        <w:tblInd w:w="113" w:type="dxa"/>
        <w:tblLook w:val="04A0" w:firstRow="1" w:lastRow="0" w:firstColumn="1" w:lastColumn="0" w:noHBand="0" w:noVBand="1"/>
      </w:tblPr>
      <w:tblGrid>
        <w:gridCol w:w="1116"/>
        <w:gridCol w:w="2633"/>
        <w:gridCol w:w="1626"/>
        <w:gridCol w:w="2336"/>
        <w:gridCol w:w="2251"/>
        <w:gridCol w:w="1537"/>
        <w:gridCol w:w="966"/>
        <w:gridCol w:w="1006"/>
        <w:gridCol w:w="1387"/>
        <w:gridCol w:w="742"/>
        <w:gridCol w:w="4522"/>
      </w:tblGrid>
      <w:tr w:rsidR="00B0093E">
        <w:trPr>
          <w:trHeight w:val="927"/>
          <w:tblHeader/>
        </w:trPr>
        <w:tc>
          <w:tcPr>
            <w:tcW w:w="111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65"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w:t>
            </w:r>
            <w:r>
              <w:rPr>
                <w:rFonts w:ascii="Times New Roman" w:hAnsi="Times New Roman"/>
                <w:b/>
                <w:bCs/>
                <w:noProof/>
                <w:sz w:val="18"/>
                <w:szCs w:val="18"/>
              </w:rPr>
              <w:t>rit   (välitavoitteiden osalta)</w:t>
            </w:r>
          </w:p>
        </w:tc>
        <w:tc>
          <w:tcPr>
            <w:tcW w:w="2772"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8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5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trPr>
        <w:tc>
          <w:tcPr>
            <w:tcW w:w="111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65"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5"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24"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13"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4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141</w:t>
            </w:r>
          </w:p>
        </w:tc>
        <w:tc>
          <w:tcPr>
            <w:tcW w:w="17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8 - 3.1. Edistetään työpaikkojen luomista ja osallistumista työmarkkinoille – 16941_OAED:n paikallisten julkisten työvoimapalvelujen uudelleenjärjestely ja -brändäys (KPA2)</w:t>
            </w:r>
          </w:p>
        </w:tc>
        <w:tc>
          <w:tcPr>
            <w:tcW w:w="109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6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OAED:n organisaatiouudistus lainsäädännön voimaantulo </w:t>
            </w:r>
          </w:p>
        </w:tc>
        <w:tc>
          <w:tcPr>
            <w:tcW w:w="147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w:t>
            </w:r>
            <w:r>
              <w:rPr>
                <w:noProof/>
                <w:color w:val="006100"/>
                <w:sz w:val="18"/>
                <w:szCs w:val="18"/>
              </w:rPr>
              <w:t xml:space="preserve">nön voimaantulo </w:t>
            </w:r>
          </w:p>
        </w:tc>
        <w:tc>
          <w:tcPr>
            <w:tcW w:w="113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4"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5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Kreikan julkisen työvoimapalvelun (OAED) organisaatiouudistuksen voimaantulo, sen paikallisten julkisten työvoimapalvelujen uudelleenjärjestely, uudistaminen ja uudelleenbrändäys tarjottavien palvelujen laadun, kapasiteetin ja v</w:t>
            </w:r>
            <w:r>
              <w:rPr>
                <w:noProof/>
                <w:color w:val="006100"/>
                <w:sz w:val="18"/>
                <w:szCs w:val="18"/>
              </w:rPr>
              <w:t>aikuttavuuden parantamiseksi.</w:t>
            </w:r>
          </w:p>
        </w:tc>
      </w:tr>
      <w:tr w:rsidR="00B0093E">
        <w:trPr>
          <w:trHeight w:val="309"/>
        </w:trPr>
        <w:tc>
          <w:tcPr>
            <w:tcW w:w="111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142</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8 - 3.1. Työpaikkojen luomisen ja työmarkkinoille osallistumisen edistäminen – 16746_Reforming Passiivinen työmarkkinapolitiikka työelämään siirtymisen tukemiseksi</w:t>
            </w:r>
          </w:p>
        </w:tc>
        <w:tc>
          <w:tcPr>
            <w:tcW w:w="109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6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 xml:space="preserve">Keskinäisten velvoitteiden uudistus lainsäädännön voimaantulo </w:t>
            </w:r>
          </w:p>
        </w:tc>
        <w:tc>
          <w:tcPr>
            <w:tcW w:w="147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Lainsäädännön voimaantulo</w:t>
            </w:r>
          </w:p>
        </w:tc>
        <w:tc>
          <w:tcPr>
            <w:tcW w:w="113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5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Voimaan tulee lainsäädäntöä, jolla uudistetaan keskinäisiä velvoitteita koskevaa kehystä, jossa määritellään julkisen työvoimapalvelun ja työnhakijan </w:t>
            </w:r>
            <w:r>
              <w:rPr>
                <w:noProof/>
                <w:color w:val="006100"/>
                <w:sz w:val="18"/>
                <w:szCs w:val="18"/>
              </w:rPr>
              <w:t>välinen suhde. Uudistukseen sisältyy muun muassa aktiivisen työnhaun uusi määritelmä ja seuraamukset niille työttömille, jotka eivät noudata uusia sääntöjä.</w:t>
            </w:r>
          </w:p>
        </w:tc>
      </w:tr>
      <w:tr w:rsidR="00B0093E">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143</w:t>
            </w:r>
          </w:p>
        </w:tc>
        <w:tc>
          <w:tcPr>
            <w:tcW w:w="17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9 - 3.2. Yleissivistävä ja ammatillinen koulutus sekä osaaminen – 16792_Työvoiman koulutus, </w:t>
            </w:r>
            <w:r>
              <w:rPr>
                <w:noProof/>
                <w:color w:val="006100"/>
                <w:sz w:val="18"/>
                <w:szCs w:val="18"/>
              </w:rPr>
              <w:t>uudelleenkoulutus ja täydennyskoulutus uudistetun koulutusmallin avulla (ammatillisen koulutuksen uudistus)</w:t>
            </w:r>
          </w:p>
        </w:tc>
        <w:tc>
          <w:tcPr>
            <w:tcW w:w="109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6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Ammatillisen koulutuksen laadunvalvontajärjestelmää koskevan sopimuksen tekeminen</w:t>
            </w:r>
          </w:p>
        </w:tc>
        <w:tc>
          <w:tcPr>
            <w:tcW w:w="147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hankintasopimuksen tekemisestä</w:t>
            </w:r>
          </w:p>
        </w:tc>
        <w:tc>
          <w:tcPr>
            <w:tcW w:w="113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4"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5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Ammatillisen koulutuksen laadunvalvontajärjestelmää koskeva sopimus, jonka tarkoituksena oli parantaa Kreikan julkisen työvoimapalvelun (OAED) ammatillisen koulutuksen yksikköjen laadunvalvontaa pääasiassa arvioimalla sen tulosta ja seuraamalla harjoitteli</w:t>
            </w:r>
            <w:r>
              <w:rPr>
                <w:noProof/>
                <w:color w:val="006100"/>
                <w:sz w:val="18"/>
                <w:szCs w:val="18"/>
              </w:rPr>
              <w:t>joiden edistymistä ja suoriutumista työmarkkinoilla.</w:t>
            </w:r>
          </w:p>
        </w:tc>
      </w:tr>
      <w:tr w:rsidR="00B0093E">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144</w:t>
            </w:r>
          </w:p>
        </w:tc>
        <w:tc>
          <w:tcPr>
            <w:tcW w:w="17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8 - 3.1. Työpaikkojen luomisen ja työmarkkinoille osallistumisen edistäminen – 16747_Aktiivisen työmarkkinapolitiikan uudistaminen</w:t>
            </w:r>
          </w:p>
        </w:tc>
        <w:tc>
          <w:tcPr>
            <w:tcW w:w="109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6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Aktiivisen työmarkkinapolitiikan uudelleenkoulutuksen työllisyysohjelman loppuun saattaminen </w:t>
            </w:r>
          </w:p>
        </w:tc>
        <w:tc>
          <w:tcPr>
            <w:tcW w:w="147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Niiden työttömien määrä (25-45-vuotiaat), jotka saivat todistuksen menestyksestä</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koulutusohjelman loppuun saattaminen </w:t>
            </w:r>
          </w:p>
        </w:tc>
        <w:tc>
          <w:tcPr>
            <w:tcW w:w="9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13 500</w:t>
            </w: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5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Kattava </w:t>
            </w:r>
            <w:r>
              <w:rPr>
                <w:noProof/>
                <w:color w:val="006100"/>
                <w:sz w:val="18"/>
                <w:szCs w:val="18"/>
              </w:rPr>
              <w:t>täydennyskoulutus/uudelleenkoulutus ja lyhytaikainen työllisyysohjelma on saatettu onnistuneesti päätökseen vähintään 13 500 työttömän työntekijän (25-45-vuotiaiden) osalta kaikkiaan 15 000 edunsaajasta</w:t>
            </w:r>
          </w:p>
          <w:p w:rsidR="00B0093E" w:rsidRDefault="00762CA6">
            <w:pPr>
              <w:spacing w:after="0" w:line="240" w:lineRule="auto"/>
              <w:rPr>
                <w:rFonts w:eastAsia="Times New Roman" w:cs="Calibri"/>
                <w:noProof/>
                <w:color w:val="006100"/>
                <w:sz w:val="18"/>
                <w:szCs w:val="18"/>
              </w:rPr>
            </w:pPr>
            <w:r>
              <w:rPr>
                <w:noProof/>
                <w:color w:val="006100"/>
                <w:sz w:val="18"/>
                <w:szCs w:val="18"/>
              </w:rPr>
              <w:t>Osoitetuista varoista 19 prosentin odotetaan edistävä</w:t>
            </w:r>
            <w:r>
              <w:rPr>
                <w:noProof/>
                <w:color w:val="006100"/>
                <w:sz w:val="18"/>
                <w:szCs w:val="18"/>
              </w:rPr>
              <w:t>n vihreää osaamista ja työpaikkoja sekä vihreää taloutta.</w:t>
            </w:r>
          </w:p>
        </w:tc>
      </w:tr>
      <w:tr w:rsidR="00B0093E">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145</w:t>
            </w:r>
          </w:p>
        </w:tc>
        <w:tc>
          <w:tcPr>
            <w:tcW w:w="17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9 - 3.2. Yleissivistävä ja ammatillinen koulutus ja osaaminen – 16794_Oppisopimusjärjestelmän vahvistaminen </w:t>
            </w:r>
          </w:p>
        </w:tc>
        <w:tc>
          <w:tcPr>
            <w:tcW w:w="109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6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Digitaalisen verkko-opiskelun loppuun saattaminen ja energiatehokkaiden </w:t>
            </w:r>
            <w:r>
              <w:rPr>
                <w:noProof/>
                <w:color w:val="006100"/>
                <w:sz w:val="18"/>
                <w:szCs w:val="18"/>
              </w:rPr>
              <w:t>peruskorjausten loppuun saattaminen</w:t>
            </w:r>
          </w:p>
        </w:tc>
        <w:tc>
          <w:tcPr>
            <w:tcW w:w="147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Digitoitujen koulutuskurssien lukumäärä (verkkokurssit)</w:t>
            </w:r>
          </w:p>
        </w:tc>
        <w:tc>
          <w:tcPr>
            <w:tcW w:w="9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250</w:t>
            </w: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5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Vähintään 250 OAED:n oppisopimuslaitoksen (EPAS) koulutuskurssin digitointi on saatettu päätökseen.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Toimenpiteen tavoitteena on yksinkertaistaa oppimisprosesseja ja ottaa käyttöön uusia menetelmiä ja välineitä, kuten verkko-oppimisen alustoja ja digitalisoitua koulutussisältöä sekä oppisopimusoppilaille että kouluttajille.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Päätökseen saatetuissa rakenn</w:t>
            </w:r>
            <w:r>
              <w:rPr>
                <w:noProof/>
                <w:color w:val="006100"/>
                <w:sz w:val="18"/>
                <w:szCs w:val="18"/>
              </w:rPr>
              <w:t>us- ja korjaustöissä on saavutettava keskimäärin vähintään keskipitkän perustason peruskorjaus, joka määritellään rakennusten kunnostamisesta annetussa komission suosituksessa (EU) 2019/786 tai b) siten, että suorat ja välilliset kasvihuonekaasupäästöt väh</w:t>
            </w:r>
            <w:r>
              <w:rPr>
                <w:noProof/>
                <w:color w:val="006100"/>
                <w:sz w:val="18"/>
                <w:szCs w:val="18"/>
              </w:rPr>
              <w:t>enevät keskimäärin vähintään 30 prosenttia ennakkopäästöihin verrattuna.</w:t>
            </w:r>
          </w:p>
        </w:tc>
      </w:tr>
      <w:tr w:rsidR="00B0093E">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146</w:t>
            </w:r>
          </w:p>
        </w:tc>
        <w:tc>
          <w:tcPr>
            <w:tcW w:w="17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9 - 3.2. Yleissivistävä ja ammatillinen koulutus sekä osaaminen – 16792_Työvoiman koulutus, uudelleenkoulutus ja täydennyskoulutus uudistetun koulutusmallin avulla (ammatillisen </w:t>
            </w:r>
            <w:r>
              <w:rPr>
                <w:noProof/>
                <w:color w:val="006100"/>
                <w:sz w:val="18"/>
                <w:szCs w:val="18"/>
              </w:rPr>
              <w:t>koulutuksen uudistus)</w:t>
            </w:r>
          </w:p>
        </w:tc>
        <w:tc>
          <w:tcPr>
            <w:tcW w:w="109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6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Ammatillisen koulutuksen laadunvarmistusjärjestelmän loppuun saattaminen</w:t>
            </w:r>
          </w:p>
        </w:tc>
        <w:tc>
          <w:tcPr>
            <w:tcW w:w="147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Kansallisen työvoimajärjestön raportti, jossa vahvistetaan ammatillisen koulutuksen laadunvalvontajärjestelmän päätökseen saattaminen</w:t>
            </w:r>
          </w:p>
        </w:tc>
        <w:tc>
          <w:tcPr>
            <w:tcW w:w="113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24"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5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Kansallisen työvoimajärjestön (OAED) ammatillisen koulutuksen yksikköjen laadunvalvonnan parantamiseen tähtäävän ammatillisen koulutuksen laadunvalvontajärjestelmän loppuun saattaminen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45 prosentin määrärahoista odotetaan edistävän vihreää osaamista ja ty</w:t>
            </w:r>
            <w:r>
              <w:rPr>
                <w:noProof/>
                <w:color w:val="006100"/>
                <w:sz w:val="18"/>
                <w:szCs w:val="18"/>
              </w:rPr>
              <w:t>öpaikkoja sekä vihreää taloutta.</w:t>
            </w:r>
          </w:p>
        </w:tc>
      </w:tr>
    </w:tbl>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12: Opetus- ja uskontoministeriö – uudistukset ja investoinnit</w:t>
      </w:r>
    </w:p>
    <w:p w:rsidR="00B0093E" w:rsidRDefault="00762CA6">
      <w:pPr>
        <w:numPr>
          <w:ilvl w:val="0"/>
          <w:numId w:val="41"/>
        </w:numPr>
        <w:spacing w:before="120" w:after="0" w:line="240" w:lineRule="auto"/>
        <w:jc w:val="both"/>
        <w:rPr>
          <w:rFonts w:ascii="Times New Roman" w:hAnsi="Times New Roman" w:cs="Times New Roman"/>
          <w:noProof/>
        </w:rPr>
      </w:pPr>
      <w:r>
        <w:rPr>
          <w:rFonts w:ascii="Times New Roman" w:hAnsi="Times New Roman"/>
          <w:noProof/>
          <w:sz w:val="24"/>
        </w:rPr>
        <w:t xml:space="preserve">Ammatillisen koulutuksen parantaminen: Laboratoriolaitteiden toimittaminen laboratoriokeskuksille IEK:lle, EPAL:lle, toisen vuoden oppisopimuskouluille </w:t>
      </w:r>
      <w:r>
        <w:rPr>
          <w:rFonts w:ascii="Times New Roman" w:hAnsi="Times New Roman"/>
          <w:noProof/>
          <w:sz w:val="24"/>
        </w:rPr>
        <w:t>ja ammattikouluille (tunniste: 16933)</w:t>
      </w:r>
    </w:p>
    <w:p w:rsidR="00B0093E" w:rsidRDefault="00762CA6">
      <w:pPr>
        <w:numPr>
          <w:ilvl w:val="0"/>
          <w:numId w:val="41"/>
        </w:numPr>
        <w:spacing w:before="120" w:after="0" w:line="240" w:lineRule="auto"/>
        <w:jc w:val="both"/>
        <w:rPr>
          <w:rFonts w:ascii="Times New Roman" w:hAnsi="Times New Roman" w:cs="Times New Roman"/>
          <w:noProof/>
          <w:sz w:val="24"/>
        </w:rPr>
      </w:pPr>
      <w:r>
        <w:rPr>
          <w:rFonts w:ascii="Times New Roman" w:hAnsi="Times New Roman"/>
          <w:noProof/>
          <w:sz w:val="24"/>
        </w:rPr>
        <w:t>Ammatillisen koulutuksen parantaminen (tunniste: 16934)</w:t>
      </w:r>
    </w:p>
    <w:p w:rsidR="00B0093E" w:rsidRDefault="00762CA6">
      <w:pPr>
        <w:numPr>
          <w:ilvl w:val="0"/>
          <w:numId w:val="41"/>
        </w:numPr>
        <w:spacing w:before="120" w:after="0" w:line="240" w:lineRule="auto"/>
        <w:jc w:val="both"/>
        <w:rPr>
          <w:rFonts w:ascii="Times New Roman" w:hAnsi="Times New Roman" w:cs="Times New Roman"/>
          <w:noProof/>
          <w:sz w:val="24"/>
        </w:rPr>
      </w:pPr>
      <w:r>
        <w:rPr>
          <w:rFonts w:ascii="Times New Roman" w:hAnsi="Times New Roman"/>
          <w:noProof/>
          <w:sz w:val="24"/>
        </w:rPr>
        <w:t>Huippuosaamisstrategia korkeakoulujen ja innovoinnin osa-alueella (tunniste: 16289)</w:t>
      </w:r>
    </w:p>
    <w:p w:rsidR="00B0093E" w:rsidRDefault="00762CA6">
      <w:pPr>
        <w:numPr>
          <w:ilvl w:val="0"/>
          <w:numId w:val="41"/>
        </w:numPr>
        <w:spacing w:before="120" w:after="120" w:line="240" w:lineRule="auto"/>
        <w:jc w:val="both"/>
        <w:rPr>
          <w:rFonts w:ascii="Times New Roman" w:hAnsi="Times New Roman" w:cs="Times New Roman"/>
          <w:noProof/>
          <w:sz w:val="24"/>
        </w:rPr>
      </w:pPr>
      <w:r>
        <w:rPr>
          <w:rFonts w:ascii="Times New Roman" w:hAnsi="Times New Roman"/>
          <w:noProof/>
          <w:sz w:val="24"/>
        </w:rPr>
        <w:t>Koulutuksen digitalisaatio (tunniste: 16676)</w:t>
      </w:r>
    </w:p>
    <w:tbl>
      <w:tblPr>
        <w:tblW w:w="15304" w:type="dxa"/>
        <w:tblInd w:w="113" w:type="dxa"/>
        <w:tblLook w:val="04A0" w:firstRow="1" w:lastRow="0" w:firstColumn="1" w:lastColumn="0" w:noHBand="0" w:noVBand="1"/>
      </w:tblPr>
      <w:tblGrid>
        <w:gridCol w:w="924"/>
        <w:gridCol w:w="2008"/>
        <w:gridCol w:w="1309"/>
        <w:gridCol w:w="1420"/>
        <w:gridCol w:w="1856"/>
        <w:gridCol w:w="1446"/>
        <w:gridCol w:w="797"/>
        <w:gridCol w:w="828"/>
        <w:gridCol w:w="1123"/>
        <w:gridCol w:w="558"/>
        <w:gridCol w:w="3233"/>
      </w:tblGrid>
      <w:tr w:rsidR="00B0093E">
        <w:trPr>
          <w:trHeight w:val="939"/>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Toimenpide (uudistus tai </w:t>
            </w:r>
            <w:r>
              <w:rPr>
                <w:rFonts w:ascii="Times New Roman" w:hAnsi="Times New Roman"/>
                <w:b/>
                <w:bCs/>
                <w:noProof/>
                <w:sz w:val="18"/>
                <w:szCs w:val="18"/>
              </w:rPr>
              <w:t>investointi)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17"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782"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41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17"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7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56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147</w:t>
            </w:r>
          </w:p>
        </w:tc>
        <w:tc>
          <w:tcPr>
            <w:tcW w:w="156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9 - 3.2. Koulutus, ammatillinen koulutus ja osaaminen – 16289_Huippuosaamisstrategia korkeakoulujen ja innovoinnin osa-alueella</w:t>
            </w:r>
          </w:p>
        </w:tc>
        <w:tc>
          <w:tcPr>
            <w:tcW w:w="127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Huippuyliopistot Tutkimusklusterit</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115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7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Hu</w:t>
            </w:r>
            <w:r>
              <w:rPr>
                <w:noProof/>
                <w:color w:val="006100"/>
                <w:sz w:val="18"/>
                <w:szCs w:val="18"/>
              </w:rPr>
              <w:t>ippuyliopistot: sopimuksen tekeminen valittujen korkeakoulujen kanssa tutkimus- ja koulutusinfrastruktuurien (kuten laitteiden tai tutkimuslaboratorioiden) parantamiseksi ja parantamiseksi, uusien tutkimusalojen laajentamiseksi ja tarjotun koulutuksen para</w:t>
            </w:r>
            <w:r>
              <w:rPr>
                <w:noProof/>
                <w:color w:val="006100"/>
                <w:sz w:val="18"/>
                <w:szCs w:val="18"/>
              </w:rPr>
              <w:t xml:space="preserve">ntamiseksi. Tavoitteena on vahvistaa lupaavia yliopistoja ja soveltavan tieteen ja teknologian yliopistoyksiköitä ja parantaa niiden kilpailukykyä kansainvälisissä luokituksissa.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Huippuosaamisstrategia korkeakoulujen ja innovoinnin osa-alueella Sopimuste</w:t>
            </w:r>
            <w:r>
              <w:rPr>
                <w:noProof/>
                <w:color w:val="006100"/>
                <w:sz w:val="18"/>
                <w:szCs w:val="18"/>
              </w:rPr>
              <w:t>n tekeminen 70:stä korkeakoulujen ja yksityisen sektorin välisestä tutkimusyhteistyöhankkeesta tutkimus- ja huippuosaamisklusterialoitteen puitteissa.</w:t>
            </w:r>
          </w:p>
        </w:tc>
      </w:tr>
      <w:tr w:rsidR="00B0093E">
        <w:trPr>
          <w:trHeight w:val="313"/>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148</w:t>
            </w:r>
          </w:p>
        </w:tc>
        <w:tc>
          <w:tcPr>
            <w:tcW w:w="156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9 - 3.2. Yleissivistävä ja ammatillinen koulutus sekä osaaminen – 16676_koulutuksen digitalisaatio</w:t>
            </w:r>
          </w:p>
        </w:tc>
        <w:tc>
          <w:tcPr>
            <w:tcW w:w="127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Interaktiivisten järjestelmien asentaminen päätökseen</w:t>
            </w:r>
          </w:p>
        </w:tc>
        <w:tc>
          <w:tcPr>
            <w:tcW w:w="1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5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Asennettujen interaktiivisten oppimisjärjestelmien lukumäärä</w:t>
            </w:r>
          </w:p>
        </w:tc>
        <w:tc>
          <w:tcPr>
            <w:tcW w:w="85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7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36 000</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Vähintään 36 000 interaktiivisen oppimisjärjestelmän (mukaan lukien valkotaulut, kannettavat tietokoneet, </w:t>
            </w:r>
            <w:r>
              <w:rPr>
                <w:noProof/>
                <w:color w:val="006100"/>
                <w:sz w:val="18"/>
                <w:szCs w:val="18"/>
              </w:rPr>
              <w:t>interaktiiviset projektorit ja sisäiset kaapelit) asentaminen alemman ja ylemmän perusasteen koulujen luokkahuoneisiin</w:t>
            </w:r>
          </w:p>
        </w:tc>
      </w:tr>
      <w:tr w:rsidR="00B0093E">
        <w:trPr>
          <w:trHeight w:val="313"/>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149</w:t>
            </w:r>
          </w:p>
        </w:tc>
        <w:tc>
          <w:tcPr>
            <w:tcW w:w="156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9 - 3.2. Yleissivistävä ja ammatillinen koulutus ja osaaminen – 16933_Ammatillisen koulutuksen (VET) parantaminen: </w:t>
            </w:r>
            <w:r>
              <w:rPr>
                <w:noProof/>
                <w:color w:val="006100"/>
                <w:sz w:val="18"/>
                <w:szCs w:val="18"/>
              </w:rPr>
              <w:t>Laboratoriolaitteiden toimittaminen laboratoriokeskuksille IEK:lle, EPAL:lle, toisen asteen oppisopimuskouluille ja ammattikouluille</w:t>
            </w:r>
          </w:p>
        </w:tc>
        <w:tc>
          <w:tcPr>
            <w:tcW w:w="127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Ammatillisen koulutuksen laboratoriokeskusten nykyaikaistaminen uudenaikaistetaan</w:t>
            </w:r>
          </w:p>
        </w:tc>
        <w:tc>
          <w:tcPr>
            <w:tcW w:w="1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5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Täysin nykyaikaistettujen ja </w:t>
            </w:r>
            <w:r>
              <w:rPr>
                <w:noProof/>
                <w:color w:val="006100"/>
                <w:sz w:val="18"/>
                <w:szCs w:val="18"/>
              </w:rPr>
              <w:t>uudistettujen ammattioppilaitosten laboratorioiden lukumäärä</w:t>
            </w:r>
          </w:p>
        </w:tc>
        <w:tc>
          <w:tcPr>
            <w:tcW w:w="85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7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376</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Laboratoriolaitteiden infrastruktuurin uudistamisen ja teknisen nykyaikaistamisen loppuun saattaminen 376 laboratoriossa ammatillisissa oppilaitoksissa: </w:t>
            </w:r>
          </w:p>
          <w:p w:rsidR="00B0093E" w:rsidRDefault="00762CA6">
            <w:pPr>
              <w:spacing w:after="0" w:line="240" w:lineRule="auto"/>
              <w:rPr>
                <w:rFonts w:eastAsia="Times New Roman" w:cs="Calibri"/>
                <w:noProof/>
                <w:color w:val="006100"/>
                <w:sz w:val="18"/>
                <w:szCs w:val="18"/>
              </w:rPr>
            </w:pPr>
            <w:r>
              <w:rPr>
                <w:noProof/>
                <w:color w:val="006100"/>
                <w:sz w:val="18"/>
                <w:szCs w:val="18"/>
              </w:rPr>
              <w:t>(- Ammatillisen koulutuksen</w:t>
            </w:r>
            <w:r>
              <w:rPr>
                <w:noProof/>
                <w:color w:val="006100"/>
                <w:sz w:val="18"/>
                <w:szCs w:val="18"/>
              </w:rPr>
              <w:t xml:space="preserve"> laitokset (IEK)</w:t>
            </w:r>
          </w:p>
          <w:p w:rsidR="00B0093E" w:rsidRDefault="00762CA6">
            <w:pPr>
              <w:spacing w:after="0" w:line="240" w:lineRule="auto"/>
              <w:rPr>
                <w:rFonts w:eastAsia="Times New Roman" w:cs="Calibri"/>
                <w:noProof/>
                <w:color w:val="006100"/>
                <w:sz w:val="18"/>
                <w:szCs w:val="18"/>
              </w:rPr>
            </w:pPr>
            <w:r>
              <w:rPr>
                <w:noProof/>
                <w:color w:val="006100"/>
                <w:sz w:val="18"/>
                <w:szCs w:val="18"/>
              </w:rPr>
              <w:t>Ammatillisessa lukiossa (EPAL)</w:t>
            </w:r>
          </w:p>
          <w:p w:rsidR="00B0093E" w:rsidRDefault="00762CA6">
            <w:pPr>
              <w:spacing w:after="0" w:line="240" w:lineRule="auto"/>
              <w:rPr>
                <w:rFonts w:eastAsia="Times New Roman" w:cs="Calibri"/>
                <w:noProof/>
                <w:color w:val="006100"/>
                <w:sz w:val="18"/>
                <w:szCs w:val="18"/>
              </w:rPr>
            </w:pPr>
            <w:r>
              <w:rPr>
                <w:noProof/>
                <w:color w:val="006100"/>
                <w:sz w:val="18"/>
                <w:szCs w:val="18"/>
              </w:rPr>
              <w:t>Ammatillisen koulutuksen oppilaitosten toisen vuoden jälkeinen oppisopimusluokka.</w:t>
            </w:r>
          </w:p>
        </w:tc>
      </w:tr>
      <w:tr w:rsidR="00B0093E">
        <w:trPr>
          <w:trHeight w:val="313"/>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150</w:t>
            </w:r>
          </w:p>
        </w:tc>
        <w:tc>
          <w:tcPr>
            <w:tcW w:w="156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9 - 3.2. Koulutus, ammatillinen koulutus ja osaaminen – 16289_Huippuosaamisstrategia korkeakoulujen ja innovoinnin </w:t>
            </w:r>
            <w:r>
              <w:rPr>
                <w:noProof/>
                <w:color w:val="006100"/>
                <w:sz w:val="18"/>
                <w:szCs w:val="18"/>
              </w:rPr>
              <w:t>osa-alueella</w:t>
            </w:r>
          </w:p>
        </w:tc>
        <w:tc>
          <w:tcPr>
            <w:tcW w:w="127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Vierailevien professorien valmistuminen </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Kreikan korkeakoulutusviranomaisen raportti, jossa vahvistetaan vierailevia professoreita koskevan aloitteen loppuun saattaminen ja arvioidaan sen vaikutuksia.</w:t>
            </w:r>
          </w:p>
        </w:tc>
        <w:tc>
          <w:tcPr>
            <w:tcW w:w="115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7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Vierailevia </w:t>
            </w:r>
            <w:r>
              <w:rPr>
                <w:noProof/>
                <w:color w:val="006100"/>
                <w:sz w:val="18"/>
                <w:szCs w:val="18"/>
              </w:rPr>
              <w:t>professoreita koskevan aloitteen loppuun saattaminen ja sen arviointi.</w:t>
            </w:r>
          </w:p>
        </w:tc>
      </w:tr>
      <w:tr w:rsidR="00B0093E">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151</w:t>
            </w:r>
          </w:p>
        </w:tc>
        <w:tc>
          <w:tcPr>
            <w:tcW w:w="156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9 - 3.2. Koulutus, ammatillinen koulutus ja osaaminen – 16289_Huippuosaamisstrategia korkeakoulujen ja innovoinnin osa-alueella</w:t>
            </w:r>
          </w:p>
        </w:tc>
        <w:tc>
          <w:tcPr>
            <w:tcW w:w="127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Luota tähteesi valmistumiseen </w:t>
            </w:r>
          </w:p>
        </w:tc>
        <w:tc>
          <w:tcPr>
            <w:tcW w:w="1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Päätökseen </w:t>
            </w:r>
            <w:r>
              <w:rPr>
                <w:noProof/>
                <w:color w:val="006100"/>
                <w:sz w:val="18"/>
                <w:szCs w:val="18"/>
              </w:rPr>
              <w:t>saatettujen hankkeiden lukumäärä</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7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112</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6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11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Hankkeiden loppuun saattaminen, päättämiseen liittyvä tilinpäätösprosessi ja arviointi 50 yksittäisen tutkijan hankkeen ja 62 tutkimusyhteistyöhankkeen (”Trust your Stars”) osalta.</w:t>
            </w:r>
          </w:p>
        </w:tc>
      </w:tr>
      <w:tr w:rsidR="00B0093E">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152</w:t>
            </w:r>
          </w:p>
        </w:tc>
        <w:tc>
          <w:tcPr>
            <w:tcW w:w="156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9 - 3.2. Yleissivistävä</w:t>
            </w:r>
            <w:r>
              <w:rPr>
                <w:noProof/>
                <w:color w:val="006100"/>
                <w:sz w:val="18"/>
                <w:szCs w:val="18"/>
              </w:rPr>
              <w:t xml:space="preserve"> ja ammatillinen koulutus ja osaaminen – 16934_Ammatillisen koulutuksen parantaminen</w:t>
            </w:r>
          </w:p>
        </w:tc>
        <w:tc>
          <w:tcPr>
            <w:tcW w:w="127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Ammatillisen koulutusjärjestelmän IEK:n ja EPAL:n digitalisointi EOPPEP -työprofiilien saattaminen päätökseen</w:t>
            </w:r>
          </w:p>
        </w:tc>
        <w:tc>
          <w:tcPr>
            <w:tcW w:w="1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Opetusministeriön raportti, jossa vahvistetaan ha</w:t>
            </w:r>
            <w:r>
              <w:rPr>
                <w:noProof/>
                <w:color w:val="006100"/>
                <w:sz w:val="18"/>
                <w:szCs w:val="18"/>
              </w:rPr>
              <w:t>nkkeiden loppuun saattaminen</w:t>
            </w:r>
          </w:p>
        </w:tc>
        <w:tc>
          <w:tcPr>
            <w:tcW w:w="1154"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7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6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11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Saatetaan päätökseen seuraavat ammatillisen koulutuksen järjestelmän parantamiseen tähtäävät hankkeet:</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Viiden temaattisen ja kymmenen kokeellisen ammatillisen koulutuslaitoksen (IEK) suunnittelu ja kehittäminen. </w:t>
            </w:r>
            <w:r>
              <w:rPr>
                <w:noProof/>
                <w:color w:val="006100"/>
                <w:sz w:val="18"/>
                <w:szCs w:val="18"/>
              </w:rPr>
              <w:t>Hankkeet käsittäisivät laitteiden ja palvelujen tarjoamisen, rakennustoimet ja kouluttajien koulutuksen;</w:t>
            </w:r>
          </w:p>
          <w:p w:rsidR="00B0093E" w:rsidRDefault="00762CA6">
            <w:pPr>
              <w:spacing w:after="0" w:line="240" w:lineRule="auto"/>
              <w:rPr>
                <w:rFonts w:eastAsia="Times New Roman" w:cs="Calibri"/>
                <w:noProof/>
                <w:color w:val="006100"/>
                <w:sz w:val="18"/>
                <w:szCs w:val="18"/>
              </w:rPr>
            </w:pPr>
            <w:r>
              <w:rPr>
                <w:noProof/>
                <w:color w:val="006100"/>
                <w:sz w:val="18"/>
                <w:szCs w:val="18"/>
              </w:rPr>
              <w:t>2. 25 ammattioppilaitoksen (Model ΕPΑL), joihin hankkeet käsittäisivät</w:t>
            </w:r>
          </w:p>
          <w:p w:rsidR="00B0093E" w:rsidRDefault="00762CA6">
            <w:pPr>
              <w:spacing w:after="0" w:line="240" w:lineRule="auto"/>
              <w:rPr>
                <w:rFonts w:eastAsia="Times New Roman" w:cs="Calibri"/>
                <w:noProof/>
                <w:color w:val="006100"/>
                <w:sz w:val="18"/>
                <w:szCs w:val="18"/>
              </w:rPr>
            </w:pPr>
            <w:r>
              <w:rPr>
                <w:noProof/>
                <w:color w:val="006100"/>
                <w:sz w:val="18"/>
                <w:szCs w:val="18"/>
              </w:rPr>
              <w:t>tarvikkeiden ja palvelujen tarjoaminen, rakennustoimet ja EPAL-mallioppilaitoste</w:t>
            </w:r>
            <w:r>
              <w:rPr>
                <w:noProof/>
                <w:color w:val="006100"/>
                <w:sz w:val="18"/>
                <w:szCs w:val="18"/>
              </w:rPr>
              <w:t>n opettajien koulutus;</w:t>
            </w:r>
          </w:p>
          <w:p w:rsidR="00B0093E" w:rsidRDefault="00762CA6">
            <w:pPr>
              <w:spacing w:after="0" w:line="240" w:lineRule="auto"/>
              <w:rPr>
                <w:rFonts w:eastAsia="Times New Roman" w:cs="Calibri"/>
                <w:noProof/>
                <w:color w:val="006100"/>
                <w:sz w:val="18"/>
                <w:szCs w:val="18"/>
              </w:rPr>
            </w:pPr>
            <w:r>
              <w:rPr>
                <w:noProof/>
                <w:color w:val="006100"/>
                <w:sz w:val="18"/>
                <w:szCs w:val="18"/>
              </w:rPr>
              <w:t>3. Tutkintojen ja ammatillisen ohjauksen kansallisen sertifioinnin organisaation (EOPPEP) digitalisointi, mukaan lukien sähköisten kokeiden alustan ja ammatillisen koulutuksen verkko-oppimisalustan kehittäminen;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 EOPPEP-ohjelmassa </w:t>
            </w:r>
            <w:r>
              <w:rPr>
                <w:noProof/>
                <w:color w:val="006100"/>
                <w:sz w:val="18"/>
                <w:szCs w:val="18"/>
              </w:rPr>
              <w:t>kehitetään ja sertifioidaan 200 ammattiprofiilia esimerkiksi energia-, ympäristö- ja digitaalitalouden aloilla.</w:t>
            </w:r>
          </w:p>
        </w:tc>
      </w:tr>
    </w:tbl>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49"/>
          <w:headerReference w:type="default" r:id="rId150"/>
          <w:footerReference w:type="even" r:id="rId151"/>
          <w:footerReference w:type="default" r:id="rId152"/>
          <w:headerReference w:type="first" r:id="rId153"/>
          <w:footerReference w:type="first" r:id="rId154"/>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J. KOMPONENTTI 3.3: TERVEYDENHUOLLON HÄIRIÖNSIETOKYVYN, SAATAVUUDEN JA KESTÄVYYDEN</w:t>
      </w:r>
      <w:r>
        <w:rPr>
          <w:rFonts w:ascii="Times New Roman" w:hAnsi="Times New Roman"/>
          <w:b/>
          <w:bCs/>
          <w:noProof/>
          <w:sz w:val="24"/>
        </w:rPr>
        <w:t xml:space="preserve"> PARANTAMINEN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Kreikan elpymis- ja palautumissuunnitelman tässä komponentissa keskitytään terveydenhuoltojärjestelmän kantokyvyn lisäämiseen erilaisilla toimilla. Osa näistä toimenpiteistä keskittyy infrastruktuuriin, sekä fyysiseen että digitaaliseen infra</w:t>
      </w:r>
      <w:r>
        <w:rPr>
          <w:rFonts w:ascii="Times New Roman" w:hAnsi="Times New Roman"/>
          <w:noProof/>
          <w:sz w:val="24"/>
        </w:rPr>
        <w:t>struktuuriin, sekä toiminnallisiin parannuksiin, joilla nykyaikaistetaan ja parannetaan sairaalajärjestelmää ja terveyskeskusten verkostoa. Toisten tavoitteena on tukea ja parantaa terveydenhuoltoalan saatavuutta, tehokkuutta ja häiriönsietokykyä. Näitä ov</w:t>
      </w:r>
      <w:r>
        <w:rPr>
          <w:rFonts w:ascii="Times New Roman" w:hAnsi="Times New Roman"/>
          <w:noProof/>
          <w:sz w:val="24"/>
        </w:rPr>
        <w:t>at erityisesti toimenpiteet, joilla vahvistetaan kansanterveyttä ja ennaltaehkäisyä, lisätään terveydenhuoltojärjestelmän valmiuksia tarjota mielenterveys- ja kotihoidon palveluja, tuetaan siirtymistä kohti vahvempaa perusterveydenhuoltosektoria, järkiperä</w:t>
      </w:r>
      <w:r>
        <w:rPr>
          <w:rFonts w:ascii="Times New Roman" w:hAnsi="Times New Roman"/>
          <w:noProof/>
          <w:sz w:val="24"/>
        </w:rPr>
        <w:t>istetään lääkemenoja ja tuetaan lääkealan tutkimusta ja kehittämistä. Terveydenhoitojärjestelmien ja -palvelujen digitalisaatiota koskevan suunnitelman tavoitteena on edistää järjestelmän tehokkuutta, parantaa saatavuutta ja parantaa julkisten menojen ylei</w:t>
      </w:r>
      <w:r>
        <w:rPr>
          <w:rFonts w:ascii="Times New Roman" w:hAnsi="Times New Roman"/>
          <w:noProof/>
          <w:sz w:val="24"/>
        </w:rPr>
        <w:t>stä avoimuutta ja laatua. Minkään tähän osa-alueeseen kuuluvan toimenpiteen ei odoteta aiheuttavan merkittävää haittaa asetuksen (EU) 2020/852 17 artiklassa tarkoitetuille ympäristötavoitteille, kun otetaan huomioon elpymis- ja palautumissuunnitelmassa esi</w:t>
      </w:r>
      <w:r>
        <w:rPr>
          <w:rFonts w:ascii="Times New Roman" w:hAnsi="Times New Roman"/>
          <w:noProof/>
          <w:sz w:val="24"/>
        </w:rPr>
        <w:t>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J.1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Terveydenhuoltoalan uudistukset ja investointien nopeuttaminen – terveydenhuollon menojen vähentäminen ja järkeistäminen (toimenpiteen tunniste: 16816)</w:t>
      </w:r>
    </w:p>
    <w:p w:rsidR="00B0093E" w:rsidRDefault="00762CA6">
      <w:pPr>
        <w:spacing w:before="120" w:after="120" w:line="240" w:lineRule="auto"/>
        <w:jc w:val="both"/>
        <w:rPr>
          <w:rFonts w:ascii="Times New Roman" w:hAnsi="Times New Roman" w:cs="Times New Roman"/>
          <w:b/>
          <w:bCs/>
          <w:noProof/>
          <w:sz w:val="24"/>
        </w:rPr>
      </w:pPr>
      <w:r>
        <w:rPr>
          <w:rFonts w:ascii="Times New Roman" w:hAnsi="Times New Roman"/>
          <w:noProof/>
          <w:sz w:val="24"/>
        </w:rPr>
        <w:t>Takaisinperintäjärjestelmän uudistuksessa otetaan käyttöön riskinjako takaisinperintää laskettaessa ase</w:t>
      </w:r>
      <w:r>
        <w:rPr>
          <w:rFonts w:ascii="Times New Roman" w:hAnsi="Times New Roman"/>
          <w:noProof/>
          <w:sz w:val="24"/>
        </w:rPr>
        <w:t>ttamalla sitova tavoite takaisinperinnän vähentämisestä seuraavien vuosien aikana, takaisin perittävien määrien vähimmäisvähennyksestä 50 000 000 euroa (2022), 150 000 000 euroa (2023), 300 000 000 euroa (2024) ja 400 000 000 euroa (2025) vuoden 2020 tasos</w:t>
      </w:r>
      <w:r>
        <w:rPr>
          <w:rFonts w:ascii="Times New Roman" w:hAnsi="Times New Roman"/>
          <w:noProof/>
          <w:sz w:val="24"/>
        </w:rPr>
        <w:t>ta. Tämä tavoite saavutetaan panemalla täytäntöön aiemmin hyväksytyt ja uudet tehokkuutta parantavat toimenpiteet täysimääräisesti ja noudattamalla täysin EU:n valtiontukisääntöjä. Lisäksi toimenpiteellä rahoitetaan vastuullisten yritysten kliinisiä lääket</w:t>
      </w:r>
      <w:r>
        <w:rPr>
          <w:rFonts w:ascii="Times New Roman" w:hAnsi="Times New Roman"/>
          <w:noProof/>
          <w:sz w:val="24"/>
        </w:rPr>
        <w:t>utkimuksia, tutkimus- ja kehittämistoimia tai muita investointimenoja kolmen vuoden ajanjaksolle 2021–2023 korvaamalla osittain niiden takaisinperintään liittyvät vastuut. Uudistus on määrä toteuttaa viimeistään 30 päivänä kesäkuuta 2026.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Peruste</w:t>
      </w:r>
      <w:r>
        <w:rPr>
          <w:rFonts w:ascii="Times New Roman" w:hAnsi="Times New Roman"/>
          <w:noProof/>
          <w:sz w:val="24"/>
        </w:rPr>
        <w:t>rveydenhuoltojärjestelmän uudistaminen (toimenpiteen tunniste: 16755)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Uudistuksen tarkoituksena on 1) toteuttaa julkisia infrastruktuureja ja lääketieteellisiä laitteita koskevia parannettuja ja energiatehokkaita peruskorjauksia ja energiatehokkuutta koske</w:t>
      </w:r>
      <w:r>
        <w:rPr>
          <w:rFonts w:ascii="Times New Roman" w:hAnsi="Times New Roman"/>
          <w:noProof/>
          <w:sz w:val="24"/>
        </w:rPr>
        <w:t>via toimenpiteitä, jotka kattavat vähintään 50 prosenttia maan kaikista terveyskeskuksista (156 potilasta yhteensä 312:sta), 2) toteuttaa hallinnollinen ja organisatorinen rakenneuudistus yhtenäisen hoito- ja uudelleenkoulutusmallin luomiseksi, jotta henki</w:t>
      </w:r>
      <w:r>
        <w:rPr>
          <w:rFonts w:ascii="Times New Roman" w:hAnsi="Times New Roman"/>
          <w:noProof/>
          <w:sz w:val="24"/>
        </w:rPr>
        <w:t>löstö voi toimia tehokkaasti ensivaiheen hoivana, 3) laajentaa aktiivisten (joissa kursseja on jo aloitettu) perhelääketieteen opetussuunnitelmien saatavuutta siten, että vähintään 75 prosentissa terveydenhoitoalan oppilaitoksista tarjotaan viimeistään vuo</w:t>
      </w:r>
      <w:r>
        <w:rPr>
          <w:rFonts w:ascii="Times New Roman" w:hAnsi="Times New Roman"/>
          <w:noProof/>
          <w:sz w:val="24"/>
        </w:rPr>
        <w:t xml:space="preserve">den 2022 viimeisellä neljänneksellä mahdollisuus perehtyä perhelääketieteeseen kaikissa lääketieteellisissä koulutusohjelmissa ja 4) tukea yhdennetyn hoitojärjestelmän kehittämistä luomalla kroonisten sairauksien hoitokehys. Perusterveydenhuollon uudistus </w:t>
      </w:r>
      <w:r>
        <w:rPr>
          <w:rFonts w:ascii="Times New Roman" w:hAnsi="Times New Roman"/>
          <w:noProof/>
          <w:sz w:val="24"/>
        </w:rPr>
        <w:t>on vuorovaikutuksessa toisen asteen hoidon (erityisesti sairaalahoidon) kanssa, ja sen odotetaan parantavan kansalaisten terveyspalveluja ja tukevan terveyspalvelujen yhtäläisen saatavuuden, tehokkuuden ja sosiaalisen yhteenkuuluvuuden periaatetta. Minkään</w:t>
      </w:r>
      <w:r>
        <w:rPr>
          <w:rFonts w:ascii="Times New Roman" w:hAnsi="Times New Roman"/>
          <w:noProof/>
          <w:sz w:val="24"/>
        </w:rPr>
        <w:t xml:space="preserve"> tähän osa-alueeseen kuuluvan toimenpiteen ei odoteta aiheuttavan merkittävää haittaa asetuksen (EU) 2020/852 17 artiklassa tarkoitetuille ympäristötavoitteille, kun otetaan huomioon elpymis- ja palautumissuunnitelmassa esitettyjen toimenpiteen kuvaus ja l</w:t>
      </w:r>
      <w:r>
        <w:rPr>
          <w:rFonts w:ascii="Times New Roman" w:hAnsi="Times New Roman"/>
          <w:noProof/>
          <w:sz w:val="24"/>
        </w:rPr>
        <w:t>ieventävät toimet ”ei merkittävää haittaa -periaatteen” teknisten ohjeiden (2021/C58/01) mukaisesti. Toimenpiteessä edellytetään erityisesti, että rakennustyöt suorittavien talouden toimijoiden on varmistettava, että vähintään 70 prosenttia (painoprosentte</w:t>
      </w:r>
      <w:r>
        <w:rPr>
          <w:rFonts w:ascii="Times New Roman" w:hAnsi="Times New Roman"/>
          <w:noProof/>
          <w:sz w:val="24"/>
        </w:rPr>
        <w:t>ina) rakennustyömaalla tuotetusta vaarattomasta rakennus- ja purkujätteestä (lukuun ottamatta luokkaan 17 05 04 kuuluvaa luonnosta peräisin olevaa ainesta, joka sisältyy Euroopan jäteluetteloon, joka on perustettu 3 päivänä toukokuuta 2000 tehdyllä päätöks</w:t>
      </w:r>
      <w:r>
        <w:rPr>
          <w:rFonts w:ascii="Times New Roman" w:hAnsi="Times New Roman"/>
          <w:noProof/>
          <w:sz w:val="24"/>
        </w:rPr>
        <w:t>ellä 2000/532/EY jätteistä annetun neuvoston direktiivin 75/442/ETY 1 artiklan a alakohdan mukaisen jäteluettelon laatimisesta tehdyn komission päätöksen 94/3/EY ja vaarallisista jätteistä annetun neuvoston direktiivin 91/689/ETY 1 artiklan 4 kohdan mukais</w:t>
      </w:r>
      <w:r>
        <w:rPr>
          <w:rFonts w:ascii="Times New Roman" w:hAnsi="Times New Roman"/>
          <w:noProof/>
          <w:sz w:val="24"/>
        </w:rPr>
        <w:t>en vaarallisten jätteiden luettelon laatimisesta tehdyn neuvoston päätöksen 94/904/EY korvaamisesta (tiedoksiannettu numerolla K(2000) 1147)) valmistellaan uudelleenkäyttöön, kierrätykseen ja muuhun materiaalien hyödyntämiseen, mukaan lukien maantäyttötoim</w:t>
      </w:r>
      <w:r>
        <w:rPr>
          <w:rFonts w:ascii="Times New Roman" w:hAnsi="Times New Roman"/>
          <w:noProof/>
          <w:sz w:val="24"/>
        </w:rPr>
        <w:t>et, joissa käytetään jätettä korvaamaan muita materiaaleja, jätehierarkian ja EU:n rakennus- ja purkujätteen käsittely- ja kierrätysmallin mukaisesti.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Kansallisen sairauksien ehk</w:t>
      </w:r>
      <w:r>
        <w:rPr>
          <w:rFonts w:ascii="Times New Roman" w:hAnsi="Times New Roman"/>
          <w:noProof/>
          <w:sz w:val="24"/>
        </w:rPr>
        <w:t>äisemistä koskevan julkisen ”Spiros Doxiadis” -ohjelman täytäntöönpano (toimenpiteen tunniste: 16783)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Uudistuksen odotetaan parantavan väestön elämänlaatua ja terveydenhuoltojärjestelmän häiriönsietokykyä luomalla erittäin kattavan ennaltaehkäisy-, perus-,</w:t>
      </w:r>
      <w:r>
        <w:rPr>
          <w:rFonts w:ascii="Times New Roman" w:hAnsi="Times New Roman"/>
          <w:noProof/>
          <w:sz w:val="24"/>
        </w:rPr>
        <w:t xml:space="preserve"> sekundaari- ja palvelualan järjestelmän. Tämä kattaa useita osa-alueita pilottitasolla seuraavasti: toimenpiteet ja seulontaohjelmat, joiden tavoitteena on vähentää kuolleisuutta sellaisten sairauksien osalta, joiden esiintyvyys on suurta Kreikan väestön </w:t>
      </w:r>
      <w:r>
        <w:rPr>
          <w:rFonts w:ascii="Times New Roman" w:hAnsi="Times New Roman"/>
          <w:noProof/>
          <w:sz w:val="24"/>
        </w:rPr>
        <w:t xml:space="preserve">keskuudessa: kansallinen ohjelma liikunnan ja terveellisen ruokavalion edistämiseksi, kansallinen alkoholinhallintaohjelma, toimet lasten psykososiaalisten ongelmien ehkäisemiseksi ja lasten hammashoidon ennaltaehkäisyohjelman täytäntöönpano; toimenpiteet </w:t>
      </w:r>
      <w:r>
        <w:rPr>
          <w:rFonts w:ascii="Times New Roman" w:hAnsi="Times New Roman"/>
          <w:noProof/>
          <w:sz w:val="24"/>
        </w:rPr>
        <w:t>olemassa olevien mutta ei kliinisesti näkyvien tautien havaitsemiseksi varhaisessa vaiheessa: kansallisen seulontaohjelman täytäntöönpano, joka perustuu syövän sekä sydän- ja verisuonitauteja koskevien ennalta ehkäisevien diagnostisten testien käyttöönotto</w:t>
      </w:r>
      <w:r>
        <w:rPr>
          <w:rFonts w:ascii="Times New Roman" w:hAnsi="Times New Roman"/>
          <w:noProof/>
          <w:sz w:val="24"/>
        </w:rPr>
        <w:t>on, sekä vastasyntyneiden seulontaa koskeva kansallinen ohjelma; toimet, joilla pyritään ehkäisemään toimintarajoitteita, korjaamaan vahinkoja ja estämään uusiutuminen kliinisesti näkyvästä kansallisesta psykososiaalista integrointia ja kuntoutusta koskeva</w:t>
      </w:r>
      <w:r>
        <w:rPr>
          <w:rFonts w:ascii="Times New Roman" w:hAnsi="Times New Roman"/>
          <w:noProof/>
          <w:sz w:val="24"/>
        </w:rPr>
        <w:t>sta ohjelmasta, joka on tarkoitettu vakavista psykososiaalisista ongelmista kärsiville ihmisille ja palliatiiviseen hoitoon syöpäpotilaille; julkisen terveydenhuoltojärjestelmän toiminnallinen ja toiminnallinen nykyaikaistaminen. Ohjelman tavoitteena on vi</w:t>
      </w:r>
      <w:r>
        <w:rPr>
          <w:rFonts w:ascii="Times New Roman" w:hAnsi="Times New Roman"/>
          <w:noProof/>
          <w:sz w:val="24"/>
        </w:rPr>
        <w:t>ime kädessä vähentää käyttäytymiseen liittyviä riskitekijöitä, millä on myönteisiä vaikutuksia paitsi väestön elämänlaatuun myös terveydenhuoltojärjestelmän yleiseen saatavuuteen, tehokkuuteen ja kantokykyyn, jotka saavutetaan vähentämällä sairaalapalvelui</w:t>
      </w:r>
      <w:r>
        <w:rPr>
          <w:rFonts w:ascii="Times New Roman" w:hAnsi="Times New Roman"/>
          <w:noProof/>
          <w:sz w:val="24"/>
        </w:rPr>
        <w:t>hin kohdistuvaa painetta.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Mielenterveysalan ja riippuvuuden alan uudistus (toimenpiteen tunniste: 16820)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on varmistettava mielenterveyspalvelujen saatavuus tietyill</w:t>
      </w:r>
      <w:r>
        <w:rPr>
          <w:rFonts w:ascii="Times New Roman" w:hAnsi="Times New Roman"/>
          <w:noProof/>
          <w:sz w:val="24"/>
        </w:rPr>
        <w:t>e mielenterveysongelmista ja -riippuvuudesta kärsiville väestöryhmille, jotta voidaan ehkäistä heidän syrjäytymistään tai laitostumistaan. Hankkeen odotetaan laajentavan mielenterveyspalveluja dementiaa ja Alzheimerin tautia sairastaville potilaille sekä a</w:t>
      </w:r>
      <w:r>
        <w:rPr>
          <w:rFonts w:ascii="Times New Roman" w:hAnsi="Times New Roman"/>
          <w:noProof/>
          <w:sz w:val="24"/>
        </w:rPr>
        <w:t>utistisille ja lasten, nuorten ja nuorten aikuisten ikäryhmille. Tähän liittyy verkkosovellusten kehittäminen ja mielenterveyspalvelujen digitalisointi sekä toimet, joilla tuetaan riippuvuutta aiheuttavia henkilöitä, sekä toimet huollettavien henkilöiden t</w:t>
      </w:r>
      <w:r>
        <w:rPr>
          <w:rFonts w:ascii="Times New Roman" w:hAnsi="Times New Roman"/>
          <w:noProof/>
          <w:sz w:val="24"/>
        </w:rPr>
        <w:t>ukemiseksi. Uudistus on määrä toteuttaa viimeistään 31 päivänä joulukuuta 2023.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Terveydenhuoltojärjestelmän organisaatiouudistukset (KETEKNY, ODIPY) (toimenpiteen tunniste: 16756)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järkeistää sairaaloiden hoitotoimenpite</w:t>
      </w:r>
      <w:r>
        <w:rPr>
          <w:rFonts w:ascii="Times New Roman" w:hAnsi="Times New Roman"/>
          <w:noProof/>
          <w:sz w:val="24"/>
        </w:rPr>
        <w:t>iden korvaamista 1) vahvistamalla Kreikan diagnosointiin liittyvää instituuttia (KETEKNY) ja 2) luomalla puitteet, joilla varmistetaan luotettavat, laadukkaat menettelyt ja suoritusmittaukset, jotka liittyvät potilaiden hoitoon, terveystarpeisiin ja hoidon</w:t>
      </w:r>
      <w:r>
        <w:rPr>
          <w:rFonts w:ascii="Times New Roman" w:hAnsi="Times New Roman"/>
          <w:noProof/>
          <w:sz w:val="24"/>
        </w:rPr>
        <w:t xml:space="preserve"> tarjoamiseen Kreikan terveydenhuollon laadunvarmistusviraston (ODIPY) ja sen toimien tukemiseksi. Sellaisen kansallisen terveyskartan laatimisen, jossa kirjataan terveydenhuoltojärjestelmän palvelujen kysyntä ja tarjonta ja luodaan puitteet laadunarvioinn</w:t>
      </w:r>
      <w:r>
        <w:rPr>
          <w:rFonts w:ascii="Times New Roman" w:hAnsi="Times New Roman"/>
          <w:noProof/>
          <w:sz w:val="24"/>
        </w:rPr>
        <w:t>ille, odotetaan parantavan terveydenhuoltojärjestelmän avoimuutta ja tehokkuutta. Uudistus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Terveysinfrastruktuuri (toimenpiteen tunniste: 16795)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kattavista toimista</w:t>
      </w:r>
      <w:r>
        <w:rPr>
          <w:rFonts w:ascii="Times New Roman" w:hAnsi="Times New Roman"/>
          <w:noProof/>
          <w:sz w:val="24"/>
        </w:rPr>
        <w:t xml:space="preserve"> sairaaloiden logistisen infrastruktuurin nykyaikaistamiseksi kaikkialla Kreikassa, mukaan lukien rakennusten energiatehokkuuskorjaukset ja uusien lääkinnällisten laitteiden toimittaminen. Investoinnilla on annettava kansallisen terveydenhuoltojärjestelmän</w:t>
      </w:r>
      <w:r>
        <w:rPr>
          <w:rFonts w:ascii="Times New Roman" w:hAnsi="Times New Roman"/>
          <w:noProof/>
          <w:sz w:val="24"/>
        </w:rPr>
        <w:t xml:space="preserve"> lääkintä- ja hoitohenkilöstölle välineet, jotka ovat tarpeen tarjottujen terveyspalvelujen laadun ja tehokkuuden parantamiseksi. Minkään tähän osa-alueeseen kuuluvan toimenpiteen ei odoteta aiheuttavan merkittävää haittaa asetuksen (EU) 2020/852 17 artikl</w:t>
      </w:r>
      <w:r>
        <w:rPr>
          <w:rFonts w:ascii="Times New Roman" w:hAnsi="Times New Roman"/>
          <w:noProof/>
          <w:sz w:val="24"/>
        </w:rPr>
        <w:t>assa tarkoitetuille ympäristötavoitteille, kun otetaan huomioon elpymis- ja palautumissuunnitelmassa esitettyjen toimenpiteen kuvaus ja lieventävät toimet ”ei merkittävää haittaa -periaatteen” teknisten ohjeiden (2021/C58/01) mukaisesti. Toimenpiteessä ede</w:t>
      </w:r>
      <w:r>
        <w:rPr>
          <w:rFonts w:ascii="Times New Roman" w:hAnsi="Times New Roman"/>
          <w:noProof/>
          <w:sz w:val="24"/>
        </w:rPr>
        <w:t>llytetään erityisesti, että rakennustyöt suorittavien talouden toimijoiden on varmistettava, että vähintään 70 prosenttia (painoprosentteina) rakennustyömaalla tuotetusta vaarattomasta rakennus- ja purkujätteestä (lukuun ottamatta luokkaan 17 05 04 kuuluva</w:t>
      </w:r>
      <w:r>
        <w:rPr>
          <w:rFonts w:ascii="Times New Roman" w:hAnsi="Times New Roman"/>
          <w:noProof/>
          <w:sz w:val="24"/>
        </w:rPr>
        <w:t>a luonnosta peräisin olevaa ainesta, joka sisältyy Euroopan jäteluetteloon, joka on perustettu 3 päivänä toukokuuta 2000 tehdyllä päätöksellä 2000/532/EY jätteistä annetun neuvoston direktiivin 75/442/ETY 1 artiklan a alakohdan mukaisen jäteluettelon laati</w:t>
      </w:r>
      <w:r>
        <w:rPr>
          <w:rFonts w:ascii="Times New Roman" w:hAnsi="Times New Roman"/>
          <w:noProof/>
          <w:sz w:val="24"/>
        </w:rPr>
        <w:t>misesta tehdyn komission päätöksen 94/3/EY ja vaarallisista jätteistä annetun neuvoston direktiivin 91/689/ETY 1 artiklan 4 kohdan mukaisen vaarallisten jätteiden luettelon laatimisesta tehdyn neuvoston päätöksen 94/904/EY korvaamisesta (tiedoksiannettu nu</w:t>
      </w:r>
      <w:r>
        <w:rPr>
          <w:rFonts w:ascii="Times New Roman" w:hAnsi="Times New Roman"/>
          <w:noProof/>
          <w:sz w:val="24"/>
        </w:rPr>
        <w:t>merolla K(2000) 1147)) valmistellaan uudelleenkäyttöön, kierrätykseen ja muuhun materiaalien hyödyntämiseen, mukaan lukien maantäyttötoimet, joissa käytetään jätettä korvaamaan muita materiaaleja, jätehierarkian ja EU:n rakennus- ja purkujätteen käsittely-</w:t>
      </w:r>
      <w:r>
        <w:rPr>
          <w:rFonts w:ascii="Times New Roman" w:hAnsi="Times New Roman"/>
          <w:noProof/>
          <w:sz w:val="24"/>
        </w:rPr>
        <w:t xml:space="preserve"> ja kierrätysmallin mukaisesti.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Terveysalan digitalisaatio (DigHealth) (toimenpiteen tunniste: 16752)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on optimoitava terveydenhuollon laatu ja potilasturval</w:t>
      </w:r>
      <w:r>
        <w:rPr>
          <w:rFonts w:ascii="Times New Roman" w:hAnsi="Times New Roman"/>
          <w:noProof/>
          <w:sz w:val="24"/>
        </w:rPr>
        <w:t>lisuus uusilla innovatiivisilla palveluilla ja samalla autettava hillitsemään terveydenhuoltomenoja hillitsemällä tuotteiden ja lääkkeiden liikakäyttöä, parantamalla sairaaloiden hallintoa, potilaiden kokemusta, julkisia hankintamenettelyjä ja parantamalla</w:t>
      </w:r>
      <w:r>
        <w:rPr>
          <w:rFonts w:ascii="Times New Roman" w:hAnsi="Times New Roman"/>
          <w:noProof/>
          <w:sz w:val="24"/>
        </w:rPr>
        <w:t xml:space="preserve"> järjestelmän toimintoja, yhteentoimivuutta ja digitaalisia valmiuksia (EOPYY). Investointi kattaa viiden osahankkeen toteuttamisen: kansallisten digitaalisten terveystietojen täysimääräinen perustaminen ja käyttöönotto, syövän hoidon digitalisaation ohjel</w:t>
      </w:r>
      <w:r>
        <w:rPr>
          <w:rFonts w:ascii="Times New Roman" w:hAnsi="Times New Roman"/>
          <w:noProof/>
          <w:sz w:val="24"/>
        </w:rPr>
        <w:t>man täysimääräinen käyttöönotto, kansallisen telelääketieteen verkoston (EDIT) kapasiteetin laajentaminen, sairaaloiden digitaalisen valmiuden parantaminen ja EOPYY:n digitalisaatio.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w:t>
      </w:r>
      <w:r>
        <w:rPr>
          <w:rFonts w:ascii="Times New Roman" w:hAnsi="Times New Roman"/>
          <w:b/>
          <w:bCs/>
          <w:noProof/>
          <w:sz w:val="24"/>
        </w:rPr>
        <w:t>vestoinnit:</w:t>
      </w:r>
      <w:r>
        <w:rPr>
          <w:rFonts w:ascii="Times New Roman" w:hAnsi="Times New Roman"/>
          <w:noProof/>
          <w:sz w:val="24"/>
        </w:rPr>
        <w:t xml:space="preserve"> Sädehoitokeskuksen perustaminen rintaontelon sairauksiin erikoistuneeseen Sotiria-sairaalaan Ateenassa (toimenpiteen tunniste: 16757)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Sotiria-sairaalan sädehoitokeskuksen perustaminen ja rakentaminen auttaa vastaamaan syöpäpotilaiden tarpeisiin</w:t>
      </w:r>
      <w:r>
        <w:rPr>
          <w:rFonts w:ascii="Times New Roman" w:hAnsi="Times New Roman"/>
          <w:noProof/>
          <w:sz w:val="24"/>
        </w:rPr>
        <w:t xml:space="preserve"> ja maan sädehoitoyksiköiden kasvavaan kysyntään. Tämä kattaa uuden sädehoito-osaston perustamisen, uuden rakennusinfrastruktuurin, avohoitolaitoksen, kliinisen huippuosaamisen keskusten ja erikoistuneiden hoitoyksiköiden perustamisen sekä nykyisten rakenn</w:t>
      </w:r>
      <w:r>
        <w:rPr>
          <w:rFonts w:ascii="Times New Roman" w:hAnsi="Times New Roman"/>
          <w:noProof/>
          <w:sz w:val="24"/>
        </w:rPr>
        <w:t>usten (Mega Laikon ja 300 Andron) yhteenliittämisen; hätäosaston yhteydet leikkausosastoon ja muihin rakennuksiin; klinikoiden ja laboratorioiden kunnostaminen, mukaan lukien infrastruktuuri ja laitteet. Minkään tähän osa-alueeseen kuuluvan toimenpiteen ei</w:t>
      </w:r>
      <w:r>
        <w:rPr>
          <w:rFonts w:ascii="Times New Roman" w:hAnsi="Times New Roman"/>
          <w:noProof/>
          <w:sz w:val="24"/>
        </w:rPr>
        <w:t xml:space="preserve"> odoteta aiheuttavan merkittävää haittaa asetuksen (EU) 2020/852 17 artiklassa tarkoitetuille ympäristötavoitteille, kun otetaan huomioon elpymis- ja palautumissuunnitelmassa esitettyjen toimenpiteen kuvaus ja lieventävät toimet ”ei merkittävää haittaa -pe</w:t>
      </w:r>
      <w:r>
        <w:rPr>
          <w:rFonts w:ascii="Times New Roman" w:hAnsi="Times New Roman"/>
          <w:noProof/>
          <w:sz w:val="24"/>
        </w:rPr>
        <w:t>riaatteen” teknisten ohjeiden (2021/C58/01) mukaisesti. Toimenpiteessä edellytetään erityisesti, että rakennustyöt suorittavien talouden toimijoiden on varmistettava, että vähintään 70 prosenttia (painoprosentteina) rakennustyömaalla tuotetusta vaarattomas</w:t>
      </w:r>
      <w:r>
        <w:rPr>
          <w:rFonts w:ascii="Times New Roman" w:hAnsi="Times New Roman"/>
          <w:noProof/>
          <w:sz w:val="24"/>
        </w:rPr>
        <w:t xml:space="preserve">ta rakennus- ja purkujätteestä (lukuun ottamatta luokkaan 17 05 04 kuuluvaa luonnosta peräisin olevaa ainesta, joka sisältyy Euroopan jäteluetteloon, joka on perustettu 3 päivänä toukokuuta 2000 tehdyllä päätöksellä 2000/532/EY jätteistä annetun neuvoston </w:t>
      </w:r>
      <w:r>
        <w:rPr>
          <w:rFonts w:ascii="Times New Roman" w:hAnsi="Times New Roman"/>
          <w:noProof/>
          <w:sz w:val="24"/>
        </w:rPr>
        <w:t>direktiivin 75/442/ETY 1 artiklan a alakohdan mukaisen jäteluettelon laatimisesta tehdyn komission päätöksen 94/3/EY ja vaarallisista jätteistä annetun neuvoston direktiivin 91/689/ETY 1 artiklan 4 kohdan mukaisen vaarallisten jätteiden luettelon laatimise</w:t>
      </w:r>
      <w:r>
        <w:rPr>
          <w:rFonts w:ascii="Times New Roman" w:hAnsi="Times New Roman"/>
          <w:noProof/>
          <w:sz w:val="24"/>
        </w:rPr>
        <w:t>sta tehdyn neuvoston päätöksen 94/904/EY korvaamisesta (tiedoksiannettu numerolla K(2000) 1147)) valmistellaan uudelleenkäyttöön, kierrätykseen ja muuhun materiaalien hyödyntämiseen, mukaan lukien maantäyttötoimet, joissa käytetään jätettä korvaamaan muita</w:t>
      </w:r>
      <w:r>
        <w:rPr>
          <w:rFonts w:ascii="Times New Roman" w:hAnsi="Times New Roman"/>
          <w:noProof/>
          <w:sz w:val="24"/>
        </w:rPr>
        <w:t xml:space="preserve"> materiaaleja, jätehierarkian ja EU:n rakennus- ja purkujätteen käsittely- ja kierrätysmallin mukaisesti.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Kotiterveydenhuollon ja sairaaloiden perustaminen; kotisairaalajä</w:t>
      </w:r>
      <w:r>
        <w:rPr>
          <w:rFonts w:ascii="Times New Roman" w:hAnsi="Times New Roman"/>
          <w:noProof/>
          <w:sz w:val="24"/>
        </w:rPr>
        <w:t>rjestelmät (toimenpiteen tunniste: 16753)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koskee kotihoitojärjestelmän perustamista kroonisesti vammaisten potilaiden kohdennetuille ryhmille. Kotihoitoon yhdistetään terveydenhuoltoyksiköiden tarjoama rinnakkainen järjestäytynyt tuki, joka kos</w:t>
      </w:r>
      <w:r>
        <w:rPr>
          <w:rFonts w:ascii="Times New Roman" w:hAnsi="Times New Roman"/>
          <w:noProof/>
          <w:sz w:val="24"/>
        </w:rPr>
        <w:t xml:space="preserve">kee lapsia, nuoria ja aikuisia, joilla on vakavia kroonisia terveysongelmia, jotka aiheuttavat pitkäaikaisia tai pysyviä vammoja. Tämä parantaa potilaiden elämänlaatua ja vapauttaa samalla kansallisen terveydenhuoltojärjestelmän resursseja. Investoinnilla </w:t>
      </w:r>
      <w:r>
        <w:rPr>
          <w:rFonts w:ascii="Times New Roman" w:hAnsi="Times New Roman"/>
          <w:noProof/>
          <w:sz w:val="24"/>
        </w:rPr>
        <w:t>toteutetaan viisi alahanketta: 1) tarvekartoitus, jossa keskitytään hyvien käytäntöjen tunnistamiseen, tarpeiden ja Kreikan nykytilanteen kirjaamiseen sekä kotihoidon institutionalisoimista koskevan ehdotuksen laatimiseen; 2) etälääketieteen sovellusten kä</w:t>
      </w:r>
      <w:r>
        <w:rPr>
          <w:rFonts w:ascii="Times New Roman" w:hAnsi="Times New Roman"/>
          <w:noProof/>
          <w:sz w:val="24"/>
        </w:rPr>
        <w:t>yttöönotto potilastuen seurantavälineinä; 3) kotihoidon kautta hoidettuja potilaita koskevan kansallisen rekisterin perustaminen ja täytäntöönpano; 4) standardoitujen hoitokäytäntöjen sekä laatu- ja turvallisuusnormien määrittäminen ja 5) kahdeksan referen</w:t>
      </w:r>
      <w:r>
        <w:rPr>
          <w:rFonts w:ascii="Times New Roman" w:hAnsi="Times New Roman"/>
          <w:noProof/>
          <w:sz w:val="24"/>
        </w:rPr>
        <w:t>ssialueen perustaminen (yksi kussakin alueellisessa terveysviranomaisessa). Investointi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Hanke, jonka tarkoituksena on rakentaa rakennus solu- ja geeniterapialle sekä hematologian kliin</w:t>
      </w:r>
      <w:r>
        <w:rPr>
          <w:rFonts w:ascii="Times New Roman" w:hAnsi="Times New Roman"/>
          <w:noProof/>
          <w:sz w:val="24"/>
        </w:rPr>
        <w:t xml:space="preserve">isille laboratorioille Thessalonikin Papanikolaou-sairaalan yhteyteen (toimenpiteen tunniste: 16793).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Investoinnin tarkoituksena on rakentaa uusia rakennuksia Papanikolaou-sairaalan solu-, genetiikka- ja hematologiaklinikoiden laboratorioiden sijoittamist</w:t>
      </w:r>
      <w:r>
        <w:rPr>
          <w:rFonts w:ascii="Times New Roman" w:hAnsi="Times New Roman"/>
          <w:noProof/>
          <w:sz w:val="24"/>
        </w:rPr>
        <w:t xml:space="preserve">a varten, jotta sen palvelut vastaisivat potilashoidon kasvavia vaatimuksia (pahanlaatuiset hematologiset sairaudet) sekä nykyaikaisten teknologioiden kasvavaa kysyntää. sen on myös parannettava olemassa olevaa laboratorioiden ja päivähoitoyksikön siirtoa </w:t>
      </w:r>
      <w:r>
        <w:rPr>
          <w:rFonts w:ascii="Times New Roman" w:hAnsi="Times New Roman"/>
          <w:noProof/>
          <w:sz w:val="24"/>
        </w:rPr>
        <w:t>koskevaa rakennusta. Uuden rakennuksen on täytettävä primäärienergiantarve, joka on vähintään 20 prosenttia pienempi kuin lähes nollaenergiarakennuksia koskeva vaatimus (lähes nollaenergiarakennus, kansalliset direktiivit). Minkään tähän osa-alueeseen kuul</w:t>
      </w:r>
      <w:r>
        <w:rPr>
          <w:rFonts w:ascii="Times New Roman" w:hAnsi="Times New Roman"/>
          <w:noProof/>
          <w:sz w:val="24"/>
        </w:rPr>
        <w:t>uvan toimenpiteen ei odoteta aiheuttavan merkittävää haittaa asetuksen (EU) 2020/852 17 artiklassa tarkoitetuille ympäristötavoitteille, kun otetaan huomioon elpymis- ja palautumissuunnitelmassa esitettyjen toimenpiteen kuvaus ja lieventävät toimet ”ei mer</w:t>
      </w:r>
      <w:r>
        <w:rPr>
          <w:rFonts w:ascii="Times New Roman" w:hAnsi="Times New Roman"/>
          <w:noProof/>
          <w:sz w:val="24"/>
        </w:rPr>
        <w:t>kittävää haittaa -periaatteen” teknisten ohjeiden (2021/C58/01) mukaisesti. Toimenpiteessä edellytetään erityisesti, että rakennustyöt suorittavien talouden toimijoiden on varmistettava, että vähintään 70 prosenttia (painoprosentteina) rakennustyömaalla tu</w:t>
      </w:r>
      <w:r>
        <w:rPr>
          <w:rFonts w:ascii="Times New Roman" w:hAnsi="Times New Roman"/>
          <w:noProof/>
          <w:sz w:val="24"/>
        </w:rPr>
        <w:t>otetusta vaarattomasta rakennus- ja purkujätteestä (lukuun ottamatta luokkaan 17 05 04 kuuluvaa luonnosta peräisin olevaa ainesta, joka sisältyy Euroopan jäteluetteloon, joka on perustettu 3 päivänä toukokuuta 2000 tehdyllä päätöksellä 2000/532/EY jätteist</w:t>
      </w:r>
      <w:r>
        <w:rPr>
          <w:rFonts w:ascii="Times New Roman" w:hAnsi="Times New Roman"/>
          <w:noProof/>
          <w:sz w:val="24"/>
        </w:rPr>
        <w:t>ä annetun neuvoston direktiivin 75/442/ETY 1 artiklan a alakohdan mukaisen jäteluettelon laatimisesta tehdyn komission päätöksen 94/3/EY ja vaarallisista jätteistä annetun neuvoston direktiivin 91/689/ETY 1 artiklan 4 kohdan mukaisen vaarallisten jätteiden</w:t>
      </w:r>
      <w:r>
        <w:rPr>
          <w:rFonts w:ascii="Times New Roman" w:hAnsi="Times New Roman"/>
          <w:noProof/>
          <w:sz w:val="24"/>
        </w:rPr>
        <w:t xml:space="preserve"> luettelon laatimisesta tehdyn neuvoston päätöksen 94/904/EY korvaamisesta (tiedoksiannettu numerolla K(2000) 1147)) valmistellaan uudelleenkäyttöön, kierrätykseen ja muuhun materiaalien hyödyntämiseen, mukaan lukien maantäyttötoimet, joissa käytetään jäte</w:t>
      </w:r>
      <w:r>
        <w:rPr>
          <w:rFonts w:ascii="Times New Roman" w:hAnsi="Times New Roman"/>
          <w:noProof/>
          <w:sz w:val="24"/>
        </w:rPr>
        <w:t>ttä korvaamaan muita materiaaleja, jätehierarkian ja EU:n rakennus- ja purkujätteen käsittely- ja kierrätysmallin mukaisesti. Investointi on määrä toteuttaa viimeistään 31 päivänä joulukuuta 2025.</w:t>
      </w: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55"/>
          <w:headerReference w:type="default" r:id="rId156"/>
          <w:footerReference w:type="even" r:id="rId157"/>
          <w:footerReference w:type="default" r:id="rId158"/>
          <w:headerReference w:type="first" r:id="rId159"/>
          <w:footerReference w:type="first" r:id="rId160"/>
          <w:pgSz w:w="11907" w:h="16839"/>
          <w:pgMar w:top="1134" w:right="1417" w:bottom="1134" w:left="1417" w:header="709" w:footer="709" w:gutter="0"/>
          <w:cols w:space="720"/>
          <w:docGrid w:linePitch="360"/>
        </w:sectPr>
      </w:pPr>
    </w:p>
    <w:p w:rsidR="00B0093E" w:rsidRDefault="00762CA6">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J.2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Keskeinen uudistus 7: Terveydenhuoltoalan uudistukset ja investointien nopeuttaminen – terveydenhuoltomenojen vähentä</w:t>
      </w:r>
      <w:r>
        <w:rPr>
          <w:rFonts w:ascii="Cambria" w:hAnsi="Cambria"/>
          <w:noProof/>
          <w:color w:val="365F91"/>
          <w:sz w:val="24"/>
        </w:rPr>
        <w:t>minen ja järkeistäminen (tunniste: 16816)</w:t>
      </w:r>
    </w:p>
    <w:tbl>
      <w:tblPr>
        <w:tblW w:w="15730" w:type="dxa"/>
        <w:jc w:val="center"/>
        <w:tblLook w:val="04A0" w:firstRow="1" w:lastRow="0" w:firstColumn="1" w:lastColumn="0" w:noHBand="0" w:noVBand="1"/>
      </w:tblPr>
      <w:tblGrid>
        <w:gridCol w:w="1027"/>
        <w:gridCol w:w="2322"/>
        <w:gridCol w:w="1626"/>
        <w:gridCol w:w="1611"/>
        <w:gridCol w:w="1729"/>
        <w:gridCol w:w="1247"/>
        <w:gridCol w:w="966"/>
        <w:gridCol w:w="1006"/>
        <w:gridCol w:w="1387"/>
        <w:gridCol w:w="992"/>
        <w:gridCol w:w="4678"/>
      </w:tblGrid>
      <w:tr w:rsidR="00B0093E">
        <w:trPr>
          <w:trHeight w:val="927"/>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50"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651"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965"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Kunkin </w:t>
            </w:r>
            <w:r>
              <w:rPr>
                <w:rFonts w:ascii="Times New Roman" w:hAnsi="Times New Roman"/>
                <w:b/>
                <w:bCs/>
                <w:noProof/>
                <w:sz w:val="18"/>
                <w:szCs w:val="18"/>
              </w:rPr>
              <w:t>välitavoitteen ja tavoitteen kuvaus</w:t>
            </w:r>
          </w:p>
        </w:tc>
      </w:tr>
      <w:tr w:rsidR="00B0093E">
        <w:trPr>
          <w:trHeight w:val="1013"/>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50"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94"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7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58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73"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99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153</w:t>
            </w:r>
          </w:p>
        </w:tc>
        <w:tc>
          <w:tcPr>
            <w:tcW w:w="13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0 - 3.3. Terveydenhuollon häiriönsietokyvyn, saatavuuden ja kestävyyden parantaminen – 16816_Terveydenhuoltoalan uudistukset ja siihen kohdistettavien investointien vauhdittaminen – Sairaanhoitomenojen vähentäminen ja järkeistäminen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Takaisinper</w:t>
            </w:r>
            <w:r>
              <w:rPr>
                <w:noProof/>
                <w:color w:val="006100"/>
                <w:sz w:val="18"/>
                <w:szCs w:val="18"/>
              </w:rPr>
              <w:t>intä – Lainsäädännön voimaantulo</w:t>
            </w:r>
          </w:p>
        </w:tc>
        <w:tc>
          <w:tcPr>
            <w:tcW w:w="17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Voimaan tulee tarkistettu lainsäädäntö, jolla otetaan käyttöön riskinjako ja sitovat takaisinperintää koskevat vähimmäistavoitteet kuvauksessa esitetyn aikataulun mukaisesti. </w:t>
            </w:r>
          </w:p>
        </w:tc>
        <w:tc>
          <w:tcPr>
            <w:tcW w:w="1194"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7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6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Riskinjakoa koskevan oikeudellisen k</w:t>
            </w:r>
            <w:r>
              <w:rPr>
                <w:noProof/>
                <w:color w:val="006100"/>
                <w:sz w:val="18"/>
                <w:szCs w:val="18"/>
              </w:rPr>
              <w:t xml:space="preserve">ehyksen (ensisijainen oikeus) voimaantulo takaisinperintää laskettaessa asettamalla takaisinperintää koskeva sitova tavoite seuraavien vuosien aikana. Uudistuksen tavoitteena on vähentää takaisin perittyjä määriä vähintään 50 000 000 euroa (2022), 150 000 </w:t>
            </w:r>
            <w:r>
              <w:rPr>
                <w:noProof/>
                <w:color w:val="006100"/>
                <w:sz w:val="18"/>
                <w:szCs w:val="18"/>
              </w:rPr>
              <w:t>000 euroa (2023), 300 000 000 euroa (2024) ja 400 000 000 euroa (2025) vuoden 2020 tasosta. Jos tätä ei saavuteta, kohdennetun vähennyksen ja kunkin vuoden todellisen vähennyksen välistä erotusta ei saa periä takaisin lääketeollisuudelta, ja kyseinen määrä</w:t>
            </w:r>
            <w:r>
              <w:rPr>
                <w:noProof/>
                <w:color w:val="006100"/>
                <w:sz w:val="18"/>
                <w:szCs w:val="18"/>
              </w:rPr>
              <w:t xml:space="preserve"> katetaan valtion talousarviosta takaisinperintämäärien kohdennettuun vähennykseen asti.</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154</w:t>
            </w:r>
          </w:p>
        </w:tc>
        <w:tc>
          <w:tcPr>
            <w:tcW w:w="13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häiriönsietokyvyn, saatavuuden ja kestävyyden parantaminen – 16816_Terveydenhuoltoalan uudistukset ja siihen kohdistettavien </w:t>
            </w:r>
            <w:r>
              <w:rPr>
                <w:noProof/>
                <w:color w:val="006100"/>
                <w:sz w:val="18"/>
                <w:szCs w:val="18"/>
              </w:rPr>
              <w:t>investointien vauhdittaminen – Sairaanhoitomenojen vähentäminen ja järkeistäminen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Takaisinperintä väheni 50 000 000 – vaihe 1</w:t>
            </w:r>
          </w:p>
        </w:tc>
        <w:tc>
          <w:tcPr>
            <w:tcW w:w="171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Takaisin perittyjen määrien vähennys vuoden 2020 tasoon verrattuna (miljoonaa euroa)</w:t>
            </w:r>
          </w:p>
        </w:tc>
        <w:tc>
          <w:tcPr>
            <w:tcW w:w="87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5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w:t>
            </w:r>
          </w:p>
        </w:tc>
        <w:tc>
          <w:tcPr>
            <w:tcW w:w="9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6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Panemaan täytäntöön aiemmin hyväksytyt tehokkuutta parantavat toimenpiteet, jotta sekä avohoito- että sairaalahoitoon liittyvää vuoden 2022 takaisinperintää voidaan vähentää 50 000 000 eurolla vuoden 2020 tasoon verrattuna, mikä tukee terveydenhuoltojärjes</w:t>
            </w:r>
            <w:r>
              <w:rPr>
                <w:noProof/>
                <w:color w:val="006100"/>
                <w:sz w:val="18"/>
                <w:szCs w:val="18"/>
              </w:rPr>
              <w:t xml:space="preserve">telmän häiriönsietokykyä. Jos tätä ei saavuteta, kunkin vuoden kohdennetun ja todellisen vähennyksen erotusta ei palauteta lääketeollisuudelta, ja vastaava määrä katetaan valtion talousarviosta 50 000 000 euroon asti. </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155</w:t>
            </w:r>
          </w:p>
        </w:tc>
        <w:tc>
          <w:tcPr>
            <w:tcW w:w="13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w:t>
            </w:r>
            <w:r>
              <w:rPr>
                <w:noProof/>
                <w:color w:val="006100"/>
                <w:sz w:val="18"/>
                <w:szCs w:val="18"/>
              </w:rPr>
              <w:t>häiriönsietokyvyn, saatavuuden ja kestävyyden parantaminen – 16816_Terveydenhuoltoalan uudistukset ja siihen kohdistettavien investointien vauhdittaminen – Sairaanhoitomenojen vähentäminen ja järkeistäminen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Takaisinperintä vähentyi 150 000 000 – va</w:t>
            </w:r>
            <w:r>
              <w:rPr>
                <w:noProof/>
                <w:color w:val="006100"/>
                <w:sz w:val="18"/>
                <w:szCs w:val="18"/>
              </w:rPr>
              <w:t>ihe 2</w:t>
            </w:r>
          </w:p>
        </w:tc>
        <w:tc>
          <w:tcPr>
            <w:tcW w:w="171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Takaisin perittyjen määrien vähennys vuoden 2020 tasoon verrattuna (miljoonaa euroa)</w:t>
            </w:r>
          </w:p>
        </w:tc>
        <w:tc>
          <w:tcPr>
            <w:tcW w:w="87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5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150</w:t>
            </w:r>
          </w:p>
        </w:tc>
        <w:tc>
          <w:tcPr>
            <w:tcW w:w="9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6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Panemaan täytäntöön aiemmin hyväksytyt tehokkuutta parantavat toimenpiteet, jotta sekä avohoito- että sairaalahoitoon liittyvää vuoden 2023 </w:t>
            </w:r>
            <w:r>
              <w:rPr>
                <w:noProof/>
                <w:color w:val="006100"/>
                <w:sz w:val="18"/>
                <w:szCs w:val="18"/>
              </w:rPr>
              <w:t xml:space="preserve">takaisinperintää vähennetään 150 000 000 eurolla vuoden 2020 tasoon verrattuna, mikä tukee terveydenhuoltojärjestelmän häiriönsietokykyä. Jos tätä ei saavuteta, kunkin vuoden kohdennetun ja todellisen vähennyksen erotusta ei palauteta lääketeollisuudelta, </w:t>
            </w:r>
            <w:r>
              <w:rPr>
                <w:noProof/>
                <w:color w:val="006100"/>
                <w:sz w:val="18"/>
                <w:szCs w:val="18"/>
              </w:rPr>
              <w:t>ja vastaava määrä katetaan valtion talousarviosta 400 000 000 euroon asti.</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156</w:t>
            </w:r>
          </w:p>
        </w:tc>
        <w:tc>
          <w:tcPr>
            <w:tcW w:w="13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häiriönsietokyvyn, saatavuuden ja kestävyyden parantaminen – 16816_Terveydenhuoltoalan uudistukset ja siihen kohdistettavien investointien </w:t>
            </w:r>
            <w:r>
              <w:rPr>
                <w:noProof/>
                <w:color w:val="006100"/>
                <w:sz w:val="18"/>
                <w:szCs w:val="18"/>
              </w:rPr>
              <w:t>vauhdittaminen – Sairaanhoitomenojen vähentäminen ja järkeistäminen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Lääketieteellinen tutkimus ja kehitys</w:t>
            </w:r>
          </w:p>
          <w:p w:rsidR="00B0093E" w:rsidRDefault="00762CA6">
            <w:pPr>
              <w:spacing w:after="0" w:line="240" w:lineRule="auto"/>
              <w:rPr>
                <w:rFonts w:eastAsia="Times New Roman" w:cs="Calibri"/>
                <w:noProof/>
                <w:color w:val="006100"/>
                <w:sz w:val="18"/>
                <w:szCs w:val="18"/>
              </w:rPr>
            </w:pPr>
            <w:r>
              <w:rPr>
                <w:noProof/>
                <w:color w:val="006100"/>
                <w:sz w:val="18"/>
                <w:szCs w:val="18"/>
              </w:rPr>
              <w:t>investointitoteutus 2021-2023</w:t>
            </w:r>
          </w:p>
        </w:tc>
        <w:tc>
          <w:tcPr>
            <w:tcW w:w="171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Investoinnit (miljoonaa euroa), joita sovelletaan hyvittämällä vastaava määrä takaisin perittyjen määrien </w:t>
            </w:r>
            <w:r>
              <w:rPr>
                <w:noProof/>
                <w:color w:val="006100"/>
                <w:sz w:val="18"/>
                <w:szCs w:val="18"/>
              </w:rPr>
              <w:t>kanssa</w:t>
            </w:r>
          </w:p>
        </w:tc>
        <w:tc>
          <w:tcPr>
            <w:tcW w:w="87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150</w:t>
            </w:r>
          </w:p>
        </w:tc>
        <w:tc>
          <w:tcPr>
            <w:tcW w:w="5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250</w:t>
            </w:r>
          </w:p>
        </w:tc>
        <w:tc>
          <w:tcPr>
            <w:tcW w:w="9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6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Toteuttaa 250 000 000 euron investoinnit lääketeollisuuden T&amp;K:hon. Investoinnit on tehtävä vähentämällä vastaava määrä kolmen edellisen vuoden takaisinperityistä määristä (100 000 000 euroa vuonna 2021, 75 000 000 euroa vuonna 2022,</w:t>
            </w:r>
            <w:r>
              <w:rPr>
                <w:noProof/>
                <w:color w:val="006100"/>
                <w:sz w:val="18"/>
                <w:szCs w:val="18"/>
              </w:rPr>
              <w:t xml:space="preserve"> 75 000 000 euroa vuonna 2023) enintään 250 000 000 euron kokonaismäärään asti.</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157</w:t>
            </w:r>
          </w:p>
        </w:tc>
        <w:tc>
          <w:tcPr>
            <w:tcW w:w="13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häiriönsietokyvyn, saatavuuden ja kestävyyden parantaminen – 16816_Terveydenhuoltoalan uudistukset ja siihen kohdistettavien investointien </w:t>
            </w:r>
            <w:r>
              <w:rPr>
                <w:noProof/>
                <w:color w:val="006100"/>
                <w:sz w:val="18"/>
                <w:szCs w:val="18"/>
              </w:rPr>
              <w:t>vauhdittaminen – Sairaanhoitomenojen vähentäminen ja järkeistäminen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Takaisinperintä väheni 300 000 000 – vaihe 3</w:t>
            </w:r>
          </w:p>
        </w:tc>
        <w:tc>
          <w:tcPr>
            <w:tcW w:w="171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Takaisin perittyjen määrien vähennys vuoden 2020 tasoon verrattuna (miljoonaa euroa)</w:t>
            </w:r>
          </w:p>
        </w:tc>
        <w:tc>
          <w:tcPr>
            <w:tcW w:w="87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250</w:t>
            </w:r>
          </w:p>
        </w:tc>
        <w:tc>
          <w:tcPr>
            <w:tcW w:w="5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300</w:t>
            </w:r>
          </w:p>
        </w:tc>
        <w:tc>
          <w:tcPr>
            <w:tcW w:w="9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67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Panemaan täytäntöön aiemmin </w:t>
            </w:r>
            <w:r>
              <w:rPr>
                <w:noProof/>
                <w:color w:val="006100"/>
                <w:sz w:val="18"/>
                <w:szCs w:val="18"/>
              </w:rPr>
              <w:t>hyväksytyt tehokkuutta parantavat toimenpiteet, jotta sekä avohoito- että sairaalahoitoon liittyvää vuoden 2024 takaisinperintää voidaan vähentää 300 000 000 eurolla vuoden 2020 tasoon verrattuna, mikä tukee terveydenhuoltojärjestelmän häiriönsietokykyä. J</w:t>
            </w:r>
            <w:r>
              <w:rPr>
                <w:noProof/>
                <w:color w:val="006100"/>
                <w:sz w:val="18"/>
                <w:szCs w:val="18"/>
              </w:rPr>
              <w:t>os tätä ei saavuteta, kunkin vuoden kohdennetun ja todellisen vähennyksen erotusta ei palauteta lääketeollisuudelta, ja vastaava määrä katetaan valtion talousarviosta 300 000 000 euroon asti.</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158</w:t>
            </w:r>
          </w:p>
        </w:tc>
        <w:tc>
          <w:tcPr>
            <w:tcW w:w="13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häiriönsietokyvyn, saatavuuden </w:t>
            </w:r>
            <w:r>
              <w:rPr>
                <w:noProof/>
                <w:color w:val="006100"/>
                <w:sz w:val="18"/>
                <w:szCs w:val="18"/>
              </w:rPr>
              <w:t>ja kestävyyden parantaminen – 16816_Terveydenhuoltoalan uudistukset ja siihen kohdistettavien investointien vauhdittaminen – Sairaanhoitomenojen vähentäminen ja järkeistäminen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3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Takaisinperintä väheni 400 000 000 – vaihe 4</w:t>
            </w:r>
          </w:p>
        </w:tc>
        <w:tc>
          <w:tcPr>
            <w:tcW w:w="171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Takaisin perittyjen </w:t>
            </w:r>
            <w:r>
              <w:rPr>
                <w:noProof/>
                <w:color w:val="006100"/>
                <w:sz w:val="18"/>
                <w:szCs w:val="18"/>
              </w:rPr>
              <w:t>määrien vähennys vuoden 2020 tasoon verrattuna (miljoonaa euroa)</w:t>
            </w:r>
          </w:p>
        </w:tc>
        <w:tc>
          <w:tcPr>
            <w:tcW w:w="87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300</w:t>
            </w: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400</w:t>
            </w: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2026</w:t>
            </w:r>
          </w:p>
        </w:tc>
        <w:tc>
          <w:tcPr>
            <w:tcW w:w="467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Panemaan täytäntöön aiemmin hyväksytyt tehokkuutta parantavat toimenpiteet, joilla vähennetään sekä avohoito- että sairaalalääkkeiden takaisin perimistä vuonna 2025 400 000 00</w:t>
            </w:r>
            <w:r>
              <w:rPr>
                <w:noProof/>
                <w:color w:val="006100"/>
                <w:sz w:val="18"/>
                <w:szCs w:val="18"/>
              </w:rPr>
              <w:t>0 eurolla vuoden 2020 tasoon verrattuna, mikä tukee terveydenhuoltojärjestelmän häiriönsietokykyä. Jos tätä ei saavuteta, kunkin vuoden kohdennetun ja todellisen vähennyksen erotusta ei palauteta lääketeollisuudelta, ja vastaava määrä katetaan valtion talo</w:t>
            </w:r>
            <w:r>
              <w:rPr>
                <w:noProof/>
                <w:color w:val="006100"/>
                <w:sz w:val="18"/>
                <w:szCs w:val="18"/>
              </w:rPr>
              <w:t>usarviosta 400 000 000 euroon asti.</w:t>
            </w:r>
          </w:p>
        </w:tc>
      </w:tr>
    </w:tbl>
    <w:p w:rsidR="00B0093E" w:rsidRDefault="00B0093E">
      <w:pPr>
        <w:spacing w:before="120" w:after="120" w:line="240" w:lineRule="auto"/>
        <w:ind w:left="709"/>
        <w:jc w:val="both"/>
        <w:rPr>
          <w:rFonts w:ascii="Times New Roman" w:hAnsi="Times New Roman" w:cs="Times New Roman"/>
          <w:noProof/>
          <w:sz w:val="24"/>
          <w:szCs w:val="24"/>
        </w:rPr>
        <w:sectPr w:rsidR="00B0093E">
          <w:headerReference w:type="even" r:id="rId161"/>
          <w:headerReference w:type="default" r:id="rId162"/>
          <w:footerReference w:type="even" r:id="rId163"/>
          <w:footerReference w:type="default" r:id="rId164"/>
          <w:headerReference w:type="first" r:id="rId165"/>
          <w:footerReference w:type="first" r:id="rId166"/>
          <w:pgSz w:w="16839" w:h="11907" w:orient="landscape"/>
          <w:pgMar w:top="720" w:right="720" w:bottom="720" w:left="720" w:header="709" w:footer="709" w:gutter="0"/>
          <w:cols w:space="720"/>
          <w:docGrid w:linePitch="360"/>
        </w:sect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13: Terveydenhuollon häiriönsietokyvyn, saatavuuden ja kestävyyden parantaminen</w:t>
      </w:r>
    </w:p>
    <w:p w:rsidR="00B0093E" w:rsidRDefault="00762CA6">
      <w:pPr>
        <w:numPr>
          <w:ilvl w:val="0"/>
          <w:numId w:val="40"/>
        </w:numPr>
        <w:tabs>
          <w:tab w:val="left" w:pos="8364"/>
        </w:tabs>
        <w:spacing w:before="120" w:after="0" w:line="240" w:lineRule="auto"/>
        <w:jc w:val="both"/>
        <w:rPr>
          <w:rFonts w:ascii="Times New Roman" w:hAnsi="Times New Roman" w:cs="Times New Roman"/>
          <w:noProof/>
        </w:rPr>
      </w:pPr>
      <w:r>
        <w:rPr>
          <w:rFonts w:ascii="Times New Roman" w:hAnsi="Times New Roman"/>
          <w:noProof/>
          <w:sz w:val="24"/>
        </w:rPr>
        <w:t xml:space="preserve">Terveydenhuoltojärjestelmän organisaatiouudistukset (KETEKNY, ODIPY) </w:t>
      </w:r>
      <w:r>
        <w:rPr>
          <w:rFonts w:ascii="Times New Roman" w:hAnsi="Times New Roman"/>
          <w:noProof/>
          <w:sz w:val="24"/>
        </w:rPr>
        <w:t>(tunniste: 16756)</w:t>
      </w:r>
    </w:p>
    <w:p w:rsidR="00B0093E" w:rsidRDefault="00762CA6">
      <w:pPr>
        <w:numPr>
          <w:ilvl w:val="0"/>
          <w:numId w:val="40"/>
        </w:numPr>
        <w:tabs>
          <w:tab w:val="left" w:pos="8364"/>
        </w:tabs>
        <w:spacing w:before="120" w:after="0" w:line="240" w:lineRule="auto"/>
        <w:jc w:val="both"/>
        <w:rPr>
          <w:rFonts w:ascii="Times New Roman" w:hAnsi="Times New Roman" w:cs="Times New Roman"/>
          <w:noProof/>
          <w:sz w:val="24"/>
        </w:rPr>
      </w:pPr>
      <w:r>
        <w:rPr>
          <w:rFonts w:ascii="Times New Roman" w:hAnsi="Times New Roman"/>
          <w:noProof/>
          <w:sz w:val="24"/>
        </w:rPr>
        <w:t>Mielenterveysalan ja riippuvuuden alan uudistus (tunniste: 16820)</w:t>
      </w:r>
    </w:p>
    <w:p w:rsidR="00B0093E" w:rsidRDefault="00762CA6">
      <w:pPr>
        <w:numPr>
          <w:ilvl w:val="0"/>
          <w:numId w:val="40"/>
        </w:numPr>
        <w:tabs>
          <w:tab w:val="left" w:pos="8364"/>
        </w:tabs>
        <w:spacing w:before="120" w:after="0" w:line="240" w:lineRule="auto"/>
        <w:jc w:val="both"/>
        <w:rPr>
          <w:rFonts w:ascii="Times New Roman" w:hAnsi="Times New Roman" w:cs="Times New Roman"/>
          <w:noProof/>
          <w:sz w:val="24"/>
        </w:rPr>
      </w:pPr>
      <w:r>
        <w:rPr>
          <w:rFonts w:ascii="Times New Roman" w:hAnsi="Times New Roman"/>
          <w:noProof/>
          <w:sz w:val="24"/>
        </w:rPr>
        <w:t>Perusterveydenhuoltojärjestelmän uudistaminen (tunniste: 16755)</w:t>
      </w:r>
    </w:p>
    <w:p w:rsidR="00B0093E" w:rsidRDefault="00762CA6">
      <w:pPr>
        <w:numPr>
          <w:ilvl w:val="0"/>
          <w:numId w:val="40"/>
        </w:numPr>
        <w:tabs>
          <w:tab w:val="left" w:pos="8364"/>
        </w:tabs>
        <w:spacing w:before="120" w:after="120" w:line="240" w:lineRule="auto"/>
        <w:jc w:val="both"/>
        <w:rPr>
          <w:rFonts w:ascii="Times New Roman" w:hAnsi="Times New Roman" w:cs="Times New Roman"/>
          <w:noProof/>
          <w:sz w:val="24"/>
        </w:rPr>
      </w:pPr>
      <w:r>
        <w:rPr>
          <w:rFonts w:ascii="Times New Roman" w:hAnsi="Times New Roman"/>
          <w:noProof/>
          <w:sz w:val="24"/>
        </w:rPr>
        <w:t>Kansallisen sairauksien ehkäisemistä koskevan julkisen ”Spiros Doxiadis” -ohjelman täytäntöönpano (toimenpit</w:t>
      </w:r>
      <w:r>
        <w:rPr>
          <w:rFonts w:ascii="Times New Roman" w:hAnsi="Times New Roman"/>
          <w:noProof/>
          <w:sz w:val="24"/>
        </w:rPr>
        <w:t>een tunniste: 16783)</w:t>
      </w:r>
    </w:p>
    <w:tbl>
      <w:tblPr>
        <w:tblW w:w="15871" w:type="dxa"/>
        <w:jc w:val="center"/>
        <w:tblLook w:val="04A0" w:firstRow="1" w:lastRow="0" w:firstColumn="1" w:lastColumn="0" w:noHBand="0" w:noVBand="1"/>
      </w:tblPr>
      <w:tblGrid>
        <w:gridCol w:w="1027"/>
        <w:gridCol w:w="2762"/>
        <w:gridCol w:w="1626"/>
        <w:gridCol w:w="2744"/>
        <w:gridCol w:w="2352"/>
        <w:gridCol w:w="2111"/>
        <w:gridCol w:w="966"/>
        <w:gridCol w:w="1006"/>
        <w:gridCol w:w="1387"/>
        <w:gridCol w:w="657"/>
        <w:gridCol w:w="4819"/>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081"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32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755"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49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Kunkin välitavoitteen ja </w:t>
            </w:r>
            <w:r>
              <w:rPr>
                <w:rFonts w:ascii="Times New Roman" w:hAnsi="Times New Roman"/>
                <w:b/>
                <w:bCs/>
                <w:noProof/>
                <w:sz w:val="18"/>
                <w:szCs w:val="18"/>
              </w:rPr>
              <w:t>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81"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25"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7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62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65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159</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0 - 3.3. Terveydenhuollon häiriönsietokyvyn, saatavuuden ja kestävyyden parantaminen – 16755_Ensisijaisen terveydenhuoltojärjestelmän uudistaminen</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Perusterveydenhuollon perhelääketieteen opetussuunnitelmien aktivointi </w:t>
            </w:r>
          </w:p>
        </w:tc>
        <w:tc>
          <w:tcPr>
            <w:tcW w:w="132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Todistus kaikkien vasta a</w:t>
            </w:r>
            <w:r>
              <w:rPr>
                <w:noProof/>
                <w:color w:val="006100"/>
                <w:sz w:val="18"/>
                <w:szCs w:val="18"/>
              </w:rPr>
              <w:t>ktivoitujen perhelääketieteen opinto-ohjelmien käynnistämisestä ja perhelääketieteellisen moduulin sisällyttämisestä kaikkiin lääketieteellisiin opetussuunnitelmiin.</w:t>
            </w:r>
          </w:p>
          <w:p w:rsidR="00B0093E" w:rsidRDefault="00B0093E">
            <w:pPr>
              <w:spacing w:after="0" w:line="240" w:lineRule="auto"/>
              <w:rPr>
                <w:rFonts w:ascii="Times New Roman" w:hAnsi="Times New Roman" w:cs="Times New Roman"/>
                <w:noProof/>
                <w:color w:val="006100"/>
                <w:sz w:val="18"/>
                <w:szCs w:val="18"/>
                <w:lang w:eastAsia="en-GB"/>
              </w:rPr>
            </w:pPr>
          </w:p>
        </w:tc>
        <w:tc>
          <w:tcPr>
            <w:tcW w:w="127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Laajennetaan aktiivisten akateemisten opetussuunnitelmien määrää </w:t>
            </w:r>
            <w:r>
              <w:rPr>
                <w:noProof/>
                <w:color w:val="006100"/>
                <w:sz w:val="18"/>
                <w:szCs w:val="18"/>
              </w:rPr>
              <w:t>perhelääketieteen alalla vähintään 75 prosenttiin Kreikan lääketieteellisistä kouluista ja sisällytetään perhelääketieteen pakollinen moduuli kaikkiin lääketieteellisiin opetussuunnitelmiin. Tähän on sisällyttävä asianomaisten yliopistojen osalta asiakirja</w:t>
            </w:r>
            <w:r>
              <w:rPr>
                <w:noProof/>
                <w:color w:val="006100"/>
                <w:sz w:val="18"/>
                <w:szCs w:val="18"/>
              </w:rPr>
              <w:t>t, joissa korostetaan uutta tutkintoarkkitehtuuria: 1) uudet opetussuunnitelmat ja 2) perhelääketiedettä koskevan pakollisen moduulin sisällyttäminen nykyisiin opetussuunnitelmiin).</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160</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highlight w:val="yellow"/>
              </w:rPr>
            </w:pPr>
            <w:r>
              <w:rPr>
                <w:noProof/>
                <w:color w:val="006100"/>
                <w:sz w:val="18"/>
                <w:szCs w:val="18"/>
              </w:rPr>
              <w:t xml:space="preserve">10 - 3.3. Terveydenhuollon häiriönsietokyvyn, saatavuuden ja </w:t>
            </w:r>
            <w:r>
              <w:rPr>
                <w:noProof/>
                <w:color w:val="006100"/>
                <w:sz w:val="18"/>
                <w:szCs w:val="18"/>
              </w:rPr>
              <w:t>kestävyyden parantaminen – 16820_Uudistus mielenterveyden ja riippuvuuksien alalla</w:t>
            </w:r>
          </w:p>
          <w:p w:rsidR="00B0093E" w:rsidRDefault="00B0093E">
            <w:pPr>
              <w:spacing w:after="0" w:line="240" w:lineRule="auto"/>
              <w:rPr>
                <w:rFonts w:eastAsia="Times New Roman" w:cs="Calibri"/>
                <w:noProof/>
                <w:color w:val="006100"/>
                <w:sz w:val="18"/>
                <w:szCs w:val="18"/>
                <w:lang w:eastAsia="en-GB"/>
              </w:rPr>
            </w:pP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0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Mielenterveys – 50 yksikköä avoinna – vaihe 1/2</w:t>
            </w:r>
          </w:p>
        </w:tc>
        <w:tc>
          <w:tcPr>
            <w:tcW w:w="132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Valmiiden ja toiminnassa olevien mielenterveysyksikköjen lukumäärä</w:t>
            </w:r>
          </w:p>
        </w:tc>
        <w:tc>
          <w:tcPr>
            <w:tcW w:w="85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w:t>
            </w: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 mielenterveysyksikön perustamine</w:t>
            </w:r>
            <w:r>
              <w:rPr>
                <w:noProof/>
                <w:color w:val="006100"/>
                <w:sz w:val="18"/>
                <w:szCs w:val="18"/>
              </w:rPr>
              <w:t>n ja täysimääräinen toiminta (toteutetaan kunnostamalla olemassa olevia yksiköitä), joita tuetaan mielenterveyttä tukevasta kansallisesta strategisesta suunnitelmasta (yhteensä 106 mielenterveysyksikköä)</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161</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häiriönsietokyvyn, </w:t>
            </w:r>
            <w:r>
              <w:rPr>
                <w:noProof/>
                <w:color w:val="006100"/>
                <w:sz w:val="18"/>
                <w:szCs w:val="18"/>
              </w:rPr>
              <w:t>saatavuuden ja kestävyyden parantaminen – 16755_Ensisijaisen terveydenhuoltojärjestelmän uudistaminen</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Perusterveydenhuolto – terveyskeskukset, jotka tekevät hankintasopimuksia</w:t>
            </w:r>
          </w:p>
        </w:tc>
        <w:tc>
          <w:tcPr>
            <w:tcW w:w="132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hankintasopimusten tekemisestä. </w:t>
            </w:r>
          </w:p>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tc>
        <w:tc>
          <w:tcPr>
            <w:tcW w:w="127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p w:rsidR="00B0093E" w:rsidRDefault="00B0093E">
            <w:pPr>
              <w:spacing w:after="0" w:line="240" w:lineRule="auto"/>
              <w:rPr>
                <w:rFonts w:eastAsia="Times New Roman" w:cs="Calibri"/>
                <w:noProof/>
                <w:color w:val="006100"/>
                <w:sz w:val="18"/>
                <w:szCs w:val="18"/>
                <w:lang w:eastAsia="en-GB"/>
              </w:rPr>
            </w:pPr>
          </w:p>
        </w:tc>
        <w:tc>
          <w:tcPr>
            <w:tcW w:w="6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w:t>
            </w:r>
            <w:r>
              <w:rPr>
                <w:noProof/>
                <w:color w:val="006100"/>
                <w:sz w:val="18"/>
                <w:szCs w:val="18"/>
              </w:rPr>
              <w:t>hankintasopimusten tekemisestä, jonka terveysministeriö lähettää urakoitsijoille vähintään 156 terveyskeskuksen (50 prosenttia Kreikan kaikista terveyskeskuksista) peruskorjauksista ja julkisen infrastruktuurin ja lääkinnällisten laitteiden energiatehokkuu</w:t>
            </w:r>
            <w:r>
              <w:rPr>
                <w:noProof/>
                <w:color w:val="006100"/>
                <w:sz w:val="18"/>
                <w:szCs w:val="18"/>
              </w:rPr>
              <w:t>tta parantavista toimenpiteistä. Tarjouskilpailun ratkaisemista koskevaan ilmoitukseen on liitettävä mallisopimus, jossa esitetään valmistumisen aikataulu vuoden 2025 neljännen neljänneksen loppuun saattamista varten, sekä raportti, jossa korostetaan toteu</w:t>
            </w:r>
            <w:r>
              <w:rPr>
                <w:noProof/>
                <w:color w:val="006100"/>
                <w:sz w:val="18"/>
                <w:szCs w:val="18"/>
              </w:rPr>
              <w:t>tettavien töiden pääpiirteitä.</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162</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10 - 3.3. Terveydenhuollon häiriönsietokyvyn, saatavuuden ja kestävyyden parantaminen – 16820_Uudistus mielenterveyden ja riippuvuuksien alalla</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0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Mielenterveys – 106 yksikköä avoinna – vaihe 2/2</w:t>
            </w:r>
          </w:p>
        </w:tc>
        <w:tc>
          <w:tcPr>
            <w:tcW w:w="132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Valmiiden ja </w:t>
            </w:r>
            <w:r>
              <w:rPr>
                <w:noProof/>
                <w:color w:val="006100"/>
                <w:sz w:val="18"/>
                <w:szCs w:val="18"/>
              </w:rPr>
              <w:t>toiminnassa olevien mielenterveysyksikköjen lukumäärä</w:t>
            </w:r>
          </w:p>
        </w:tc>
        <w:tc>
          <w:tcPr>
            <w:tcW w:w="85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w:t>
            </w:r>
          </w:p>
        </w:tc>
        <w:tc>
          <w:tcPr>
            <w:tcW w:w="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106</w:t>
            </w:r>
          </w:p>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56 ylimääräisen mielenterveysyksikön perustaminen ja täysi toiminta (toteutettu olemassa olevien yksiköiden kunnostamisella), joita tuetaan mielenterveyttä tukevasta kansallisesta </w:t>
            </w:r>
            <w:r>
              <w:rPr>
                <w:noProof/>
                <w:color w:val="006100"/>
                <w:sz w:val="18"/>
                <w:szCs w:val="18"/>
              </w:rPr>
              <w:t>strategisesta suunnitelmasta (yhteensä 106 mielenterveysyksikköä), mikä on osoitettu raporteissa, joissa dokumentoidaan alahankkeiden 1, 2, 3, 4, 5 ja 6 loppuun saattaminen ja toimintavalmius.</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163</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selviytymiskyvyn, saatavuuden </w:t>
            </w:r>
            <w:r>
              <w:rPr>
                <w:noProof/>
                <w:color w:val="006100"/>
                <w:sz w:val="18"/>
                <w:szCs w:val="18"/>
              </w:rPr>
              <w:t>ja kestävyyden parantaminen – 16756_ terveydenhuoltojärjestelmän organisaatiouudistus (KETEKNY, ODIPY)</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rPr>
              <w:t>Terveydenhuoltojärjestelmä – Kreikan DRG-instituutti KETEKNY ja uusi terveydenhuollon laadunvarmistusvirasto ODIPY (pl. koulutus)</w:t>
            </w:r>
          </w:p>
        </w:tc>
        <w:tc>
          <w:tcPr>
            <w:tcW w:w="132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Todiste </w:t>
            </w:r>
            <w:r>
              <w:rPr>
                <w:noProof/>
                <w:color w:val="006100"/>
                <w:sz w:val="18"/>
                <w:szCs w:val="18"/>
              </w:rPr>
              <w:t>osahankkeiden 1, 2 ja 3 loppuun saattamisesta KETEKNYn osalta ja osahankkeiden 1, 2, 3 ja 5 loppuunsaattamisesta toimittamalla edellä mainitut suoritteet sekä selvitys rakennuksen peruskorjauksen loppuunsaattamisesta (ODIPY-alihanke 5)</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rPr>
              <w:t>Saattamaa</w:t>
            </w:r>
            <w:r>
              <w:rPr>
                <w:noProof/>
              </w:rPr>
              <w:t>n päätökseen yhteentoimivuuden laajentamisen, kansainvälistä tautiluokitusta (ICD) koskevan kokeiluhankkeen, Kreikan lääketieteellisten menettelyjen luokittelua (ETIP) koskevat kuulemisfoorumit ja rahoitus- ja kirjanpitotietojen keruualustan kokeiluhankkee</w:t>
            </w:r>
            <w:r>
              <w:rPr>
                <w:noProof/>
              </w:rPr>
              <w:t>n (alahankkeet 1, 2 ja 3 KETEKNY) sekä laadunvarmistusta, potilasturvallisuutta ja potilaiden osallistumista terveydenhuoltopalvelujen tarjoamiseen koskevan kansallisen strategian ja lainsäädäntökehyksen;</w:t>
            </w:r>
            <w:r>
              <w:rPr>
                <w:noProof/>
                <w:color w:val="006100"/>
                <w:sz w:val="18"/>
                <w:szCs w:val="18"/>
              </w:rPr>
              <w:t xml:space="preserve"> kansallinen terveyskartta; kansallinen strategia ja</w:t>
            </w:r>
            <w:r>
              <w:rPr>
                <w:noProof/>
                <w:color w:val="006100"/>
                <w:sz w:val="18"/>
                <w:szCs w:val="18"/>
              </w:rPr>
              <w:t xml:space="preserve"> ehdotettu lainsäädäntökehys hoito- ja turvallisuuspolitiikan laatua ja rintaontelon sairauksiin erikoistuneen Sotiria-sairaalaan (Spiliopouleio) kuuluvan rakennuksen kunnostamista varten, käytettäväksi terveyden kansallisen laadunvarmistusorganisaation (O</w:t>
            </w:r>
            <w:r>
              <w:rPr>
                <w:noProof/>
                <w:color w:val="006100"/>
                <w:sz w:val="18"/>
                <w:szCs w:val="18"/>
              </w:rPr>
              <w:t>DIPY) ja Kreikan keskusterveysviranomaisen (KESY) päätoimipaikassa.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164</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10 - 3.3. Terveydenhuollon selviytymiskyvyn, saatavuuden ja kestävyyden parantaminen – 16756_ terveydenhuoltojärjestelmän organisaatiouudistukset (KETEKNY, ODIPY)</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0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Terveydenhuoltojärjestelmä – KETEKNY ODIPY koulutus loppuun saatettu</w:t>
            </w:r>
          </w:p>
        </w:tc>
        <w:tc>
          <w:tcPr>
            <w:tcW w:w="132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Niiden terveydenhuollon ammattilaisten lukumäärä, jotka ovat suorittaneet koulutusohjelmat ja jotka on virallisesti sertifioitu kliinisessä koodauksessa, laskutuksessa ja </w:t>
            </w:r>
            <w:r>
              <w:rPr>
                <w:noProof/>
                <w:color w:val="006100"/>
                <w:sz w:val="18"/>
                <w:szCs w:val="18"/>
              </w:rPr>
              <w:t>vaatimustenmukaisuuden arvioinnissa</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4 500</w:t>
            </w: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4 500 terveydenhuollon ammattilaisen koulutus ja sertifiointi kliinisen koodauksen ja laskutuksen osa-alueella (osahanke 4 KETEKNY) ja vaatimustenmukaisuuden arviointi uuden yhteisen arviointikehyksen (os</w:t>
            </w:r>
            <w:r>
              <w:rPr>
                <w:noProof/>
                <w:color w:val="006100"/>
                <w:sz w:val="18"/>
                <w:szCs w:val="18"/>
              </w:rPr>
              <w:t>ahanke 4 ODIPY) perusteella suhteutettuna KETEKNYn ja ODIPYn havaittuihin tarpeisiin.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165</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10 - 3.3. Terveydenhuollon häiriönsietokyvyn, saatavuuden ja kestävyyden parantaminen – 16783_Kansallisen sairauksien ehkäisemistä koskevan julkisen ”Spiros </w:t>
            </w:r>
            <w:r>
              <w:rPr>
                <w:noProof/>
                <w:color w:val="006100"/>
                <w:sz w:val="18"/>
                <w:szCs w:val="18"/>
              </w:rPr>
              <w:t>Doxiadis” -ohjelman täytäntöönpano</w:t>
            </w:r>
          </w:p>
          <w:p w:rsidR="00B0093E" w:rsidRDefault="00B0093E">
            <w:pPr>
              <w:spacing w:after="0" w:line="240" w:lineRule="auto"/>
              <w:rPr>
                <w:rFonts w:eastAsia="Times New Roman" w:cs="Calibri"/>
                <w:noProof/>
                <w:color w:val="006100"/>
                <w:sz w:val="18"/>
                <w:szCs w:val="18"/>
                <w:highlight w:val="yellow"/>
                <w:lang w:eastAsia="en-GB"/>
              </w:rPr>
            </w:pPr>
          </w:p>
          <w:p w:rsidR="00B0093E" w:rsidRDefault="00B0093E">
            <w:pPr>
              <w:spacing w:after="0" w:line="240" w:lineRule="auto"/>
              <w:rPr>
                <w:rFonts w:eastAsia="Times New Roman" w:cs="Calibri"/>
                <w:noProof/>
                <w:color w:val="006100"/>
                <w:sz w:val="18"/>
                <w:szCs w:val="18"/>
                <w:lang w:eastAsia="en-GB"/>
              </w:rPr>
            </w:pP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Kansallinen sairauksien ehkäisemistä koskeva julkinen ”Spiros Doxiadis” -ohjelma – Kaikki hankkeet on saatettu päätökseen</w:t>
            </w:r>
          </w:p>
        </w:tc>
        <w:tc>
          <w:tcPr>
            <w:tcW w:w="132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Todisteet siitä, että kaikki hankkeet on saatettu päätökseen, mistä on osoituksena </w:t>
            </w:r>
            <w:r>
              <w:rPr>
                <w:noProof/>
                <w:color w:val="006100"/>
                <w:sz w:val="18"/>
                <w:szCs w:val="18"/>
              </w:rPr>
              <w:t>raportit kaikilla aloilla (julkisen terveydenhuoltojärjestelmän ensisijainen, sekundaarinen, tertiäärinen ja toiminnallinen nykyaikaistaminen), joka kattaa kaikki toimet ja kunkin toimen kattaman väestön.</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Kansallisen sairauksien ehkäisemistä </w:t>
            </w:r>
            <w:r>
              <w:rPr>
                <w:noProof/>
                <w:color w:val="006100"/>
                <w:sz w:val="18"/>
                <w:szCs w:val="18"/>
              </w:rPr>
              <w:t>koskevaan julkiseen ”Spiros Doxiadis” -ohjelmaan liittyvien hankkeiden loppuun saattaminen 100-prosenttisesti</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1. Primaarinen ennaltaehkäisy: tästä on osoituksena raportti i) fysikaalisten harjoitusten ja terveellisen syövän edistämistä koskevan kansallise</w:t>
            </w:r>
            <w:r>
              <w:rPr>
                <w:noProof/>
                <w:color w:val="006100"/>
                <w:sz w:val="18"/>
                <w:szCs w:val="18"/>
              </w:rPr>
              <w:t>n ohjelman, ii) kansallisen alkoholiohjelman, iii) kansallisen rokotusohjelman, iv) lasten psykososiaalisten ongelmien ehkäisyn ja v) hammaslääkärien ehkäisyn osalta.</w:t>
            </w:r>
          </w:p>
          <w:p w:rsidR="00B0093E" w:rsidRDefault="00762CA6">
            <w:pPr>
              <w:spacing w:after="0" w:line="240" w:lineRule="auto"/>
              <w:rPr>
                <w:rFonts w:eastAsia="Times New Roman" w:cs="Calibri"/>
                <w:noProof/>
                <w:color w:val="006100"/>
                <w:sz w:val="18"/>
                <w:szCs w:val="18"/>
              </w:rPr>
            </w:pPr>
            <w:r>
              <w:rPr>
                <w:noProof/>
                <w:color w:val="006100"/>
                <w:sz w:val="18"/>
                <w:szCs w:val="18"/>
              </w:rPr>
              <w:t>2. Sekundaarinen ennaltaehkäisy: tästä on osoituksena raportti, joka koskee i) erittäin y</w:t>
            </w:r>
            <w:r>
              <w:rPr>
                <w:noProof/>
                <w:color w:val="006100"/>
                <w:sz w:val="18"/>
                <w:szCs w:val="18"/>
              </w:rPr>
              <w:t>leistyneiden tautien varhaista havaitsemista koskevan kansallisen seulontaohjelman sekä ii) kansallisen järjestelmällisen prenataalisen ohjelman ja perinataalivalvonnan täytäntöönpanoa.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3. Tertiaaripreventio: kuten syöväntorjuntaa koskevasta kansallisesta </w:t>
            </w:r>
            <w:r>
              <w:rPr>
                <w:noProof/>
                <w:color w:val="006100"/>
                <w:sz w:val="18"/>
                <w:szCs w:val="18"/>
              </w:rPr>
              <w:t>strategiasta ja oikeudellisesta kehyksestä tehdyt tutkimukset osoittavat.</w:t>
            </w:r>
          </w:p>
          <w:p w:rsidR="00B0093E" w:rsidRDefault="00762CA6">
            <w:pPr>
              <w:spacing w:after="0" w:line="240" w:lineRule="auto"/>
              <w:rPr>
                <w:rFonts w:eastAsia="Times New Roman" w:cs="Calibri"/>
                <w:noProof/>
                <w:color w:val="006100"/>
                <w:sz w:val="18"/>
                <w:szCs w:val="18"/>
              </w:rPr>
            </w:pPr>
            <w:r>
              <w:rPr>
                <w:noProof/>
                <w:color w:val="006100"/>
                <w:sz w:val="18"/>
                <w:szCs w:val="18"/>
              </w:rPr>
              <w:t>4. Julkisen terveydenhuoltojärjestelmän toiminnallinen nykyaikaistaminen: tästä ovat osoituksena raportit, jotka koskevat i) väestön terveyden seurantajärjestelmän toiminnallista uud</w:t>
            </w:r>
            <w:r>
              <w:rPr>
                <w:noProof/>
                <w:color w:val="006100"/>
                <w:sz w:val="18"/>
                <w:szCs w:val="18"/>
              </w:rPr>
              <w:t>elleenjärjestelyä, ii) julkisten terveyspalvelujen tehokkuutta ja vaikuttavuutta, iii) hätätilanteisiin ja uhkiin vastaavien nopean toiminnan mekanismien tehokkuutta, iv) ympäristöterveysmekanismien tehokkuuden parantamista, v) tarjottujen palvelujen laadu</w:t>
            </w:r>
            <w:r>
              <w:rPr>
                <w:noProof/>
                <w:color w:val="006100"/>
                <w:sz w:val="18"/>
                <w:szCs w:val="18"/>
              </w:rPr>
              <w:t>n ja tieteellisen validiteetin parantamista, vi) kansanterveysalan tietotekniikan organisaatiota, vii) suuntautumista ulospäin.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166</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sietokyvyn, saatavuuden ja kantokyvyn parantaminen – 16755_Vihreät investoinnit – </w:t>
            </w:r>
            <w:r>
              <w:rPr>
                <w:noProof/>
                <w:color w:val="006100"/>
                <w:sz w:val="18"/>
                <w:szCs w:val="18"/>
              </w:rPr>
              <w:t>Perusterveydenhuoltojärjestelmän uudistaminen</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0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PHC – täysin kunnostetut terveyskeskukset</w:t>
            </w:r>
          </w:p>
        </w:tc>
        <w:tc>
          <w:tcPr>
            <w:tcW w:w="132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Niiden terveyskeskusten lukumäärä (ainakin), joissa infrastruktuurin peruskorjaus on saatu päätökseen ja keskukset ovat toiminnassa</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156</w:t>
            </w: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Energiatehokkuuden parantamiseen tähtäävän infrastruktuurin peruskorjauksen loppuun saattaminen vähintään 156 terveyskeskuksessa (puolet kaikista Kreikan terveyskeskuksista).</w:t>
            </w:r>
          </w:p>
        </w:tc>
      </w:tr>
    </w:tbl>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14: Terveydenhuollon sietokyvyn, saatavuuden ja kantokyvyn parantaminen</w:t>
      </w:r>
    </w:p>
    <w:p w:rsidR="00B0093E" w:rsidRDefault="00762CA6">
      <w:pPr>
        <w:numPr>
          <w:ilvl w:val="0"/>
          <w:numId w:val="38"/>
        </w:numPr>
        <w:spacing w:before="120" w:after="0" w:line="240" w:lineRule="auto"/>
        <w:jc w:val="both"/>
        <w:rPr>
          <w:rFonts w:ascii="Times New Roman" w:hAnsi="Times New Roman" w:cs="Times New Roman"/>
          <w:noProof/>
        </w:rPr>
      </w:pPr>
      <w:r>
        <w:rPr>
          <w:rFonts w:ascii="Times New Roman" w:hAnsi="Times New Roman"/>
          <w:noProof/>
          <w:sz w:val="24"/>
        </w:rPr>
        <w:t>Terveysalan digitalisaatio (tunniste: 16752)</w:t>
      </w:r>
    </w:p>
    <w:p w:rsidR="00B0093E" w:rsidRDefault="00762CA6">
      <w:pPr>
        <w:numPr>
          <w:ilvl w:val="0"/>
          <w:numId w:val="38"/>
        </w:numPr>
        <w:spacing w:before="120" w:after="0" w:line="240" w:lineRule="auto"/>
        <w:jc w:val="both"/>
        <w:rPr>
          <w:rFonts w:ascii="Times New Roman" w:hAnsi="Times New Roman" w:cs="Times New Roman"/>
          <w:noProof/>
          <w:sz w:val="24"/>
        </w:rPr>
      </w:pPr>
      <w:r>
        <w:rPr>
          <w:rFonts w:ascii="Times New Roman" w:hAnsi="Times New Roman"/>
          <w:noProof/>
          <w:sz w:val="24"/>
        </w:rPr>
        <w:t>NHS sairaalan kunnostaminen ja infrastruktuurin parantaminen (tunniste: 16795)</w:t>
      </w:r>
    </w:p>
    <w:p w:rsidR="00B0093E" w:rsidRDefault="00762CA6">
      <w:pPr>
        <w:numPr>
          <w:ilvl w:val="0"/>
          <w:numId w:val="38"/>
        </w:numPr>
        <w:spacing w:before="120" w:after="0" w:line="240" w:lineRule="auto"/>
        <w:jc w:val="both"/>
        <w:rPr>
          <w:rFonts w:ascii="Times New Roman" w:hAnsi="Times New Roman" w:cs="Times New Roman"/>
          <w:noProof/>
          <w:sz w:val="24"/>
        </w:rPr>
      </w:pPr>
      <w:r>
        <w:rPr>
          <w:rFonts w:ascii="Times New Roman" w:hAnsi="Times New Roman"/>
          <w:noProof/>
          <w:sz w:val="24"/>
        </w:rPr>
        <w:t>Sädehoitokeskuksen perustaminen Ateenan Sotiria-sairaalaan (henkilökortti: 16757)</w:t>
      </w:r>
    </w:p>
    <w:p w:rsidR="00B0093E" w:rsidRDefault="00762CA6">
      <w:pPr>
        <w:numPr>
          <w:ilvl w:val="0"/>
          <w:numId w:val="38"/>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Hanke, jonka tarkoituksena on rakentaa solu- ja </w:t>
      </w:r>
      <w:r>
        <w:rPr>
          <w:rFonts w:ascii="Times New Roman" w:hAnsi="Times New Roman"/>
          <w:noProof/>
          <w:sz w:val="24"/>
        </w:rPr>
        <w:t>geeniterapiaa sekä hematologian kliinisiä laboratorioita varten rakennus Thessalonikin Papanikolaou-sairaalan yhteyteen (tunniste: 16793)</w:t>
      </w:r>
    </w:p>
    <w:p w:rsidR="00B0093E" w:rsidRDefault="00762CA6">
      <w:pPr>
        <w:numPr>
          <w:ilvl w:val="0"/>
          <w:numId w:val="38"/>
        </w:numPr>
        <w:spacing w:before="120" w:after="120" w:line="240" w:lineRule="auto"/>
        <w:jc w:val="both"/>
        <w:rPr>
          <w:rFonts w:ascii="Times New Roman" w:hAnsi="Times New Roman" w:cs="Times New Roman"/>
          <w:noProof/>
          <w:sz w:val="24"/>
        </w:rPr>
      </w:pPr>
      <w:r>
        <w:rPr>
          <w:rFonts w:ascii="Times New Roman" w:hAnsi="Times New Roman"/>
          <w:noProof/>
          <w:sz w:val="24"/>
        </w:rPr>
        <w:t>Kotisairaanhoidon ja -sairaalan perustaminen kotijärjestelmään (tunniste: 16753)</w:t>
      </w:r>
    </w:p>
    <w:tbl>
      <w:tblPr>
        <w:tblW w:w="15893" w:type="dxa"/>
        <w:jc w:val="center"/>
        <w:tblLayout w:type="fixed"/>
        <w:tblLook w:val="04A0" w:firstRow="1" w:lastRow="0" w:firstColumn="1" w:lastColumn="0" w:noHBand="0" w:noVBand="1"/>
      </w:tblPr>
      <w:tblGrid>
        <w:gridCol w:w="1028"/>
        <w:gridCol w:w="1797"/>
        <w:gridCol w:w="1424"/>
        <w:gridCol w:w="1419"/>
        <w:gridCol w:w="1553"/>
        <w:gridCol w:w="866"/>
        <w:gridCol w:w="857"/>
        <w:gridCol w:w="659"/>
        <w:gridCol w:w="850"/>
        <w:gridCol w:w="709"/>
        <w:gridCol w:w="4731"/>
      </w:tblGrid>
      <w:tr w:rsidR="00B0093E">
        <w:trPr>
          <w:trHeight w:val="939"/>
          <w:tblHeader/>
          <w:jc w:val="center"/>
        </w:trPr>
        <w:tc>
          <w:tcPr>
            <w:tcW w:w="102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w:t>
            </w:r>
            <w:r>
              <w:rPr>
                <w:rFonts w:ascii="Times New Roman" w:hAnsi="Times New Roman"/>
                <w:b/>
                <w:bCs/>
                <w:noProof/>
                <w:sz w:val="18"/>
                <w:szCs w:val="18"/>
              </w:rPr>
              <w:t>tointi)</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419"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382"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7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8"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19"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65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731"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167</w:t>
            </w:r>
          </w:p>
          <w:p w:rsidR="00B0093E" w:rsidRDefault="00B0093E">
            <w:pPr>
              <w:spacing w:after="0" w:line="240" w:lineRule="auto"/>
              <w:rPr>
                <w:rFonts w:eastAsia="Times New Roman" w:cs="Calibri"/>
                <w:noProof/>
                <w:color w:val="006100"/>
                <w:sz w:val="18"/>
                <w:szCs w:val="18"/>
                <w:lang w:eastAsia="en-GB"/>
              </w:rPr>
            </w:pP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10 - 3.3. Terveydenhuollon sietokyvyn, saatavuuden ja kantokyvyn parantaminen – 16752_Terveysalan digitalisaatio (DigHealth)</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Terveydenhuollon digitalisaatio – Kansalliset digitaaliset potilaskertomukset (alahanke 1)</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Raportti, jossa todistetaan osahankkeen 1 kaikkien keskeisten osien päätökseen saattaminen (Kansalliset digitaaliset potilaskertomukset, ks. kuvaus)</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5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73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Vähintään seuraavien osahankkeen 1 osatekijöiden loppuun saattaminen (täysi kokoonpano ja toteut</w:t>
            </w:r>
            <w:r>
              <w:rPr>
                <w:noProof/>
                <w:color w:val="006100"/>
                <w:sz w:val="18"/>
                <w:szCs w:val="18"/>
              </w:rPr>
              <w:t>us), joilla tuetaan terveydenhuoltojärjestelmän digitalisaatiota niin, että kansallinen digitaalinen terveystietokanta on toiminnassa: 1) kliiniset asiakirjat, 2) termipalvelut, 3) sähköisen terveydenhuollon kansalliset yhteentoimivuusperiaatteet, 4) kaikk</w:t>
            </w:r>
            <w:r>
              <w:rPr>
                <w:noProof/>
                <w:color w:val="006100"/>
                <w:sz w:val="18"/>
                <w:szCs w:val="18"/>
              </w:rPr>
              <w:t>ien laboratoriotulosten kerääminen sähköisen terveydenhuollon rekisteriin, 5) vastuuvapauskirjeiden kerääminen).</w:t>
            </w:r>
          </w:p>
        </w:tc>
      </w:tr>
      <w:tr w:rsidR="00B0093E">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168</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10 - 3.3. Terveydenhuollon sietokyvyn, saatavuuden ja kantokyvyn parantaminen – 16752_Terveysalan digitalisaatio (DigHealth)</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Digitalisaatio – digitaalinen syöpäohjelma – alahanke 2</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Raportti, jossa todistetaan osahankkeen 2 (digitaalinen syöpäohjelma – ks. kuvaus) kaikkien keskeisten osien päätökseen saattaminen ja osahankkeen 1 loppuun saattaminen</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5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73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Kansallisen </w:t>
            </w:r>
            <w:r>
              <w:rPr>
                <w:noProof/>
                <w:color w:val="006100"/>
                <w:sz w:val="18"/>
                <w:szCs w:val="18"/>
              </w:rPr>
              <w:t>digitaalisen terveysrekisterin täysimääräinen toimintavalmius (alahankkeen 1 loppuun saattaminen) ja terveysjärjestelmän digitalisaatiota tukevan, syövän digitaalisen terveydenhuollon (alahanke 2) keskeisten osien loppuun saattaminen. Ne edellyttävät vähin</w:t>
            </w:r>
            <w:r>
              <w:rPr>
                <w:noProof/>
                <w:color w:val="006100"/>
                <w:sz w:val="18"/>
                <w:szCs w:val="18"/>
              </w:rPr>
              <w:t>tään seuraavien osatekijöiden täydellistä perustamista ja täytäntöönpanoa kaikilta osin: 1) kansallinen digitaalinen terveystietorekisteri ja 2) syöpähoidon tietojärjestelmä (järjestelmään on sisällyttävä kemoterapian hoitokäytäntöjä, joista 36 on jo kehit</w:t>
            </w:r>
            <w:r>
              <w:rPr>
                <w:noProof/>
                <w:color w:val="006100"/>
                <w:sz w:val="18"/>
                <w:szCs w:val="18"/>
              </w:rPr>
              <w:t>teillä), 3) potilasrekisterit, 4) kansallisen syöpärekisterin käyttöönotto. Lisäksi syöväntorjunnan tietojärjestelmä on asennettava vähintään kahdeksaan (kahdestatoista) sairaalasta.</w:t>
            </w:r>
          </w:p>
        </w:tc>
      </w:tr>
      <w:tr w:rsidR="00B0093E">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169</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kantokyvyn, saatavuuden ja kestävyyden </w:t>
            </w:r>
            <w:r>
              <w:rPr>
                <w:noProof/>
                <w:color w:val="006100"/>
                <w:sz w:val="18"/>
                <w:szCs w:val="18"/>
              </w:rPr>
              <w:t>parantaminen – 16753_Kotisairaanhoidon ja -sairaalan perustaminen kotijärjestelmään</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Kotihoito – yksiköiden avaaminen</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Raportit, joista käy ilmi kotihoitoa tarjoavien kahdeksan operatiivisen yksikön avaaminen ja kaikkien asiaankuuluvien </w:t>
            </w:r>
            <w:r>
              <w:rPr>
                <w:noProof/>
                <w:color w:val="006100"/>
                <w:sz w:val="18"/>
                <w:szCs w:val="18"/>
              </w:rPr>
              <w:t>alahankkeiden loppuun saattaminen</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5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Kahdeksan kotihoitoa tarjoavan henkilöstön ja operatiivisen yksikön perustaminen (2 Ateenassa, 1 Thessalonikissa, 1 Alexandroupolisissa, 1 Patrassa, 1 Ioanninassa, 1 Iraklionissa ja 1 Larisassa) ja seuraavien </w:t>
            </w:r>
            <w:r>
              <w:rPr>
                <w:noProof/>
                <w:color w:val="006100"/>
                <w:sz w:val="18"/>
                <w:szCs w:val="18"/>
              </w:rPr>
              <w:t>alahankkeiden loppuun saattaminen: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nykytilanteen ja tarpeiden arviointi (alahanke 1) </w:t>
            </w:r>
          </w:p>
          <w:p w:rsidR="00B0093E" w:rsidRDefault="00762CA6">
            <w:pPr>
              <w:spacing w:after="0" w:line="240" w:lineRule="auto"/>
              <w:rPr>
                <w:rFonts w:eastAsia="Times New Roman" w:cs="Calibri"/>
                <w:noProof/>
                <w:color w:val="006100"/>
                <w:sz w:val="18"/>
                <w:szCs w:val="18"/>
              </w:rPr>
            </w:pPr>
            <w:r>
              <w:rPr>
                <w:noProof/>
                <w:color w:val="006100"/>
                <w:sz w:val="18"/>
                <w:szCs w:val="18"/>
              </w:rPr>
              <w:t>etälääketieteen sovellukset: kotihoidon kokeellisen keskuksen asennukseen ja toimintavalmiuteen saattamiseen tarkoitetut välineistö ja laitteet, mukaan lukien koulutus (a</w:t>
            </w:r>
            <w:r>
              <w:rPr>
                <w:noProof/>
                <w:color w:val="006100"/>
                <w:sz w:val="18"/>
                <w:szCs w:val="18"/>
              </w:rPr>
              <w:t>lahanke 2)</w:t>
            </w:r>
          </w:p>
          <w:p w:rsidR="00B0093E" w:rsidRDefault="00762CA6">
            <w:pPr>
              <w:spacing w:after="0" w:line="240" w:lineRule="auto"/>
              <w:rPr>
                <w:rFonts w:eastAsia="Times New Roman" w:cs="Calibri"/>
                <w:noProof/>
                <w:color w:val="006100"/>
                <w:sz w:val="18"/>
                <w:szCs w:val="18"/>
              </w:rPr>
            </w:pPr>
            <w:r>
              <w:rPr>
                <w:noProof/>
                <w:color w:val="006100"/>
                <w:sz w:val="18"/>
                <w:szCs w:val="18"/>
              </w:rPr>
              <w:t>kotihoidon kautta hoidettujen potilaiden kansallinen rekisteri (alahanke 3)</w:t>
            </w:r>
          </w:p>
          <w:p w:rsidR="00B0093E" w:rsidRDefault="00762CA6">
            <w:pPr>
              <w:spacing w:after="0" w:line="240" w:lineRule="auto"/>
              <w:rPr>
                <w:rFonts w:eastAsia="Times New Roman" w:cs="Calibri"/>
                <w:noProof/>
                <w:color w:val="006100"/>
                <w:sz w:val="18"/>
                <w:szCs w:val="18"/>
              </w:rPr>
            </w:pPr>
            <w:r>
              <w:rPr>
                <w:noProof/>
                <w:color w:val="006100"/>
                <w:sz w:val="18"/>
                <w:szCs w:val="18"/>
              </w:rPr>
              <w:t>arviointiperusteet ja keskeiset tulosindikaattorit (osahanke 4)</w:t>
            </w:r>
          </w:p>
        </w:tc>
      </w:tr>
      <w:tr w:rsidR="00B0093E">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170</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sietokyvyn, saatavuuden ja kantokyvyn parantaminen – 16795_NHS-sairaalan </w:t>
            </w:r>
            <w:r>
              <w:rPr>
                <w:noProof/>
                <w:color w:val="006100"/>
                <w:sz w:val="18"/>
                <w:szCs w:val="18"/>
              </w:rPr>
              <w:t>kunnostaminen ja infrastruktuurin parantaminen</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NHS:n infrastruktuuriparannuksen valmistuminen</w:t>
            </w:r>
          </w:p>
        </w:tc>
        <w:tc>
          <w:tcPr>
            <w:tcW w:w="155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Raportti, jossa todistetaan NHS:n sairaalan peruskorjaus- ja infrastruktuurin parannustöiden päätökseen saattaminen.</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5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Rakentamisen ja infrastruktuurin parantamisen loppuun saattaminen, mukaan lukien sähkömekaaninen ja sähkötekninen infrastruktuuri, majoitustilat ja infrastruktuuri, jossa on palveluja, lääkinnällisiä laitteita, sekä palvelutasosopimuksia ja tilojen hallint</w:t>
            </w:r>
            <w:r>
              <w:rPr>
                <w:noProof/>
                <w:color w:val="006100"/>
                <w:sz w:val="18"/>
                <w:szCs w:val="18"/>
              </w:rPr>
              <w:t xml:space="preserve">aa koskevien sopimusten tekeminen kaikkien niiden 80 sairaalan osalta, joita asia koskee kaikilla seitsemällä alueella. </w:t>
            </w:r>
          </w:p>
        </w:tc>
      </w:tr>
      <w:tr w:rsidR="00B0093E">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171</w:t>
            </w:r>
          </w:p>
        </w:tc>
        <w:tc>
          <w:tcPr>
            <w:tcW w:w="17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10 - 3.3. Terveydenhuollon sietokyvyn, saatavuuden ja kantokyvyn parantaminen – 16757_Sädehoitokeskuksen perustaminen rintaontelon</w:t>
            </w:r>
            <w:r>
              <w:rPr>
                <w:noProof/>
                <w:color w:val="006100"/>
                <w:sz w:val="18"/>
                <w:szCs w:val="18"/>
              </w:rPr>
              <w:t xml:space="preserve"> sairauksiin erikoistuneeseen Sotiria-sairaalaan</w:t>
            </w:r>
          </w:p>
          <w:p w:rsidR="00B0093E" w:rsidRDefault="00762CA6">
            <w:pPr>
              <w:spacing w:after="0" w:line="240" w:lineRule="auto"/>
              <w:rPr>
                <w:rFonts w:eastAsia="Times New Roman" w:cs="Calibri"/>
                <w:noProof/>
                <w:color w:val="006100"/>
                <w:sz w:val="18"/>
                <w:szCs w:val="18"/>
              </w:rPr>
            </w:pPr>
            <w:r>
              <w:rPr>
                <w:noProof/>
                <w:color w:val="006100"/>
                <w:sz w:val="18"/>
                <w:szCs w:val="18"/>
              </w:rPr>
              <w:t>Ateenan tautisairaala</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Sotiria-radioterapiakeskuksen</w:t>
            </w:r>
          </w:p>
          <w:p w:rsidR="00B0093E" w:rsidRDefault="00762CA6">
            <w:pPr>
              <w:spacing w:after="0" w:line="240" w:lineRule="auto"/>
              <w:rPr>
                <w:rFonts w:eastAsia="Times New Roman" w:cs="Calibri"/>
                <w:noProof/>
                <w:color w:val="006100"/>
                <w:sz w:val="18"/>
                <w:szCs w:val="18"/>
              </w:rPr>
            </w:pPr>
            <w:r>
              <w:rPr>
                <w:noProof/>
                <w:color w:val="006100"/>
                <w:sz w:val="18"/>
                <w:szCs w:val="18"/>
              </w:rPr>
              <w:t>valmistuminen</w:t>
            </w:r>
          </w:p>
        </w:tc>
        <w:tc>
          <w:tcPr>
            <w:tcW w:w="155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Raportti, jossa todistetaan rintaontelon sairauksiin erikoistuneeseen Sotiria-sairaalaan perustettavan sädehoitokeskuksen </w:t>
            </w:r>
            <w:r>
              <w:rPr>
                <w:noProof/>
                <w:color w:val="006100"/>
                <w:sz w:val="18"/>
                <w:szCs w:val="18"/>
              </w:rPr>
              <w:t>infrastruktuuritöiden valmistuminen</w:t>
            </w:r>
          </w:p>
          <w:p w:rsidR="00B0093E" w:rsidRDefault="00762CA6">
            <w:pPr>
              <w:spacing w:after="0" w:line="240" w:lineRule="auto"/>
              <w:rPr>
                <w:rFonts w:eastAsia="Times New Roman" w:cs="Calibri"/>
                <w:noProof/>
                <w:color w:val="006100"/>
                <w:sz w:val="18"/>
                <w:szCs w:val="18"/>
              </w:rPr>
            </w:pPr>
            <w:r>
              <w:rPr>
                <w:noProof/>
                <w:color w:val="006100"/>
                <w:sz w:val="18"/>
                <w:szCs w:val="18"/>
              </w:rPr>
              <w:t>Ateenan tautisairaala.</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5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Sotiria-sairaalan uuden sädehoitolaitoksen ja uuden rakennusinfrastruktuurin loppuun saattaminen; infrastruktuurin parantaminen, silta hätäosaston liittämiseksi leikkausosastoon ja mui</w:t>
            </w:r>
            <w:r>
              <w:rPr>
                <w:noProof/>
                <w:color w:val="006100"/>
                <w:sz w:val="18"/>
                <w:szCs w:val="18"/>
              </w:rPr>
              <w:t xml:space="preserve">hin rakennuksiin; laboratorio-osastojen ja -klinikoiden kunnostaminen. </w:t>
            </w:r>
          </w:p>
        </w:tc>
      </w:tr>
      <w:tr w:rsidR="00B0093E">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172</w:t>
            </w:r>
          </w:p>
        </w:tc>
        <w:tc>
          <w:tcPr>
            <w:tcW w:w="17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10 - 3.3. Terveydenhuollon sietokyvyn, saavutettavuuden ja kantokyvyn parantaminen – 16793_Hanke solu- ja geeniterapiaa sekä hematologian kliinisiä laboratorioita varten </w:t>
            </w:r>
            <w:r>
              <w:rPr>
                <w:noProof/>
                <w:color w:val="006100"/>
                <w:sz w:val="18"/>
                <w:szCs w:val="18"/>
              </w:rPr>
              <w:t>tarkoitetun rakennuksen rakentamiseksi Thessalonikin Papanikolaou-sairaalan yhteyteen</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Papanikolaou-sairaalan valmistuminen</w:t>
            </w:r>
          </w:p>
        </w:tc>
        <w:tc>
          <w:tcPr>
            <w:tcW w:w="155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Raportti, jossa todistetaan solu- ja geeniterapiaa ja hematologian klinikkalaboratorioita varten tarkoitetun rakennuksen </w:t>
            </w:r>
            <w:r>
              <w:rPr>
                <w:noProof/>
                <w:color w:val="006100"/>
                <w:sz w:val="18"/>
                <w:szCs w:val="18"/>
              </w:rPr>
              <w:t xml:space="preserve">perusrakenteiden valmistuminen Thessalonikin Papanikolaou-sairaalassa. </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5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Kaikkien erikoistuneiden laboratorioiden ja erikoissairaanhoitoyksikköjen uuden kolmikerroksisen rakennuksen loppuun saattaminen; nykyisen rakennuksen pohjakerroksen </w:t>
            </w:r>
            <w:r>
              <w:rPr>
                <w:noProof/>
                <w:color w:val="006100"/>
                <w:sz w:val="18"/>
                <w:szCs w:val="18"/>
              </w:rPr>
              <w:t>uudelleenjärjestely siten, että Papanikolaou-sairaalassa on riittävästi tilaa avoklinikoille ja päiväsairaalahoidolle, ja sen on saavutettava primäärienergiantarve, joka on vähintään 20 prosenttia pienempi kuin lähes nollaenergiarakennuksia koskeva vaatimu</w:t>
            </w:r>
            <w:r>
              <w:rPr>
                <w:noProof/>
                <w:color w:val="006100"/>
                <w:sz w:val="18"/>
                <w:szCs w:val="18"/>
              </w:rPr>
              <w:t>s (lähes nollaenergiarakennus, kansalliset direktiivit).</w:t>
            </w:r>
          </w:p>
        </w:tc>
      </w:tr>
      <w:tr w:rsidR="00B0093E">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173</w:t>
            </w:r>
          </w:p>
        </w:tc>
        <w:tc>
          <w:tcPr>
            <w:tcW w:w="17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10 - 3.3. Terveydenhuollon sietokyvyn, saatavuuden ja kantokyvyn parantaminen – 16752_Terveysalan digitalisaatio (DigHealth)</w:t>
            </w:r>
          </w:p>
          <w:p w:rsidR="00B0093E" w:rsidRDefault="00B0093E">
            <w:pPr>
              <w:spacing w:before="120" w:after="120" w:line="240" w:lineRule="auto"/>
              <w:jc w:val="center"/>
              <w:rPr>
                <w:rFonts w:eastAsia="Times New Roman" w:cs="Calibri"/>
                <w:noProof/>
                <w:sz w:val="18"/>
                <w:szCs w:val="18"/>
                <w:lang w:eastAsia="en-GB"/>
              </w:rPr>
            </w:pP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4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Digitalisaatio – kaikki alahankkeet on saatu päätökseen</w:t>
            </w:r>
          </w:p>
        </w:tc>
        <w:tc>
          <w:tcPr>
            <w:tcW w:w="155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Raportti, jossa todistetaan terveydenhuoltojärjestelmän digitalisaatiota tukevien viiden alahankkeen loppuun saattaminen ja täysimääräinen toimintavalmius kunkin alahankkeen kaikki osatekijät huomioon ottaen. </w:t>
            </w:r>
          </w:p>
          <w:p w:rsidR="00B0093E" w:rsidRDefault="00B0093E">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5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Kaikkien terveydenhuoltojärjestelm</w:t>
            </w:r>
            <w:r>
              <w:rPr>
                <w:noProof/>
                <w:color w:val="006100"/>
                <w:sz w:val="18"/>
                <w:szCs w:val="18"/>
              </w:rPr>
              <w:t>än digitalisaatiota tukevien viiden (5) alahankkeen toteuttamiseksi suunniteltujen toimenpiteiden loppuun saattaminen:</w:t>
            </w:r>
          </w:p>
          <w:p w:rsidR="00B0093E" w:rsidRDefault="00762CA6">
            <w:pPr>
              <w:spacing w:after="0" w:line="240" w:lineRule="auto"/>
              <w:rPr>
                <w:rFonts w:eastAsia="Times New Roman" w:cs="Calibri"/>
                <w:noProof/>
                <w:color w:val="006100"/>
                <w:sz w:val="18"/>
                <w:szCs w:val="18"/>
              </w:rPr>
            </w:pPr>
            <w:r>
              <w:rPr>
                <w:noProof/>
                <w:color w:val="006100"/>
                <w:sz w:val="18"/>
                <w:szCs w:val="18"/>
              </w:rPr>
              <w:t>a) kansallinen potilastietolomake (alahanke 1)</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b) syöpähoidon digitalisaatio-ohjelma, mukaan lukien potilasrekisterit (alahanke 2)  </w:t>
            </w:r>
          </w:p>
          <w:p w:rsidR="00B0093E" w:rsidRDefault="00B0093E">
            <w:pPr>
              <w:spacing w:after="0" w:line="240" w:lineRule="auto"/>
              <w:rPr>
                <w:rFonts w:eastAsia="Times New Roman" w:cs="Calibri"/>
                <w:noProof/>
                <w:color w:val="006100"/>
                <w:sz w:val="18"/>
                <w:szCs w:val="18"/>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c) </w:t>
            </w:r>
            <w:r>
              <w:rPr>
                <w:noProof/>
                <w:color w:val="006100"/>
                <w:sz w:val="18"/>
                <w:szCs w:val="18"/>
              </w:rPr>
              <w:t>telelääketiede, mukaan lukien etälääketieteen asemat, uusi infrastruktuuri, työkalut (alahanke 3)</w:t>
            </w:r>
          </w:p>
          <w:p w:rsidR="00B0093E" w:rsidRDefault="00762CA6">
            <w:pPr>
              <w:spacing w:after="0" w:line="240" w:lineRule="auto"/>
              <w:rPr>
                <w:rFonts w:eastAsia="Times New Roman" w:cs="Calibri"/>
                <w:noProof/>
                <w:color w:val="006100"/>
                <w:sz w:val="18"/>
                <w:szCs w:val="18"/>
              </w:rPr>
            </w:pPr>
            <w:r>
              <w:rPr>
                <w:noProof/>
                <w:color w:val="006100"/>
                <w:sz w:val="18"/>
                <w:szCs w:val="18"/>
              </w:rPr>
              <w:t>d) sairaalan digitaalinen valmius, mukaan lukien: sähköiset potilaskertomusjärjestelmät, lääkinnällisten laitteiden inventointi, DRG:n täytäntöönpano, 4 e-mää</w:t>
            </w:r>
            <w:r>
              <w:rPr>
                <w:noProof/>
                <w:color w:val="006100"/>
                <w:sz w:val="18"/>
                <w:szCs w:val="18"/>
              </w:rPr>
              <w:t>räykset potilaille/hoitoprotokollien soveltaminen sairaalaympäristössä, sähköinen nimitysjärjestelmä, kansallisen hätäapukeskuksen (EKAV) ja lääkeviraston (EOF) digitaalinen päivitys (alahanke 4)</w:t>
            </w:r>
          </w:p>
          <w:p w:rsidR="00B0093E" w:rsidRDefault="00762CA6">
            <w:pPr>
              <w:spacing w:after="0" w:line="240" w:lineRule="auto"/>
              <w:rPr>
                <w:rFonts w:eastAsia="Times New Roman" w:cs="Calibri"/>
                <w:noProof/>
                <w:color w:val="006100"/>
                <w:sz w:val="18"/>
                <w:szCs w:val="18"/>
              </w:rPr>
            </w:pPr>
            <w:r>
              <w:rPr>
                <w:noProof/>
                <w:color w:val="006100"/>
                <w:sz w:val="18"/>
                <w:szCs w:val="18"/>
              </w:rPr>
              <w:t>e) EOPYYn (kansallinen terveydenhuoltopalvelujen tarjoaja) y</w:t>
            </w:r>
            <w:r>
              <w:rPr>
                <w:noProof/>
                <w:color w:val="006100"/>
                <w:sz w:val="18"/>
                <w:szCs w:val="18"/>
              </w:rPr>
              <w:t xml:space="preserve">hdennetyn tietojärjestelmän kaikkien osien viimeistely, kaikki menojen hallintaan ja seurantaan liittyvät osatekijät, kaikki terveydenhuollon tarjoajille ja kansalaisille tarjottavien digitaalisten palvelujen osatekijät, kaikki tiedonhallinnan osa-alueet, </w:t>
            </w:r>
            <w:r>
              <w:rPr>
                <w:noProof/>
                <w:color w:val="006100"/>
                <w:sz w:val="18"/>
                <w:szCs w:val="18"/>
              </w:rPr>
              <w:t>analyysit sekä 250 yritysresurssisuunnittelulisenssin ostaminen taloushallintojärjestelmää ja -selvitystä varten (alahanke 5).</w:t>
            </w:r>
          </w:p>
        </w:tc>
      </w:tr>
    </w:tbl>
    <w:p w:rsidR="00B0093E" w:rsidRDefault="00B0093E">
      <w:pPr>
        <w:spacing w:before="120" w:after="120" w:line="240" w:lineRule="auto"/>
        <w:ind w:left="709"/>
        <w:jc w:val="both"/>
        <w:rPr>
          <w:rFonts w:ascii="Times New Roman" w:hAnsi="Times New Roman" w:cs="Times New Roman"/>
          <w:noProof/>
          <w:sz w:val="24"/>
        </w:r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K. KOMPONENTTI 3.4: PARANNETAAN MAHDOLLISUUKSIA TEHOKKAASEEN JA OSALLISTAVAAN SOSIAALIPOLITIIKKAAN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Tällä Kreikan elvytys- ja </w:t>
      </w:r>
      <w:r>
        <w:rPr>
          <w:rFonts w:ascii="Times New Roman" w:hAnsi="Times New Roman"/>
          <w:noProof/>
          <w:sz w:val="24"/>
        </w:rPr>
        <w:t>kriisinratkaisusuunnitelman komponentilla pyritään edistämään sosiaalista osallisuutta keskittyen erityisesti haavoittuvassa asemassa oleviin ryhmiin ja samalla tukemaan naisten osallistumista työmarkkinoille. Suuri osa komponentista on tarkoitettu varhais</w:t>
      </w:r>
      <w:r>
        <w:rPr>
          <w:rFonts w:ascii="Times New Roman" w:hAnsi="Times New Roman"/>
          <w:noProof/>
          <w:sz w:val="24"/>
        </w:rPr>
        <w:t>kasvatukseen, erityisesti avustuksina 1 000 uuden lastenhoitoyksikön perustamiseen kunnissa ja 120 yksikköön suurissa yrityksissä. Suunnitelma mahdollistaa myös työmarkkinoiden aktivointitoimenpiteet heikossa asemassa oleville ryhmille, kuten taatun vähimm</w:t>
      </w:r>
      <w:r>
        <w:rPr>
          <w:rFonts w:ascii="Times New Roman" w:hAnsi="Times New Roman"/>
          <w:noProof/>
          <w:sz w:val="24"/>
        </w:rPr>
        <w:t>äistulon saajille, pakolaisille, kodittomille, romaneille ja autismikirjon häiriöistä kärsiville henkilöille. Suunnitelman keskeisiä osia ovat myös laajamittainen koulutusohjelma yksityisille ja julkisille työntekijöille monimuotoisuuden tiedostamiseksi se</w:t>
      </w:r>
      <w:r>
        <w:rPr>
          <w:rFonts w:ascii="Times New Roman" w:hAnsi="Times New Roman"/>
          <w:noProof/>
          <w:sz w:val="24"/>
        </w:rPr>
        <w:t>kä useat pienet kokeiluhankkeet, kuten lasten laitoshoidosta luopuminen, vammaisten tukeminen ja sosiaalinen asuntotarjonta.</w:t>
      </w:r>
      <w:r>
        <w:rPr>
          <w:rFonts w:ascii="Times New Roman" w:hAnsi="Times New Roman"/>
          <w:noProof/>
          <w:color w:val="000000"/>
          <w:sz w:val="24"/>
          <w:shd w:val="clear" w:color="auto" w:fill="FFFFFF"/>
        </w:rPr>
        <w:t xml:space="preserve"> Komponentti on työmarkkinoista ja sosiaalipolitiikasta annettujen maakohtaisten suositusten (maakohtaiset suositukset 2 2020 ja 2 2</w:t>
      </w:r>
      <w:r>
        <w:rPr>
          <w:rFonts w:ascii="Times New Roman" w:hAnsi="Times New Roman"/>
          <w:noProof/>
          <w:color w:val="000000"/>
          <w:sz w:val="24"/>
          <w:shd w:val="clear" w:color="auto" w:fill="FFFFFF"/>
        </w:rPr>
        <w:t xml:space="preserve">019) ja investointien (maakohtaiset suositukset 3 2020 ja 2 2019) mukainen. </w:t>
      </w:r>
      <w:r>
        <w:rPr>
          <w:rFonts w:ascii="Times New Roman" w:hAnsi="Times New Roman"/>
          <w:noProof/>
          <w:sz w:val="24"/>
        </w:rPr>
        <w:t>Minkään tähän osa-alueeseen kuuluvan toimenpiteen ei odoteta aiheuttavan merkittävää haittaa asetuksen (EU) 2020/852 17 artiklassa tarkoitetuille ympäristötavoitteille, kun otetaan</w:t>
      </w:r>
      <w:r>
        <w:rPr>
          <w:rFonts w:ascii="Times New Roman" w:hAnsi="Times New Roman"/>
          <w:noProof/>
          <w:sz w:val="24"/>
        </w:rPr>
        <w:t xml:space="preserve"> huomioon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K.1 </w:t>
      </w:r>
      <w:r>
        <w:rPr>
          <w:rFonts w:ascii="Times New Roman" w:hAnsi="Times New Roman"/>
          <w:b/>
          <w:noProof/>
          <w:sz w:val="24"/>
          <w:u w:val="single"/>
        </w:rPr>
        <w:tab/>
      </w:r>
      <w:r>
        <w:rPr>
          <w:rFonts w:ascii="Times New Roman" w:hAnsi="Times New Roman"/>
          <w:b/>
          <w:bCs/>
          <w:noProof/>
          <w:sz w:val="24"/>
          <w:u w:val="single"/>
        </w:rPr>
        <w:t>Kuvaus taloudellista tukea koskevista uudistuksista ja investoinn</w:t>
      </w:r>
      <w:r>
        <w:rPr>
          <w:rFonts w:ascii="Times New Roman" w:hAnsi="Times New Roman"/>
          <w:b/>
          <w:bCs/>
          <w:noProof/>
          <w:sz w:val="24"/>
          <w:u w:val="single"/>
        </w:rPr>
        <w:t>eista, joita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Uudistus: </w:t>
      </w:r>
      <w:r>
        <w:rPr>
          <w:rFonts w:ascii="Times New Roman" w:hAnsi="Times New Roman"/>
          <w:noProof/>
          <w:sz w:val="24"/>
        </w:rPr>
        <w:t>Lastensuojelu (toimenpiteen tunniste: 16919)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Toimenpiteellä uudistetaan kolmen kuukauden ja enintään neljän vuoden ikäisten lasten varhaiskasvatusohjelmia heidän kognitiivisen kehityksensä edistämiseksi. Uudistuks</w:t>
      </w:r>
      <w:r>
        <w:rPr>
          <w:rFonts w:ascii="Times New Roman" w:hAnsi="Times New Roman"/>
          <w:noProof/>
          <w:sz w:val="24"/>
        </w:rPr>
        <w:t>en yhteydessä investoidaan kasvatusmateriaaliin ja kognitiivisen kehityksen arviointivälineisiin 3 000:lle lastenhoitokeskukselle. Toimenpiteeseen sisältyy myös investointeja, jotka mahdollistavat a) vaikeavammaisten (yli 67 prosenttia) ja/tai vakavista mi</w:t>
      </w:r>
      <w:r>
        <w:rPr>
          <w:rFonts w:ascii="Times New Roman" w:hAnsi="Times New Roman"/>
          <w:noProof/>
          <w:sz w:val="24"/>
        </w:rPr>
        <w:t>elenterveyshäiriöistä kärsivien alaikäisten sijoittamisen ammattimaisten sijaishoitajien hoitoon; b) nuorten siirtämisen lastensuojeluyksiköiltä tuettuihin riippumattomiin asumisasuntoihin laitoshoidosta luopumiseksi, taitojen kehittämiseksi ja työllistyvy</w:t>
      </w:r>
      <w:r>
        <w:rPr>
          <w:rFonts w:ascii="Times New Roman" w:hAnsi="Times New Roman"/>
          <w:noProof/>
          <w:sz w:val="24"/>
        </w:rPr>
        <w:t xml:space="preserve">yden parantamiseksi; c) lasten päiväkotien perustamisen tai laajentamisen 2–2,5-vuotiaille lapsille (lastenhoitokeskukset); ja d) luovien STEM-keskusten (luonnontieteet, teknologia, insinööritieteet ja matematiikka) perustamisen 12–15-vuotiaille lapsille. </w:t>
      </w:r>
      <w:r>
        <w:rPr>
          <w:rFonts w:ascii="Times New Roman" w:hAnsi="Times New Roman"/>
          <w:noProof/>
          <w:sz w:val="24"/>
        </w:rPr>
        <w:t>Uudistus ja investoinnit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Vammaisuus (toimenpiteen tunniste: 16904)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koostuu kahdesta alahankkeesta, joilla pyritään parantamaan sosiaalista osallisuutta, itsenäistä elämää, työlli</w:t>
      </w:r>
      <w:r>
        <w:rPr>
          <w:rFonts w:ascii="Times New Roman" w:hAnsi="Times New Roman"/>
          <w:noProof/>
          <w:sz w:val="24"/>
        </w:rPr>
        <w:t xml:space="preserve">stettävyyttä ja varhaislapsuudessa toteutettavia toimia vammaisten henkilöiden osalta. Nämä osahankkeet liittyvät erityisesti a) vammaisten henkilöiden itsenäisen elämän parantamiseen, liikkumis- ja aistivammaisten henkilöiden esteettömyyden parantamiseen </w:t>
      </w:r>
      <w:r>
        <w:rPr>
          <w:rFonts w:ascii="Times New Roman" w:hAnsi="Times New Roman"/>
          <w:noProof/>
          <w:sz w:val="24"/>
        </w:rPr>
        <w:t>ja tuki-infrastruktuuriin, vammaisten itsenäiseen asumiseen annettavaan apuun, mukaan lukien tukikelpoisuuden arviointiprosessi, joka perustuu monialaisen arviointikomitean tekemään vammaisuuden lääketieteelliseen ja toiminnalliseen arviointiin: alustava k</w:t>
      </w:r>
      <w:r>
        <w:rPr>
          <w:rFonts w:ascii="Times New Roman" w:hAnsi="Times New Roman"/>
          <w:noProof/>
          <w:sz w:val="24"/>
        </w:rPr>
        <w:t>okeiluohjelma ja sen jälkeinen kansallinen käyttöönotto; tuetaan autismihäiriöistä kärsivien henkilöiden sosiaalista osallisuutta ja varhaislapsuudessa toteutettavia toimia (kokeiluohjelma). Uudistus on määrä toteuttaa viimeistään 31 päivänä joulukuuta 202</w:t>
      </w:r>
      <w:r>
        <w:rPr>
          <w:rFonts w:ascii="Times New Roman" w:hAnsi="Times New Roman"/>
          <w:noProof/>
          <w:sz w:val="24"/>
        </w:rPr>
        <w:t>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Yhteiskuntaan integroituminen (toimenpiteen tunniste: 16922)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kolmesta alahankkeesta:</w:t>
      </w:r>
    </w:p>
    <w:p w:rsidR="00B0093E" w:rsidRDefault="00762CA6">
      <w:pPr>
        <w:numPr>
          <w:ilvl w:val="0"/>
          <w:numId w:val="7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Kaikkein heikoimmassa asemassa olevien ryhmien uudelleenintegroimisessa yhteiskuntaan keskitytään kaikkein heikoimmassa asemassa olevi</w:t>
      </w:r>
      <w:r>
        <w:rPr>
          <w:rFonts w:ascii="Times New Roman" w:hAnsi="Times New Roman"/>
          <w:noProof/>
          <w:sz w:val="24"/>
        </w:rPr>
        <w:t>en ryhmien (yleisen vähimmäistoimeentulon edunsaajat, romanit ja asunnottomat) tukemiseen ja pyritään integroimaan heidät (uudelleen) työmarkkinoille.</w:t>
      </w:r>
    </w:p>
    <w:p w:rsidR="00B0093E" w:rsidRDefault="00762CA6">
      <w:pPr>
        <w:numPr>
          <w:ilvl w:val="0"/>
          <w:numId w:val="7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Ikääntyneiden ja vammaisten digitaaliseen koulutukseen kuuluu vanhusten ja vammaisten tutustumis-, perehd</w:t>
      </w:r>
      <w:r>
        <w:rPr>
          <w:rFonts w:ascii="Times New Roman" w:hAnsi="Times New Roman"/>
          <w:noProof/>
          <w:sz w:val="24"/>
        </w:rPr>
        <w:t>yttämis- ja valistusohjelmia, jotka liittyvät uuteen teknologiaan, pääasiassa digitaalisen tiedon, viestinnän sekä verkkopohjaisen ja sosiaalisen median taitoihin (kuten sähköisten maksujen suorittaminen, hakemusten toimittaminen digitaalisten alustojen ka</w:t>
      </w:r>
      <w:r>
        <w:rPr>
          <w:rFonts w:ascii="Times New Roman" w:hAnsi="Times New Roman"/>
          <w:noProof/>
          <w:sz w:val="24"/>
        </w:rPr>
        <w:t xml:space="preserve">utta, sosiaalisen median käyttö). </w:t>
      </w:r>
    </w:p>
    <w:p w:rsidR="00B0093E" w:rsidRDefault="00762CA6">
      <w:pPr>
        <w:numPr>
          <w:ilvl w:val="0"/>
          <w:numId w:val="7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Sosiaalisen asuntotuotannon asunnoissa keskitytään asuntotuen tarjoamiseen heikoimmassa asemassa oleville ryhmille, joita kodittomuus uhkaa tai jotka ovat kodittomia.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määrä toteuttaa viimeistään 31 päivänä jou</w:t>
      </w:r>
      <w:r>
        <w:rPr>
          <w:rFonts w:ascii="Times New Roman" w:hAnsi="Times New Roman"/>
          <w:noProof/>
          <w:sz w:val="24"/>
        </w:rPr>
        <w:t>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Sosiaalisen tukijärjestelmän digitalisaatio (toimenpiteen tunniste: 16925)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Investoinnilla kehitetään digitaalisia välineitä, joiden avulla voidaan 1) kansalaisten sosiaalipalvelujen ja -etuuksien saatavuuden yksinkertaistaminen </w:t>
      </w:r>
      <w:r>
        <w:rPr>
          <w:rFonts w:ascii="Times New Roman" w:hAnsi="Times New Roman"/>
          <w:noProof/>
          <w:sz w:val="24"/>
        </w:rPr>
        <w:t>kiinnittäen erityistä huomiota vammaisiin, 2) tarpeiden parempi määrittely resurssien tuhlauksen välttämiseksi ja sosiaalihuollon määrärahojen kohdentaminen mahdollisimman oikeudenmukaisesti, 3) julkisten ja yksityisten sosiaalipalvelujen tarjoajien tehokk</w:t>
      </w:r>
      <w:r>
        <w:rPr>
          <w:rFonts w:ascii="Times New Roman" w:hAnsi="Times New Roman"/>
          <w:noProof/>
          <w:sz w:val="24"/>
        </w:rPr>
        <w:t>aampi seuranta ja 4) julkisten sosiaalipalvelujen tarjoajien täydennys- tai uudelleenkoulutus.</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seuraavista osahankkeista: sosiaalisen suojelun digitaalisen saatavuuden yhteisen portaalin perustaminen, jossa sosiaaliavustusten nykyiset s</w:t>
      </w:r>
      <w:r>
        <w:rPr>
          <w:rFonts w:ascii="Times New Roman" w:hAnsi="Times New Roman"/>
          <w:noProof/>
          <w:sz w:val="24"/>
        </w:rPr>
        <w:t>ähköiset sovellusmuodot yhdistetään yhdeksi digitaaliseksi portaaliksi; keskitetyn vammaisetuuksien kansallisen portaalin perustaminen, jotta edunsaajat voivat saada henkilötietoja ja etuuksia verkossa ja antaa todistuksia; c) vammaiskortin käyttöönotto; s</w:t>
      </w:r>
      <w:r>
        <w:rPr>
          <w:rFonts w:ascii="Times New Roman" w:hAnsi="Times New Roman"/>
          <w:noProof/>
          <w:sz w:val="24"/>
        </w:rPr>
        <w:t>osiaalietuuksien maksuviranomaisen (OPEKA) digitalisaatio; sosiaalipalvelujen työntekijöiden digitaalisen koulutuksen tarjoaminen; laaditaan täydellinen luettelo sosiaaliturvapalveluihin liittyvästä julkisesta kiinteistöomaisuudesta. Investointi on määrä t</w:t>
      </w:r>
      <w:r>
        <w:rPr>
          <w:rFonts w:ascii="Times New Roman" w:hAnsi="Times New Roman"/>
          <w:noProof/>
          <w:sz w:val="24"/>
        </w:rPr>
        <w:t>oteuttaa viimeistään 31 päivänä joulukuuta 2026.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Sosiaalisten hyötyjen optimointi (toimenpiteen tunniste: 16726)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Uudistus koostuu seuraavista komponenteista: </w:t>
      </w:r>
    </w:p>
    <w:p w:rsidR="00B0093E" w:rsidRDefault="00762CA6">
      <w:pPr>
        <w:numPr>
          <w:ilvl w:val="0"/>
          <w:numId w:val="7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Sosiaaliavustusten maksuviranomaisen (OPEKA) ja julkisen työvoimapalvelun (OAED) myöntä</w:t>
      </w:r>
      <w:r>
        <w:rPr>
          <w:rFonts w:ascii="Times New Roman" w:hAnsi="Times New Roman"/>
          <w:noProof/>
          <w:sz w:val="24"/>
        </w:rPr>
        <w:t xml:space="preserve">mien sosiaalietuuksien maksamiseen tarkoitettujen ennalta maksettujen korttien käyttöönotto. </w:t>
      </w:r>
    </w:p>
    <w:p w:rsidR="00B0093E" w:rsidRDefault="00762CA6">
      <w:pPr>
        <w:numPr>
          <w:ilvl w:val="0"/>
          <w:numId w:val="7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Kannustimien tarjoaminen edunsaajille, jotta ne käyttäisivät ennalta maksettuja kortteja tiettyjen tavaroiden ja palvelujen ostamiseen </w:t>
      </w:r>
    </w:p>
    <w:p w:rsidR="00B0093E" w:rsidRDefault="00762CA6">
      <w:pPr>
        <w:numPr>
          <w:ilvl w:val="0"/>
          <w:numId w:val="7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Sosiaaliturvaetuuksien myöntämistä varten muille kuin maan pysyville asukkaille tehtävät erityistarkastukset, jotka perustuvat sosiaaliturvajärjestelmän digitalisaatioon ja sosiaalisen suojelun yhteisen digitaalisen saatavuuden portaalin luomiseen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w:t>
      </w:r>
      <w:r>
        <w:rPr>
          <w:rFonts w:ascii="Times New Roman" w:hAnsi="Times New Roman"/>
          <w:noProof/>
          <w:sz w:val="24"/>
        </w:rPr>
        <w:t>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Monimuotoisuustietoisuus (toimenpiteen tunniste: 16685)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 koostuu kahdesta toisiinsa liittyvästä alahankkeesta, joilla pyritään lisäämään tietoisuutta monimuotoisuudesta: </w:t>
      </w:r>
      <w:r>
        <w:rPr>
          <w:rFonts w:ascii="Times New Roman" w:hAnsi="Times New Roman"/>
          <w:noProof/>
          <w:sz w:val="24"/>
        </w:rPr>
        <w:t>monimuotoisuutta koskevien koulutusohjelmien kehittäminen ja toteuttaminen sekä yksityisen että julkisen sektorin työntekijöille, jotta voidaan torjua syrjintää, joka kohdistuu moninaisuuden kaikkiin ulottuvuuksiin työpaikalla; ja b) konkreettisen mekanism</w:t>
      </w:r>
      <w:r>
        <w:rPr>
          <w:rFonts w:ascii="Times New Roman" w:hAnsi="Times New Roman"/>
          <w:noProof/>
          <w:sz w:val="24"/>
        </w:rPr>
        <w:t>in kehittäminen tasa-arvoon ja syrjintään liittyvien asianmukaisten tilastotietojen keräämiseksi. Tasa-arvoasioiden seurantakeskuksen, joka on työ- ja sosiaaliministeriön toiminnallinen yksikkö, roolia on vahvistettava, jotta voidaan laatia kattavia raport</w:t>
      </w:r>
      <w:r>
        <w:rPr>
          <w:rFonts w:ascii="Times New Roman" w:hAnsi="Times New Roman"/>
          <w:noProof/>
          <w:sz w:val="24"/>
        </w:rPr>
        <w:t>teja, joissa arvioidaan yhtäläisten mahdollisuuksien tilannetta. Lisäksi kehitetään yritysten/organisaatioiden sertifiointi- ja palkitsemisjärjestelmä, jolla edistetään hyviä monimuotoisuus- ja osallistamiskäytäntöjä. Uudistus ja investointi on määrä toteu</w:t>
      </w:r>
      <w:r>
        <w:rPr>
          <w:rFonts w:ascii="Times New Roman" w:hAnsi="Times New Roman"/>
          <w:noProof/>
          <w:sz w:val="24"/>
        </w:rPr>
        <w:t>ttaa viimeistään 31 päivänä maaliskuuta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Lastenhoitoyksiköiden perustaminen suuriin yrityksiin (toimenpiteen tunniste: 16945)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rahoitetaan lastenhoitoyksiköiden perustamista ja varustamista 120 yrityksen tiloissa (50 lasten</w:t>
      </w:r>
      <w:r>
        <w:rPr>
          <w:rFonts w:ascii="Times New Roman" w:hAnsi="Times New Roman"/>
          <w:noProof/>
          <w:sz w:val="24"/>
        </w:rPr>
        <w:t>hoitoyksikköä yrityksissä, joissa on yli 100 työntekijää, ja 70 yksikköä yrityksissä, joissa on yli 250 työntekijää). Sen tavoitteena on parantaa työ- ja yksityiselämän tasapainoa ja edistää toimenpiteitä, joilla tuetaan aktiivisesti nuorten vanhempien työ</w:t>
      </w:r>
      <w:r>
        <w:rPr>
          <w:rFonts w:ascii="Times New Roman" w:hAnsi="Times New Roman"/>
          <w:noProof/>
          <w:sz w:val="24"/>
        </w:rPr>
        <w:t>llistymistä.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Edistetään pakolaisväestön integroitumista työmarkkinoille (toimenpiteen tunniste: 16688)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tavoitteena on edistää pakolaisväestön integroitumista </w:t>
      </w:r>
      <w:r>
        <w:rPr>
          <w:rFonts w:ascii="Times New Roman" w:hAnsi="Times New Roman"/>
          <w:noProof/>
          <w:sz w:val="24"/>
        </w:rPr>
        <w:t>työmarkkinoille. Tämä tehdään seuraavasti: kehitetään ja ylläpidetään edelleen pysyvää, tehokasta, joustavaa ja edunsaajien ja yritysten tarpeisiin räätälöityä työllistämismekanismia ja b) toteutetaan täydentäviä ja toisiinsa liittyviä toimia, jotka koskev</w:t>
      </w:r>
      <w:r>
        <w:rPr>
          <w:rFonts w:ascii="Times New Roman" w:hAnsi="Times New Roman"/>
          <w:noProof/>
          <w:sz w:val="24"/>
        </w:rPr>
        <w:t>at sekä pakolaisten asianmukaista valmennusta että jäsenneltyä yhteistyötä yritysten ja muiden sidosryhmien kanssa. Hanke on mukautettava kumppanuussopimusluonnokseen (2021–2027), ja sen on täydennettävä muita EU:n rahoittamia hankkeita. Uudistus ja invest</w:t>
      </w:r>
      <w:r>
        <w:rPr>
          <w:rFonts w:ascii="Times New Roman" w:hAnsi="Times New Roman"/>
          <w:noProof/>
          <w:sz w:val="24"/>
        </w:rPr>
        <w: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Maahanmuutto- ja turvapaikkajärjestelmän digitalisaatio (toimenpiteen tunniste: 16763)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Investoinnin toteuttamisen on parannettava merkittävästi kyseisille tuensaajille tarjottav</w:t>
      </w:r>
      <w:r>
        <w:rPr>
          <w:rFonts w:ascii="Times New Roman" w:hAnsi="Times New Roman"/>
          <w:noProof/>
          <w:sz w:val="24"/>
        </w:rPr>
        <w:t>ien palvelujen laatua. Seuraavia keskeisiä kysymyksiä on käsiteltävä muuttoliike- ja turvapaikkajärjestelmän digitalisoinnin avulla:</w:t>
      </w:r>
    </w:p>
    <w:p w:rsidR="00B0093E" w:rsidRDefault="00762CA6">
      <w:pPr>
        <w:numPr>
          <w:ilvl w:val="0"/>
          <w:numId w:val="7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Pakolaisvirtoihin liittyvien menettelyjen koko elinkaaren yhtenäinen hallinnointi ensimmäisestä vastaanotosta turvapaikkaha</w:t>
      </w:r>
      <w:r>
        <w:rPr>
          <w:rFonts w:ascii="Times New Roman" w:hAnsi="Times New Roman"/>
          <w:noProof/>
          <w:sz w:val="24"/>
        </w:rPr>
        <w:t>kemuksen käsittelyn loppuun saattamiseen asti,</w:t>
      </w:r>
    </w:p>
    <w:p w:rsidR="00B0093E" w:rsidRDefault="00762CA6">
      <w:pPr>
        <w:numPr>
          <w:ilvl w:val="0"/>
          <w:numId w:val="7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Kaikkien asianomaisten viranomaisten toteuttama tietojen kokoaminen reaaliajassa,</w:t>
      </w:r>
    </w:p>
    <w:p w:rsidR="00B0093E" w:rsidRDefault="00762CA6">
      <w:pPr>
        <w:numPr>
          <w:ilvl w:val="0"/>
          <w:numId w:val="7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Maahan saapuvien henkilöiden turvallinen ja pätevä tunnistaminen menettelyillä, joihin kuuluu biometristen tietojen vastaanotta</w:t>
      </w:r>
      <w:r>
        <w:rPr>
          <w:rFonts w:ascii="Times New Roman" w:hAnsi="Times New Roman"/>
          <w:noProof/>
          <w:sz w:val="24"/>
        </w:rPr>
        <w:t>minen ja ”älykäs” henkilökortin myöntäminen, ja</w:t>
      </w:r>
    </w:p>
    <w:p w:rsidR="00B0093E" w:rsidRDefault="00762CA6">
      <w:pPr>
        <w:numPr>
          <w:ilvl w:val="0"/>
          <w:numId w:val="7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Verkko- ja mobiilisovellus, joka mahdollistaa vuorovaikutuksen ja viestinnän pakolaisten kanssa.</w:t>
      </w:r>
    </w:p>
    <w:p w:rsidR="00B0093E" w:rsidRDefault="00762CA6">
      <w:pPr>
        <w:spacing w:before="120" w:after="120" w:line="240" w:lineRule="auto"/>
        <w:jc w:val="both"/>
        <w:rPr>
          <w:rFonts w:ascii="Times New Roman" w:hAnsi="Times New Roman" w:cs="Times New Roman"/>
          <w:i/>
          <w:iCs/>
          <w:noProof/>
          <w:color w:val="4F81BD"/>
          <w:sz w:val="24"/>
        </w:rPr>
      </w:pPr>
      <w:r>
        <w:rPr>
          <w:rFonts w:ascii="Times New Roman" w:hAnsi="Times New Roman"/>
          <w:noProof/>
          <w:sz w:val="24"/>
        </w:rPr>
        <w:t>Uudistus ja investointi on määrä toteuttaa viimeistään 31 päivänä joulukuuta 2024.</w:t>
      </w:r>
    </w:p>
    <w:p w:rsidR="00B0093E" w:rsidRDefault="00B0093E">
      <w:pPr>
        <w:spacing w:before="120" w:after="120" w:line="240" w:lineRule="auto"/>
        <w:jc w:val="both"/>
        <w:rPr>
          <w:rFonts w:ascii="Times New Roman" w:hAnsi="Times New Roman" w:cs="Times New Roman"/>
          <w:noProof/>
          <w:sz w:val="24"/>
        </w:rPr>
        <w:sectPr w:rsidR="00B0093E">
          <w:headerReference w:type="even" r:id="rId167"/>
          <w:headerReference w:type="default" r:id="rId168"/>
          <w:footerReference w:type="even" r:id="rId169"/>
          <w:footerReference w:type="default" r:id="rId170"/>
          <w:headerReference w:type="first" r:id="rId171"/>
          <w:footerReference w:type="first" r:id="rId172"/>
          <w:pgSz w:w="11907" w:h="16839"/>
          <w:pgMar w:top="1134" w:right="1417" w:bottom="1134" w:left="1417" w:header="709" w:footer="709" w:gutter="0"/>
          <w:cols w:space="720"/>
          <w:docGrid w:linePitch="360"/>
        </w:sectPr>
      </w:pPr>
    </w:p>
    <w:p w:rsidR="00B0093E" w:rsidRDefault="00762CA6">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K.2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762CA6">
      <w:pPr>
        <w:keepNext/>
        <w:keepLines/>
        <w:spacing w:before="120" w:after="0" w:line="240" w:lineRule="auto"/>
        <w:jc w:val="both"/>
        <w:outlineLvl w:val="4"/>
        <w:rPr>
          <w:rFonts w:ascii="Cambria" w:eastAsia="Times New Roman" w:hAnsi="Cambria"/>
          <w:noProof/>
          <w:color w:val="365F91"/>
          <w:sz w:val="24"/>
        </w:rPr>
      </w:pPr>
      <w:r>
        <w:rPr>
          <w:rFonts w:ascii="Cambria" w:hAnsi="Cambria"/>
          <w:noProof/>
          <w:color w:val="365F91"/>
          <w:sz w:val="24"/>
        </w:rPr>
        <w:t>Ryhmä 15: Parannetaan mahdollisuuksia tehokkaaseen ja osallistavaan sosiaalipolitiikkaan</w:t>
      </w:r>
    </w:p>
    <w:p w:rsidR="00B0093E" w:rsidRDefault="00762CA6">
      <w:pPr>
        <w:numPr>
          <w:ilvl w:val="0"/>
          <w:numId w:val="39"/>
        </w:numPr>
        <w:spacing w:before="120" w:after="0" w:line="240" w:lineRule="auto"/>
        <w:ind w:left="0"/>
        <w:jc w:val="both"/>
        <w:rPr>
          <w:rFonts w:ascii="Times New Roman" w:hAnsi="Times New Roman" w:cs="Times New Roman"/>
          <w:noProof/>
        </w:rPr>
      </w:pPr>
      <w:r>
        <w:rPr>
          <w:rFonts w:ascii="Times New Roman" w:hAnsi="Times New Roman"/>
          <w:noProof/>
          <w:sz w:val="24"/>
        </w:rPr>
        <w:t>Lastensuojelu (tunniste: 16919)</w:t>
      </w:r>
    </w:p>
    <w:p w:rsidR="00B0093E" w:rsidRDefault="00762CA6">
      <w:pPr>
        <w:numPr>
          <w:ilvl w:val="0"/>
          <w:numId w:val="39"/>
        </w:numPr>
        <w:spacing w:before="120" w:after="0" w:line="240" w:lineRule="auto"/>
        <w:ind w:left="0" w:hanging="357"/>
        <w:jc w:val="both"/>
        <w:rPr>
          <w:rFonts w:ascii="Times New Roman" w:hAnsi="Times New Roman" w:cs="Times New Roman"/>
          <w:noProof/>
          <w:sz w:val="24"/>
        </w:rPr>
      </w:pPr>
      <w:r>
        <w:rPr>
          <w:rFonts w:ascii="Times New Roman" w:hAnsi="Times New Roman"/>
          <w:noProof/>
          <w:sz w:val="24"/>
        </w:rPr>
        <w:t>Vammaisuus (tunniste: 16904)</w:t>
      </w:r>
    </w:p>
    <w:p w:rsidR="00B0093E" w:rsidRDefault="00762CA6">
      <w:pPr>
        <w:numPr>
          <w:ilvl w:val="0"/>
          <w:numId w:val="39"/>
        </w:numPr>
        <w:spacing w:before="120" w:after="0" w:line="240" w:lineRule="auto"/>
        <w:ind w:left="0" w:hanging="357"/>
        <w:jc w:val="both"/>
        <w:rPr>
          <w:rFonts w:ascii="Times New Roman" w:hAnsi="Times New Roman" w:cs="Times New Roman"/>
          <w:noProof/>
          <w:sz w:val="24"/>
        </w:rPr>
      </w:pPr>
      <w:r>
        <w:rPr>
          <w:rFonts w:ascii="Times New Roman" w:hAnsi="Times New Roman"/>
          <w:noProof/>
          <w:sz w:val="24"/>
        </w:rPr>
        <w:t>Suurten yritysten lastenhoitoyksiköt (tunniste: 16945)</w:t>
      </w:r>
    </w:p>
    <w:p w:rsidR="00B0093E" w:rsidRDefault="00762CA6">
      <w:pPr>
        <w:numPr>
          <w:ilvl w:val="0"/>
          <w:numId w:val="39"/>
        </w:numPr>
        <w:spacing w:before="120" w:after="0" w:line="240" w:lineRule="auto"/>
        <w:ind w:left="0" w:hanging="357"/>
        <w:jc w:val="both"/>
        <w:rPr>
          <w:rFonts w:ascii="Times New Roman" w:hAnsi="Times New Roman" w:cs="Times New Roman"/>
          <w:noProof/>
          <w:sz w:val="24"/>
        </w:rPr>
      </w:pPr>
      <w:r>
        <w:rPr>
          <w:rFonts w:ascii="Times New Roman" w:hAnsi="Times New Roman"/>
          <w:noProof/>
          <w:sz w:val="24"/>
        </w:rPr>
        <w:t>Sosiaalietuudet Optimointi (16726)</w:t>
      </w:r>
    </w:p>
    <w:p w:rsidR="00B0093E" w:rsidRDefault="00B0093E">
      <w:pPr>
        <w:spacing w:before="120" w:after="0" w:line="240" w:lineRule="auto"/>
        <w:jc w:val="both"/>
        <w:rPr>
          <w:rFonts w:ascii="Times New Roman" w:hAnsi="Times New Roman" w:cs="Times New Roman"/>
          <w:noProof/>
          <w:sz w:val="24"/>
        </w:rPr>
      </w:pPr>
    </w:p>
    <w:tbl>
      <w:tblPr>
        <w:tblW w:w="15944" w:type="dxa"/>
        <w:jc w:val="center"/>
        <w:tblLook w:val="04A0" w:firstRow="1" w:lastRow="0" w:firstColumn="1" w:lastColumn="0" w:noHBand="0" w:noVBand="1"/>
      </w:tblPr>
      <w:tblGrid>
        <w:gridCol w:w="1027"/>
        <w:gridCol w:w="2397"/>
        <w:gridCol w:w="1626"/>
        <w:gridCol w:w="2061"/>
        <w:gridCol w:w="2084"/>
        <w:gridCol w:w="1835"/>
        <w:gridCol w:w="1094"/>
        <w:gridCol w:w="1006"/>
        <w:gridCol w:w="1387"/>
        <w:gridCol w:w="657"/>
        <w:gridCol w:w="4750"/>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43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682"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b/>
                <w:bCs/>
                <w:noProof/>
                <w:sz w:val="18"/>
                <w:szCs w:val="18"/>
              </w:rPr>
              <w:t>(välitavoitteiden osalta)</w:t>
            </w:r>
          </w:p>
        </w:tc>
        <w:tc>
          <w:tcPr>
            <w:tcW w:w="2961"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414"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7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bCs/>
                <w:noProof/>
                <w:sz w:val="18"/>
                <w:szCs w:val="18"/>
                <w:lang w:eastAsia="en-GB"/>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bCs/>
                <w:noProof/>
                <w:sz w:val="18"/>
                <w:szCs w:val="18"/>
                <w:lang w:eastAsia="en-GB"/>
              </w:rPr>
            </w:pPr>
          </w:p>
        </w:tc>
        <w:tc>
          <w:tcPr>
            <w:tcW w:w="1682" w:type="dxa"/>
            <w:vMerge/>
            <w:tcBorders>
              <w:top w:val="single" w:sz="4" w:space="0" w:color="auto"/>
              <w:left w:val="nil"/>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bCs/>
                <w:noProof/>
                <w:sz w:val="18"/>
                <w:szCs w:val="18"/>
                <w:lang w:eastAsia="en-GB"/>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bCs/>
                <w:noProof/>
                <w:sz w:val="18"/>
                <w:szCs w:val="18"/>
                <w:lang w:eastAsia="en-GB"/>
              </w:rPr>
            </w:pPr>
          </w:p>
        </w:tc>
        <w:tc>
          <w:tcPr>
            <w:tcW w:w="1154"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1094"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13"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7"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567"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75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174</w:t>
            </w:r>
          </w:p>
        </w:tc>
        <w:tc>
          <w:tcPr>
            <w:tcW w:w="143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11 - 3.4. Tehokkaan ja osallistavan sosiaalipolitiikan saatavuuden parantaminen – 16904_Vammaisuus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Välitavoite</w:t>
            </w:r>
          </w:p>
        </w:tc>
        <w:tc>
          <w:tcPr>
            <w:tcW w:w="16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Henkilökohtaista apua koskeva vammaislainsäädäntö ja ensimmäisen vaiheen pilottijärjestelmän käyttöönotto</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Primaari- ja sekundaarilainsäädännön vo</w:t>
            </w:r>
            <w:r>
              <w:rPr>
                <w:noProof/>
                <w:color w:val="006100"/>
                <w:sz w:val="18"/>
                <w:szCs w:val="18"/>
              </w:rPr>
              <w:t>imaantulo (virallisen lehden viite) ja henkilökohtaista apua koskevan hakuilmoituksen julkaiseminen.</w:t>
            </w:r>
          </w:p>
        </w:tc>
        <w:tc>
          <w:tcPr>
            <w:tcW w:w="1154"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094"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84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Q1</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2022</w:t>
            </w:r>
          </w:p>
        </w:tc>
        <w:tc>
          <w:tcPr>
            <w:tcW w:w="4750"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Henkilökohtainen apu: Lain voimaantulo, joka mahdollistaa vammaishoidon laitoshoidosta luopumisen, ja hakemuspyyntö, joka koskee ensimmäisen vai</w:t>
            </w:r>
            <w:r>
              <w:rPr>
                <w:noProof/>
                <w:color w:val="006100"/>
                <w:sz w:val="18"/>
                <w:szCs w:val="18"/>
              </w:rPr>
              <w:t>heen pilottihankkeeseen osallistumista, mukaan lukien monialainen arviointikomitea, joka kattaa sekä lääketieteellisen että toiminnallisen vammaisuuden arviointimenettelyn.</w:t>
            </w:r>
            <w:r>
              <w:rPr>
                <w:noProof/>
                <w:color w:val="006100"/>
                <w:sz w:val="18"/>
                <w:szCs w:val="18"/>
                <w:u w:val="single"/>
              </w:rPr>
              <w:t xml:space="preserve"> </w:t>
            </w:r>
            <w:r>
              <w:rPr>
                <w:noProof/>
                <w:color w:val="006100"/>
                <w:sz w:val="18"/>
                <w:szCs w:val="18"/>
              </w:rPr>
              <w:t xml:space="preserve"> </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175</w:t>
            </w:r>
          </w:p>
        </w:tc>
        <w:tc>
          <w:tcPr>
            <w:tcW w:w="143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11 - 3.4. Tehokkaan ja osallistavan sosiaalipolitiikan saatavuuden </w:t>
            </w:r>
            <w:r>
              <w:rPr>
                <w:noProof/>
                <w:color w:val="006100"/>
                <w:sz w:val="18"/>
                <w:szCs w:val="18"/>
              </w:rPr>
              <w:t>parantaminen – 16726 Sosiaalietuuksien optimointi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Välitavoite</w:t>
            </w:r>
          </w:p>
        </w:tc>
        <w:tc>
          <w:tcPr>
            <w:tcW w:w="16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Sosiaalietuudet Ennakkomaksukorttien optimointi</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OPEKAn ja OAED:n raportti, jossa todistetaan, että näiden kahden palvelun tarjoamien sosiaalietuuksien maksamiseen tarkoitettujen ennalta </w:t>
            </w:r>
            <w:r>
              <w:rPr>
                <w:noProof/>
                <w:color w:val="006100"/>
                <w:sz w:val="18"/>
                <w:szCs w:val="18"/>
              </w:rPr>
              <w:t>maksettujen korttien käyttöönotto on saatettu päätökseen</w:t>
            </w:r>
          </w:p>
        </w:tc>
        <w:tc>
          <w:tcPr>
            <w:tcW w:w="1154"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094"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84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2023</w:t>
            </w:r>
          </w:p>
        </w:tc>
        <w:tc>
          <w:tcPr>
            <w:tcW w:w="4750"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Sosiaalietuuksien maksuviranomaisen (OPEKA) ja julkisen työvoimapalvelun (OAED) myöntämien sosiaalietuuksien maksamiseen tarkoitettujen ennalta maksettujen korttien käyttöönoton loppuun sa</w:t>
            </w:r>
            <w:r>
              <w:rPr>
                <w:noProof/>
                <w:color w:val="006100"/>
                <w:sz w:val="18"/>
                <w:szCs w:val="18"/>
              </w:rPr>
              <w:t>attaminen</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176</w:t>
            </w:r>
          </w:p>
        </w:tc>
        <w:tc>
          <w:tcPr>
            <w:tcW w:w="143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11-3.4. Tehokkaan ja osallistavan sosiaalipolitiikan saatavuuden parantaminen – 16904_Vammaisuus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Välitavoite</w:t>
            </w:r>
          </w:p>
        </w:tc>
        <w:tc>
          <w:tcPr>
            <w:tcW w:w="16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Henkilökohtaisen avun vammaisarvioinnin toisen vaiheen loppuun saattaminen</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Tilastoliitteen sisältävä raportti, jossa todistetaan, </w:t>
            </w:r>
            <w:r>
              <w:rPr>
                <w:noProof/>
                <w:color w:val="006100"/>
                <w:sz w:val="18"/>
                <w:szCs w:val="18"/>
              </w:rPr>
              <w:t>että kaksi pilottihanketta on saatettu päätökseen vähintään 1 800 edunsaajan osalta.</w:t>
            </w:r>
          </w:p>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Pilottijärjestelmän ja arviointijärjestelmän arviointikertomus täydellisine tilastoineen ja suosituksineen. </w:t>
            </w:r>
          </w:p>
        </w:tc>
        <w:tc>
          <w:tcPr>
            <w:tcW w:w="1154"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094"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84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2023</w:t>
            </w:r>
          </w:p>
        </w:tc>
        <w:tc>
          <w:tcPr>
            <w:tcW w:w="4750"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Henkilökohtaista apua koskevan pilottiohjelman tois</w:t>
            </w:r>
            <w:r>
              <w:rPr>
                <w:noProof/>
                <w:color w:val="006100"/>
                <w:sz w:val="18"/>
                <w:szCs w:val="18"/>
              </w:rPr>
              <w:t>en vaiheen loppuun saattaminen, mukaan lukien toimintarajoitteisuuden arviointiprosessi; ja</w:t>
            </w:r>
          </w:p>
          <w:p w:rsidR="00B0093E" w:rsidRDefault="00762CA6">
            <w:pPr>
              <w:spacing w:before="120" w:after="0" w:line="240" w:lineRule="auto"/>
              <w:rPr>
                <w:rFonts w:eastAsia="Times New Roman" w:cs="Calibri"/>
                <w:noProof/>
                <w:color w:val="006100"/>
                <w:sz w:val="18"/>
                <w:szCs w:val="18"/>
              </w:rPr>
            </w:pPr>
            <w:r>
              <w:rPr>
                <w:noProof/>
                <w:color w:val="006100"/>
                <w:sz w:val="18"/>
                <w:szCs w:val="18"/>
              </w:rPr>
              <w:t>Henkilökohtaisen apujärjestelmän lääketieteellisen ja toiminnallisen toimintarajoitteisuuden arviointijärjestelmän tehokkuuden arvioinnin loppuun saattaminen ja sen</w:t>
            </w:r>
            <w:r>
              <w:rPr>
                <w:noProof/>
                <w:color w:val="006100"/>
                <w:sz w:val="18"/>
                <w:szCs w:val="18"/>
              </w:rPr>
              <w:t xml:space="preserve"> mahdollinen laajentaminen.</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177</w:t>
            </w:r>
          </w:p>
        </w:tc>
        <w:tc>
          <w:tcPr>
            <w:tcW w:w="143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11 - 3.4. Tehokkaan ja osallistavan sosiaalipolitiikan saatavuuden parantaminen – 16919_Lapsisuojelu</w:t>
            </w:r>
          </w:p>
          <w:p w:rsidR="00B0093E" w:rsidRDefault="00B0093E">
            <w:pPr>
              <w:spacing w:before="120" w:after="120" w:line="240" w:lineRule="auto"/>
              <w:jc w:val="center"/>
              <w:rPr>
                <w:rFonts w:eastAsia="Times New Roman" w:cs="Calibri"/>
                <w:noProof/>
                <w:sz w:val="18"/>
                <w:szCs w:val="18"/>
                <w:lang w:eastAsia="en-GB"/>
              </w:rPr>
            </w:pP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16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Alaikäisen laitoshoidon purkaminen: vammaisuuteen erikoistuneiden ammattimainen hoitajien valmistuminen </w:t>
            </w:r>
          </w:p>
        </w:tc>
        <w:tc>
          <w:tcPr>
            <w:tcW w:w="1713"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4"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Ammattimaisten sijaishoitajien hoitoon sijoitettujen alaikäisten lukumäärä</w:t>
            </w:r>
          </w:p>
        </w:tc>
        <w:tc>
          <w:tcPr>
            <w:tcW w:w="1094"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0</w:t>
            </w:r>
          </w:p>
        </w:tc>
        <w:tc>
          <w:tcPr>
            <w:tcW w:w="713"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160</w:t>
            </w:r>
          </w:p>
        </w:tc>
        <w:tc>
          <w:tcPr>
            <w:tcW w:w="84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2023</w:t>
            </w:r>
          </w:p>
        </w:tc>
        <w:tc>
          <w:tcPr>
            <w:tcW w:w="4750"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160 vakavasti toimintarajoitteisen alaikäisen sijoittaminen (työkyvyttömyysaste yli 67 %) ja/tai vakava mielenterveyshäiriö ammattimaisten sijaishoitajien hoitoon.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178</w:t>
            </w:r>
          </w:p>
        </w:tc>
        <w:tc>
          <w:tcPr>
            <w:tcW w:w="1431"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11 - 3.4. Tehokkaan ja osallistavan sosiaalipolitiikan saatavuuden parantaminen – 16919_Lapsisuojelu</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1682"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Itsenäiset asuinhuoneistot nuorten laitoshoidon purkamiseksi </w:t>
            </w:r>
          </w:p>
        </w:tc>
        <w:tc>
          <w:tcPr>
            <w:tcW w:w="1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Osittain itsenäisiin asuinhuoneistoihin sijoitettujen nuorten lukumäärä </w:t>
            </w:r>
          </w:p>
        </w:tc>
        <w:tc>
          <w:tcPr>
            <w:tcW w:w="10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200</w:t>
            </w:r>
          </w:p>
        </w:tc>
        <w:tc>
          <w:tcPr>
            <w:tcW w:w="847"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67"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2023</w:t>
            </w:r>
          </w:p>
        </w:tc>
        <w:tc>
          <w:tcPr>
            <w:tcW w:w="47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 200 nuoren sijoittaminen huoneistoihin, tuettu asuminen</w:t>
            </w:r>
          </w:p>
          <w:p w:rsidR="00B0093E" w:rsidRDefault="00B0093E">
            <w:pPr>
              <w:spacing w:before="120" w:after="0" w:line="240" w:lineRule="auto"/>
              <w:rPr>
                <w:rFonts w:eastAsia="Times New Roman" w:cs="Calibri"/>
                <w:noProof/>
                <w:color w:val="006100"/>
                <w:sz w:val="18"/>
                <w:szCs w:val="18"/>
                <w:lang w:eastAsia="en-GB"/>
              </w:rPr>
            </w:pPr>
          </w:p>
          <w:p w:rsidR="00B0093E" w:rsidRDefault="00762CA6">
            <w:pPr>
              <w:spacing w:before="120" w:after="0" w:line="240" w:lineRule="auto"/>
              <w:rPr>
                <w:rFonts w:eastAsia="Times New Roman" w:cs="Calibri"/>
                <w:noProof/>
                <w:color w:val="006100"/>
                <w:sz w:val="18"/>
                <w:szCs w:val="18"/>
              </w:rPr>
            </w:pPr>
            <w:r>
              <w:rPr>
                <w:noProof/>
                <w:color w:val="006100"/>
                <w:sz w:val="18"/>
                <w:szCs w:val="18"/>
              </w:rPr>
              <w:t>2) omavaraisuuden valmiuksien kehittäminen ja asteittainen itsenäistyminen, minkä tavoitteena on sujuva siirtyminen aikuisuuteen ja valmiudet integroitua työmarkkinoille</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179</w:t>
            </w:r>
          </w:p>
        </w:tc>
        <w:tc>
          <w:tcPr>
            <w:tcW w:w="143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11 - 3.4. </w:t>
            </w:r>
            <w:r>
              <w:rPr>
                <w:noProof/>
                <w:color w:val="006100"/>
                <w:sz w:val="18"/>
                <w:szCs w:val="18"/>
              </w:rPr>
              <w:t>Tehokkaan ja osallistavan sosiaalipolitiikan saatavuuden parantaminen – 16904_Vammaisuus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Välitavoite</w:t>
            </w:r>
          </w:p>
        </w:tc>
        <w:tc>
          <w:tcPr>
            <w:tcW w:w="16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Vammaisuusjärjestelmän käyttöönotto kansallisella tasolla.</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Kansallista käyttöönottoa koskevan primaari- ja sekundaarilainsäädännön voimaantulo. Raportti, joka sisältää tilastollisen liitteen, jossa todistetaan, että käyttöönotto on saatettu päätökseen. </w:t>
            </w:r>
          </w:p>
        </w:tc>
        <w:tc>
          <w:tcPr>
            <w:tcW w:w="1154"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094"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84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Q3</w:t>
            </w:r>
          </w:p>
        </w:tc>
        <w:tc>
          <w:tcPr>
            <w:tcW w:w="56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2024</w:t>
            </w:r>
          </w:p>
        </w:tc>
        <w:tc>
          <w:tcPr>
            <w:tcW w:w="4750"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Henkilökohtaista avustusta koskevan vammaisjärjest</w:t>
            </w:r>
            <w:r>
              <w:rPr>
                <w:noProof/>
                <w:color w:val="006100"/>
                <w:sz w:val="18"/>
                <w:szCs w:val="18"/>
              </w:rPr>
              <w:t>elmän käyttöönotto koko maassa, mukaan lukien lääketieteellisen ja toiminnallisen arvioinnin prosessi</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180</w:t>
            </w:r>
          </w:p>
        </w:tc>
        <w:tc>
          <w:tcPr>
            <w:tcW w:w="1431"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sz w:val="18"/>
                <w:szCs w:val="18"/>
              </w:rPr>
            </w:pPr>
            <w:r>
              <w:rPr>
                <w:noProof/>
                <w:color w:val="006100"/>
                <w:sz w:val="18"/>
                <w:szCs w:val="18"/>
              </w:rPr>
              <w:t>11 - 3.4. Tehokkaan ja osallistavan sosiaalipolitiikan saatavuuden parantaminen – 16919_Lapsisuojelu</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1682"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Lastenhoitokeskusten henkilöstön valmistuminen </w:t>
            </w:r>
          </w:p>
        </w:tc>
        <w:tc>
          <w:tcPr>
            <w:tcW w:w="1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Päivähoitopaikkojen lukumäärä </w:t>
            </w:r>
          </w:p>
        </w:tc>
        <w:tc>
          <w:tcPr>
            <w:tcW w:w="10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12 500</w:t>
            </w: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62 500</w:t>
            </w:r>
          </w:p>
        </w:tc>
        <w:tc>
          <w:tcPr>
            <w:tcW w:w="847"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67"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2024</w:t>
            </w:r>
          </w:p>
        </w:tc>
        <w:tc>
          <w:tcPr>
            <w:tcW w:w="47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Vähintään 50 000 uuden päivähoitopaikan loppuun saattaminen ja henkilöstö</w:t>
            </w:r>
          </w:p>
          <w:p w:rsidR="00B0093E" w:rsidRDefault="00B0093E">
            <w:pPr>
              <w:spacing w:before="120" w:after="0" w:line="240" w:lineRule="auto"/>
              <w:rPr>
                <w:rFonts w:eastAsia="Times New Roman" w:cs="Calibri"/>
                <w:noProof/>
                <w:color w:val="006100"/>
                <w:sz w:val="18"/>
                <w:szCs w:val="18"/>
                <w:lang w:eastAsia="en-GB"/>
              </w:rPr>
            </w:pPr>
          </w:p>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Edunsaajayhteisöt pyytävät korvausta toimittamalla kaikki tarvittavat </w:t>
            </w:r>
            <w:r>
              <w:rPr>
                <w:noProof/>
                <w:color w:val="006100"/>
                <w:sz w:val="18"/>
                <w:szCs w:val="18"/>
              </w:rPr>
              <w:t>asiakirjat. Ulkopuoliset tarkastajat tarkastavat menot ja tekevät myös tarkastuksia ja tarkastuskäyntejä tarkistaakseen, onko uusia paikkoja luotu.</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181</w:t>
            </w:r>
          </w:p>
        </w:tc>
        <w:tc>
          <w:tcPr>
            <w:tcW w:w="1431"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sz w:val="18"/>
                <w:szCs w:val="18"/>
              </w:rPr>
            </w:pPr>
            <w:r>
              <w:rPr>
                <w:noProof/>
                <w:color w:val="006100"/>
                <w:sz w:val="18"/>
                <w:szCs w:val="18"/>
              </w:rPr>
              <w:t xml:space="preserve">11 - 3.4. Parannetaan tehokkaan ja osallistavan sosiaalipolitiikan saatavuutta – </w:t>
            </w:r>
            <w:r>
              <w:rPr>
                <w:noProof/>
                <w:color w:val="006100"/>
                <w:sz w:val="18"/>
                <w:szCs w:val="18"/>
              </w:rPr>
              <w:t>16945_Lastenhoitoyksiköiden perustaminen suurissa yrityksissä</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1682"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Lastenhoitoyksiköt suuryritykset </w:t>
            </w:r>
          </w:p>
          <w:p w:rsidR="00B0093E" w:rsidRDefault="00762CA6">
            <w:pPr>
              <w:spacing w:before="120" w:after="0" w:line="240" w:lineRule="auto"/>
              <w:rPr>
                <w:rFonts w:eastAsia="Times New Roman" w:cs="Calibri"/>
                <w:noProof/>
                <w:color w:val="006100"/>
                <w:sz w:val="18"/>
                <w:szCs w:val="18"/>
              </w:rPr>
            </w:pPr>
            <w:r>
              <w:rPr>
                <w:noProof/>
                <w:color w:val="006100"/>
                <w:sz w:val="18"/>
                <w:szCs w:val="18"/>
              </w:rPr>
              <w:t>suorittaminen</w:t>
            </w:r>
          </w:p>
        </w:tc>
        <w:tc>
          <w:tcPr>
            <w:tcW w:w="1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Lastenhoitopalvelujen määrä suurissa yrityksissä</w:t>
            </w:r>
          </w:p>
        </w:tc>
        <w:tc>
          <w:tcPr>
            <w:tcW w:w="10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120</w:t>
            </w:r>
          </w:p>
        </w:tc>
        <w:tc>
          <w:tcPr>
            <w:tcW w:w="847"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67"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2024</w:t>
            </w:r>
          </w:p>
        </w:tc>
        <w:tc>
          <w:tcPr>
            <w:tcW w:w="47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120 päivähoitopaikan loppuun saattaminen ja henkilöstö suurissa </w:t>
            </w:r>
            <w:r>
              <w:rPr>
                <w:noProof/>
                <w:color w:val="006100"/>
                <w:sz w:val="18"/>
                <w:szCs w:val="18"/>
              </w:rPr>
              <w:t>yrityksissä: toimenpiteen kohteena ovat 50 yritystä, joissa on yli 100 työntekijää (keskikokoinen) ja 70 yritystä, joissa on yli 250 työntekijää (suuret).</w:t>
            </w:r>
          </w:p>
        </w:tc>
      </w:tr>
    </w:tbl>
    <w:p w:rsidR="00B0093E" w:rsidRDefault="00B0093E">
      <w:pPr>
        <w:spacing w:before="120" w:after="120" w:line="240" w:lineRule="auto"/>
        <w:jc w:val="both"/>
        <w:rPr>
          <w:rFonts w:ascii="Times New Roman" w:hAnsi="Times New Roman" w:cs="Times New Roman"/>
          <w:noProof/>
          <w:sz w:val="24"/>
        </w:rPr>
      </w:pPr>
    </w:p>
    <w:p w:rsidR="00B0093E" w:rsidRDefault="00762CA6">
      <w:pPr>
        <w:keepNext/>
        <w:keepLines/>
        <w:spacing w:before="12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Ryhmä 16: Parannetaan mahdollisuuksia tehokkaaseen ja osallistavaan sosiaalipolitiikkaan – </w:t>
      </w:r>
      <w:r>
        <w:rPr>
          <w:rFonts w:ascii="Cambria" w:hAnsi="Cambria"/>
          <w:noProof/>
          <w:color w:val="365F91"/>
          <w:sz w:val="24"/>
        </w:rPr>
        <w:t>muuttoliike ja turvapaikka-asiat</w:t>
      </w:r>
    </w:p>
    <w:p w:rsidR="00B0093E" w:rsidRDefault="00762CA6">
      <w:pPr>
        <w:numPr>
          <w:ilvl w:val="0"/>
          <w:numId w:val="37"/>
        </w:numPr>
        <w:spacing w:before="120" w:after="0" w:line="240" w:lineRule="auto"/>
        <w:ind w:left="0"/>
        <w:jc w:val="both"/>
        <w:rPr>
          <w:rFonts w:ascii="Times New Roman" w:hAnsi="Times New Roman" w:cs="Times New Roman"/>
          <w:noProof/>
        </w:rPr>
      </w:pPr>
      <w:r>
        <w:rPr>
          <w:rFonts w:ascii="Times New Roman" w:hAnsi="Times New Roman"/>
          <w:noProof/>
          <w:sz w:val="24"/>
        </w:rPr>
        <w:t>Maahanmuutto- ja turvapaikkajärjestelmän digitalisointi (tunniste: 16763)</w:t>
      </w:r>
    </w:p>
    <w:p w:rsidR="00B0093E" w:rsidRDefault="00762CA6">
      <w:pPr>
        <w:numPr>
          <w:ilvl w:val="0"/>
          <w:numId w:val="37"/>
        </w:numPr>
        <w:spacing w:before="120" w:after="0" w:line="240" w:lineRule="auto"/>
        <w:ind w:left="0"/>
        <w:jc w:val="both"/>
        <w:rPr>
          <w:rFonts w:ascii="Times New Roman" w:hAnsi="Times New Roman" w:cs="Times New Roman"/>
          <w:noProof/>
          <w:sz w:val="24"/>
        </w:rPr>
      </w:pPr>
      <w:r>
        <w:rPr>
          <w:rFonts w:ascii="Times New Roman" w:hAnsi="Times New Roman"/>
          <w:noProof/>
          <w:sz w:val="24"/>
        </w:rPr>
        <w:t>Sosiaaliturvajärjestelmän digitaalisaatio (tunniste: 16925)</w:t>
      </w:r>
    </w:p>
    <w:p w:rsidR="00B0093E" w:rsidRDefault="00762CA6">
      <w:pPr>
        <w:numPr>
          <w:ilvl w:val="0"/>
          <w:numId w:val="37"/>
        </w:numPr>
        <w:spacing w:before="120" w:after="0" w:line="240" w:lineRule="auto"/>
        <w:ind w:left="0"/>
        <w:jc w:val="both"/>
        <w:rPr>
          <w:rFonts w:ascii="Times New Roman" w:hAnsi="Times New Roman" w:cs="Times New Roman"/>
          <w:noProof/>
          <w:sz w:val="24"/>
        </w:rPr>
      </w:pPr>
      <w:r>
        <w:rPr>
          <w:rFonts w:ascii="Times New Roman" w:hAnsi="Times New Roman"/>
          <w:noProof/>
          <w:sz w:val="24"/>
        </w:rPr>
        <w:t>Monimuotoisuustietous (tunniste: 16685)</w:t>
      </w:r>
    </w:p>
    <w:p w:rsidR="00B0093E" w:rsidRDefault="00762CA6">
      <w:pPr>
        <w:numPr>
          <w:ilvl w:val="0"/>
          <w:numId w:val="37"/>
        </w:numPr>
        <w:spacing w:before="120" w:after="0" w:line="240" w:lineRule="auto"/>
        <w:ind w:left="0" w:hanging="357"/>
        <w:jc w:val="both"/>
        <w:rPr>
          <w:rFonts w:ascii="Times New Roman" w:hAnsi="Times New Roman" w:cs="Times New Roman"/>
          <w:noProof/>
          <w:sz w:val="24"/>
        </w:rPr>
      </w:pPr>
      <w:r>
        <w:rPr>
          <w:rFonts w:ascii="Times New Roman" w:hAnsi="Times New Roman"/>
          <w:noProof/>
          <w:sz w:val="24"/>
        </w:rPr>
        <w:t>Yhteiskuntaan integroituminen (tunniste: 16922)</w:t>
      </w:r>
    </w:p>
    <w:p w:rsidR="00B0093E" w:rsidRDefault="00762CA6">
      <w:pPr>
        <w:numPr>
          <w:ilvl w:val="0"/>
          <w:numId w:val="37"/>
        </w:numPr>
        <w:spacing w:before="120" w:after="120" w:line="240" w:lineRule="auto"/>
        <w:ind w:left="0"/>
        <w:jc w:val="both"/>
        <w:rPr>
          <w:rFonts w:ascii="Times New Roman" w:hAnsi="Times New Roman" w:cs="Times New Roman"/>
          <w:noProof/>
          <w:sz w:val="24"/>
        </w:rPr>
      </w:pPr>
      <w:r>
        <w:rPr>
          <w:rFonts w:ascii="Times New Roman" w:hAnsi="Times New Roman"/>
          <w:noProof/>
          <w:sz w:val="24"/>
        </w:rPr>
        <w:t>Edistetään pakolaisväestön integroitumista työmarkkinoille (tunniste: 16688)</w:t>
      </w:r>
    </w:p>
    <w:tbl>
      <w:tblPr>
        <w:tblW w:w="15871" w:type="dxa"/>
        <w:jc w:val="center"/>
        <w:tblLook w:val="04A0" w:firstRow="1" w:lastRow="0" w:firstColumn="1" w:lastColumn="0" w:noHBand="0" w:noVBand="1"/>
      </w:tblPr>
      <w:tblGrid>
        <w:gridCol w:w="1027"/>
        <w:gridCol w:w="2496"/>
        <w:gridCol w:w="1626"/>
        <w:gridCol w:w="2107"/>
        <w:gridCol w:w="2530"/>
        <w:gridCol w:w="2005"/>
        <w:gridCol w:w="1035"/>
        <w:gridCol w:w="1006"/>
        <w:gridCol w:w="1387"/>
        <w:gridCol w:w="657"/>
        <w:gridCol w:w="3944"/>
      </w:tblGrid>
      <w:tr w:rsidR="00B0093E">
        <w:trPr>
          <w:trHeight w:val="927"/>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2107"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b/>
                <w:noProof/>
                <w:sz w:val="18"/>
                <w:szCs w:val="18"/>
              </w:rPr>
              <w:t xml:space="preserve"> </w:t>
            </w:r>
            <w:r>
              <w:rPr>
                <w:rFonts w:ascii="Times New Roman" w:hAnsi="Times New Roman"/>
                <w:b/>
                <w:noProof/>
                <w:sz w:val="18"/>
                <w:szCs w:val="18"/>
              </w:rPr>
              <w:br/>
            </w:r>
            <w:r>
              <w:rPr>
                <w:rFonts w:ascii="Times New Roman" w:hAnsi="Times New Roman"/>
                <w:b/>
                <w:bCs/>
                <w:noProof/>
                <w:sz w:val="18"/>
                <w:szCs w:val="18"/>
              </w:rPr>
              <w:t>(välitavoitteiden osalta)</w:t>
            </w:r>
          </w:p>
        </w:tc>
        <w:tc>
          <w:tcPr>
            <w:tcW w:w="3037"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b/>
                <w:noProof/>
                <w:sz w:val="18"/>
                <w:szCs w:val="18"/>
              </w:rPr>
              <w:t xml:space="preserve"> </w:t>
            </w:r>
            <w:r>
              <w:rPr>
                <w:rFonts w:ascii="Times New Roman" w:hAnsi="Times New Roman"/>
                <w:b/>
                <w:noProof/>
                <w:sz w:val="18"/>
                <w:szCs w:val="18"/>
              </w:rPr>
              <w:br/>
            </w:r>
            <w:r>
              <w:rPr>
                <w:rFonts w:ascii="Times New Roman" w:hAnsi="Times New Roman"/>
                <w:b/>
                <w:bCs/>
                <w:noProof/>
                <w:sz w:val="18"/>
                <w:szCs w:val="18"/>
              </w:rPr>
              <w:t>(tavoitteiden osalta)</w:t>
            </w:r>
          </w:p>
        </w:tc>
        <w:tc>
          <w:tcPr>
            <w:tcW w:w="1442"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Alust</w:t>
            </w:r>
            <w:r>
              <w:rPr>
                <w:rFonts w:ascii="Times New Roman" w:hAnsi="Times New Roman"/>
                <w:b/>
                <w:bCs/>
                <w:noProof/>
                <w:sz w:val="18"/>
                <w:szCs w:val="18"/>
              </w:rPr>
              <w:t xml:space="preserve">ava toteutusaikataulu </w:t>
            </w:r>
          </w:p>
        </w:tc>
        <w:tc>
          <w:tcPr>
            <w:tcW w:w="39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noProof/>
                <w:sz w:val="18"/>
                <w:szCs w:val="18"/>
                <w:lang w:eastAsia="en-GB"/>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noProof/>
                <w:sz w:val="18"/>
                <w:szCs w:val="18"/>
                <w:lang w:eastAsia="en-GB"/>
              </w:rPr>
            </w:pPr>
          </w:p>
        </w:tc>
        <w:tc>
          <w:tcPr>
            <w:tcW w:w="2107" w:type="dxa"/>
            <w:vMerge/>
            <w:tcBorders>
              <w:top w:val="single" w:sz="4" w:space="0" w:color="auto"/>
              <w:left w:val="nil"/>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noProof/>
                <w:sz w:val="18"/>
                <w:szCs w:val="18"/>
                <w:lang w:eastAsia="en-GB"/>
              </w:rPr>
            </w:pPr>
          </w:p>
        </w:tc>
        <w:tc>
          <w:tcPr>
            <w:tcW w:w="17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noProof/>
                <w:sz w:val="18"/>
                <w:szCs w:val="18"/>
                <w:lang w:eastAsia="en-GB"/>
              </w:rPr>
            </w:pPr>
          </w:p>
        </w:tc>
        <w:tc>
          <w:tcPr>
            <w:tcW w:w="1151"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1035"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6"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596" w:type="dxa"/>
            <w:tcBorders>
              <w:top w:val="nil"/>
              <w:left w:val="nil"/>
              <w:bottom w:val="single" w:sz="4" w:space="0" w:color="auto"/>
              <w:right w:val="single" w:sz="4" w:space="0" w:color="auto"/>
            </w:tcBorders>
            <w:shd w:val="clear" w:color="auto" w:fill="BDD7EE"/>
            <w:vAlign w:val="center"/>
            <w:hideMark/>
          </w:tcPr>
          <w:p w:rsidR="00B0093E" w:rsidRDefault="00762CA6">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394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before="120" w:after="0" w:line="240" w:lineRule="auto"/>
              <w:rPr>
                <w:rFonts w:ascii="Times New Roman" w:eastAsia="Times New Roman" w:hAnsi="Times New Roman" w:cs="Times New Roman"/>
                <w:b/>
                <w:noProof/>
                <w:sz w:val="18"/>
                <w:szCs w:val="18"/>
                <w:lang w:eastAsia="en-GB"/>
              </w:rPr>
            </w:pP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182</w:t>
            </w:r>
          </w:p>
        </w:tc>
        <w:tc>
          <w:tcPr>
            <w:tcW w:w="15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11 - 3.4. Parannetaan tehokkaan ja osallistavan sosiaalipolitiikan saatavuutta – 16925_Sosiaalitukijärjestelmän digitaalisaatio</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210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noProof/>
                <w:color w:val="006100"/>
                <w:sz w:val="18"/>
                <w:szCs w:val="18"/>
              </w:rPr>
            </w:pPr>
            <w:r>
              <w:rPr>
                <w:noProof/>
                <w:color w:val="006100"/>
                <w:sz w:val="18"/>
                <w:szCs w:val="18"/>
              </w:rPr>
              <w:t>Vammaiskorttien hallintoviranomaisen toteuttaminen</w:t>
            </w:r>
          </w:p>
        </w:tc>
        <w:tc>
          <w:tcPr>
            <w:tcW w:w="1766"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Edunsaajille myönnettyjen vammaiskorttien määrä</w:t>
            </w:r>
          </w:p>
        </w:tc>
        <w:tc>
          <w:tcPr>
            <w:tcW w:w="1035"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80 000</w:t>
            </w: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2023</w:t>
            </w:r>
          </w:p>
        </w:tc>
        <w:tc>
          <w:tcPr>
            <w:tcW w:w="3944"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Hal</w:t>
            </w:r>
            <w:r>
              <w:rPr>
                <w:noProof/>
                <w:color w:val="006100"/>
                <w:sz w:val="18"/>
                <w:szCs w:val="18"/>
              </w:rPr>
              <w:t>lintoviranomainen on toimittanut 80 000 vammaiskorttia tuensaajille.</w:t>
            </w:r>
          </w:p>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 </w:t>
            </w:r>
          </w:p>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Vammaiskorttiin sisältyy erityisiä oikeuksia/etuja, ja sen on määrä auttaa vammaisia henkilöitä arkielämässä. </w:t>
            </w:r>
          </w:p>
          <w:p w:rsidR="00B0093E" w:rsidRDefault="00B0093E">
            <w:pPr>
              <w:spacing w:before="120" w:after="0" w:line="240" w:lineRule="auto"/>
              <w:rPr>
                <w:rFonts w:eastAsia="Times New Roman" w:cs="Calibri"/>
                <w:noProof/>
                <w:color w:val="006100"/>
                <w:sz w:val="18"/>
                <w:szCs w:val="18"/>
                <w:highlight w:val="yellow"/>
                <w:lang w:eastAsia="en-GB"/>
              </w:rPr>
            </w:pPr>
          </w:p>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Johtaja/hankintaviranomainen hyväksyy sopimuksen suoritteet </w:t>
            </w:r>
            <w:r>
              <w:rPr>
                <w:noProof/>
                <w:color w:val="006100"/>
                <w:sz w:val="18"/>
                <w:szCs w:val="18"/>
              </w:rPr>
              <w:t>(vammaiskorttien kehittäminen) ja hallintoviranomainen vahvistaa, että 80 000 vammaiskorttia on toimitettu tuensaajille</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183</w:t>
            </w:r>
          </w:p>
        </w:tc>
        <w:tc>
          <w:tcPr>
            <w:tcW w:w="15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11 - 3.4. Tehokkaan ja osallistavan sosiaalipolitiikan saatavuuden parantaminen – 16922_Sosiaalinen integraatio</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210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Kodittomien yhteiskuntaan integroituminen </w:t>
            </w:r>
          </w:p>
          <w:p w:rsidR="00B0093E" w:rsidRDefault="00762CA6">
            <w:pPr>
              <w:spacing w:before="120" w:after="0" w:line="240" w:lineRule="auto"/>
              <w:rPr>
                <w:rFonts w:eastAsia="Times New Roman" w:cs="Calibri"/>
                <w:noProof/>
                <w:color w:val="006100"/>
                <w:sz w:val="18"/>
                <w:szCs w:val="18"/>
              </w:rPr>
            </w:pPr>
            <w:r>
              <w:rPr>
                <w:noProof/>
                <w:color w:val="006100"/>
                <w:sz w:val="18"/>
                <w:szCs w:val="18"/>
              </w:rPr>
              <w:t>suorittaminen</w:t>
            </w:r>
          </w:p>
        </w:tc>
        <w:tc>
          <w:tcPr>
            <w:tcW w:w="1766"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Niiden taattujen vähimmäistoimeentulon saajien ja kodittomien lukumäärä, joilla on sertifioitu osallistuminen</w:t>
            </w:r>
          </w:p>
        </w:tc>
        <w:tc>
          <w:tcPr>
            <w:tcW w:w="1035"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7 000</w:t>
            </w: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2025</w:t>
            </w:r>
          </w:p>
        </w:tc>
        <w:tc>
          <w:tcPr>
            <w:tcW w:w="3944"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7 000 taatun vähimmäistoimeentulon saajan ja asunnottomien koulutus- ja </w:t>
            </w:r>
            <w:r>
              <w:rPr>
                <w:noProof/>
                <w:color w:val="006100"/>
                <w:sz w:val="18"/>
                <w:szCs w:val="18"/>
              </w:rPr>
              <w:t xml:space="preserve">työllisyystukiohjelman loppuun saattaminen ja kansallisen järjestön antama todistus hankituista taidoista </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184</w:t>
            </w:r>
          </w:p>
        </w:tc>
        <w:tc>
          <w:tcPr>
            <w:tcW w:w="15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11 - 3.4. Parannetaan mahdollisuuksia tehokkaaseen ja osallistavaan sosiaalipolitiikkaan – 16685_moninaisuutta koskeva tietoisuus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210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Monimuotoisuuden tiedostamista koskevan koulutuksen esimiesten koulutus</w:t>
            </w:r>
          </w:p>
        </w:tc>
        <w:tc>
          <w:tcPr>
            <w:tcW w:w="1766"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Niiden johtajien ja etutoimipaikan työntekijöiden lukumäärä, joihin on sertifioitu osallistuminen</w:t>
            </w:r>
          </w:p>
        </w:tc>
        <w:tc>
          <w:tcPr>
            <w:tcW w:w="1035"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680 000</w:t>
            </w: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2023</w:t>
            </w:r>
          </w:p>
        </w:tc>
        <w:tc>
          <w:tcPr>
            <w:tcW w:w="3944"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Monimuotoisuutta koskevan koulutuksen loppuun saattaminen 680 000 johtajalle ja front-office-työntekijälle sekä sertifiointi </w:t>
            </w:r>
          </w:p>
          <w:p w:rsidR="00B0093E" w:rsidRDefault="00762CA6">
            <w:pPr>
              <w:spacing w:before="120" w:after="0" w:line="240" w:lineRule="auto"/>
              <w:rPr>
                <w:rFonts w:eastAsia="Times New Roman" w:cs="Calibri"/>
                <w:noProof/>
                <w:color w:val="006100"/>
                <w:sz w:val="18"/>
                <w:szCs w:val="18"/>
              </w:rPr>
            </w:pPr>
            <w:r>
              <w:rPr>
                <w:noProof/>
                <w:color w:val="006100"/>
                <w:sz w:val="18"/>
                <w:szCs w:val="18"/>
              </w:rPr>
              <w:t>Koulutusohjelman tarkoituksena on lisätä tietoisuutta monimuotoisuuden eri ulottuvuuksista ja hyödyistä. Se on suunniteltava ja er</w:t>
            </w:r>
            <w:r>
              <w:rPr>
                <w:noProof/>
                <w:color w:val="006100"/>
                <w:sz w:val="18"/>
                <w:szCs w:val="18"/>
              </w:rPr>
              <w:t>iytettävä asianmukaisesti kohderyhmän mukaan (ylempi johto, keskitason johto, front office -johto ja back office -johto). Osallistumisen on oltava etäällä (alustan kautta) ja asynkronista.</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185</w:t>
            </w:r>
          </w:p>
        </w:tc>
        <w:tc>
          <w:tcPr>
            <w:tcW w:w="1582"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11 - 3.4. Parannetaan tehokkaan ja osallistavan </w:t>
            </w:r>
            <w:r>
              <w:rPr>
                <w:noProof/>
                <w:color w:val="006100"/>
                <w:sz w:val="18"/>
                <w:szCs w:val="18"/>
              </w:rPr>
              <w:t>sosiaalipolitiikan saatavuutta – 16763_Muuttoliike- ja turvapaikkajärjestelmän digitaalisaatio</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Välitavoite</w:t>
            </w:r>
          </w:p>
        </w:tc>
        <w:tc>
          <w:tcPr>
            <w:tcW w:w="2107"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Digitalisoidun muuttoliike- ja turvapaikkajärjestelmän valmiiksi saattaminen</w:t>
            </w:r>
          </w:p>
        </w:tc>
        <w:tc>
          <w:tcPr>
            <w:tcW w:w="176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Johtajan/hankintaviranomaisen vahvistus suoritteen hyväksymisestä</w:t>
            </w:r>
          </w:p>
        </w:tc>
        <w:tc>
          <w:tcPr>
            <w:tcW w:w="1151"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035"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2024</w:t>
            </w:r>
          </w:p>
        </w:tc>
        <w:tc>
          <w:tcPr>
            <w:tcW w:w="3944"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Muuttoliike- ja turvapaikkajärjestelmän digitalisoinnin loppuunsaattaminen siten, että projektipäällikkö/hankintaviranomainen hyväksyy sopimuksen suoritteet a) muuttoliike- ja turvapaikka-asioista vastaavan ministeriön keskusyksikön ja hajautettujen h</w:t>
            </w:r>
            <w:r>
              <w:rPr>
                <w:noProof/>
                <w:color w:val="006100"/>
                <w:sz w:val="18"/>
                <w:szCs w:val="18"/>
              </w:rPr>
              <w:t>allintoviranomaisten laillisen muuttoliikkeen digitalisointi ja asiakirjahallintajärjestelmää varten ja b) yhdennettyjä digitaalisia muuttoliikepalveluja varten</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186</w:t>
            </w:r>
          </w:p>
        </w:tc>
        <w:tc>
          <w:tcPr>
            <w:tcW w:w="1582"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11 - 3.4. Tehokkaan ja osallistavan sosiaalipolitiikan saatavuuden parantaminen – </w:t>
            </w:r>
            <w:r>
              <w:rPr>
                <w:noProof/>
                <w:color w:val="006100"/>
                <w:sz w:val="18"/>
                <w:szCs w:val="18"/>
              </w:rPr>
              <w:t>16922_Sosiaalinen integraatio</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2107"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Sosiaalisten asuntojen kunnostustöiden valmistuminen </w:t>
            </w:r>
          </w:p>
        </w:tc>
        <w:tc>
          <w:tcPr>
            <w:tcW w:w="17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Niiden asuntojen määrä, jotka on kunnostettu ja valmiita käytettäväksi edunsaajille</w:t>
            </w:r>
          </w:p>
        </w:tc>
        <w:tc>
          <w:tcPr>
            <w:tcW w:w="1035"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100 </w:t>
            </w:r>
          </w:p>
          <w:p w:rsidR="00B0093E" w:rsidRDefault="00B0093E">
            <w:pPr>
              <w:spacing w:before="120"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9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2024</w:t>
            </w:r>
          </w:p>
        </w:tc>
        <w:tc>
          <w:tcPr>
            <w:tcW w:w="3944"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100 asunnon (70 Ateenan kunnassa ja 30 Thessalonikin kunnassa) kunnostusohjelman loppuun saattaminen 250 edunsaajan osalta. </w:t>
            </w:r>
          </w:p>
          <w:p w:rsidR="00B0093E" w:rsidRDefault="00B0093E">
            <w:pPr>
              <w:spacing w:before="120" w:after="0" w:line="240" w:lineRule="auto"/>
              <w:rPr>
                <w:rFonts w:eastAsia="Times New Roman" w:cs="Calibri"/>
                <w:noProof/>
                <w:color w:val="006100"/>
                <w:sz w:val="18"/>
                <w:szCs w:val="18"/>
                <w:lang w:eastAsia="en-GB"/>
              </w:rPr>
            </w:pPr>
          </w:p>
          <w:p w:rsidR="00B0093E" w:rsidRDefault="00762CA6">
            <w:pPr>
              <w:spacing w:before="120" w:after="0" w:line="240" w:lineRule="auto"/>
              <w:rPr>
                <w:rFonts w:eastAsia="Times New Roman" w:cs="Calibri"/>
                <w:noProof/>
                <w:color w:val="006100"/>
                <w:sz w:val="18"/>
                <w:szCs w:val="18"/>
              </w:rPr>
            </w:pPr>
            <w:r>
              <w:rPr>
                <w:noProof/>
                <w:color w:val="006100"/>
                <w:sz w:val="18"/>
                <w:szCs w:val="18"/>
              </w:rPr>
              <w:t>Toimenpiteen tarkoituksena on tarjota asuntotukea heikoimmassa asemassa oleville ryhmille, joita kodittomuus uhkaa tai joita uhkaa</w:t>
            </w:r>
            <w:r>
              <w:rPr>
                <w:noProof/>
                <w:color w:val="006100"/>
                <w:sz w:val="18"/>
                <w:szCs w:val="18"/>
              </w:rPr>
              <w:t xml:space="preserve"> kodittomuus.</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187</w:t>
            </w:r>
          </w:p>
        </w:tc>
        <w:tc>
          <w:tcPr>
            <w:tcW w:w="1582"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120" w:line="240" w:lineRule="auto"/>
              <w:rPr>
                <w:rFonts w:eastAsia="Times New Roman" w:cs="Calibri"/>
                <w:noProof/>
                <w:color w:val="006100"/>
                <w:sz w:val="18"/>
                <w:szCs w:val="18"/>
              </w:rPr>
            </w:pPr>
            <w:r>
              <w:rPr>
                <w:noProof/>
                <w:color w:val="006100"/>
                <w:sz w:val="18"/>
                <w:szCs w:val="18"/>
              </w:rPr>
              <w:t>11 - 3.4. Parannetaan mahdollisuuksia tehokkaaseen ja osallistavaan sosiaalipolitiikkaan – 16688: Pakolaisväestön työmarkkinoille integroitumisen edistäminen </w:t>
            </w:r>
          </w:p>
          <w:p w:rsidR="00B0093E" w:rsidRDefault="00B0093E">
            <w:pPr>
              <w:spacing w:before="120" w:after="0" w:line="240" w:lineRule="auto"/>
              <w:rPr>
                <w:rFonts w:eastAsia="Times New Roman" w:cs="Calibri"/>
                <w:noProof/>
                <w:color w:val="006100"/>
                <w:sz w:val="18"/>
                <w:szCs w:val="18"/>
                <w:lang w:eastAsia="en-GB"/>
              </w:rPr>
            </w:pP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Tavoite</w:t>
            </w:r>
          </w:p>
        </w:tc>
        <w:tc>
          <w:tcPr>
            <w:tcW w:w="2107"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Pakolaisten integroituminen työmarkkinoille</w:t>
            </w:r>
          </w:p>
        </w:tc>
        <w:tc>
          <w:tcPr>
            <w:tcW w:w="17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11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Niiden pakolaisten lukumäärä, jotka ovat suorittaneet harjoitteluohjelman </w:t>
            </w:r>
          </w:p>
        </w:tc>
        <w:tc>
          <w:tcPr>
            <w:tcW w:w="1035"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14 580</w:t>
            </w: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Q4</w:t>
            </w:r>
          </w:p>
        </w:tc>
        <w:tc>
          <w:tcPr>
            <w:tcW w:w="596"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2025</w:t>
            </w:r>
          </w:p>
        </w:tc>
        <w:tc>
          <w:tcPr>
            <w:tcW w:w="3944"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rPr>
                <w:rFonts w:eastAsia="Times New Roman" w:cs="Calibri"/>
                <w:noProof/>
                <w:color w:val="006100"/>
                <w:sz w:val="18"/>
                <w:szCs w:val="18"/>
              </w:rPr>
            </w:pPr>
            <w:r>
              <w:rPr>
                <w:noProof/>
                <w:color w:val="006100"/>
                <w:sz w:val="18"/>
                <w:szCs w:val="18"/>
              </w:rPr>
              <w:t>Harjoitteluohjelmien loppuun saattaminen yrityksissä vähintään 14 580 pakolaiselle</w:t>
            </w:r>
          </w:p>
          <w:p w:rsidR="00B0093E" w:rsidRDefault="00B0093E">
            <w:pPr>
              <w:spacing w:before="120" w:after="0" w:line="240" w:lineRule="auto"/>
              <w:rPr>
                <w:rFonts w:eastAsia="Times New Roman" w:cs="Calibri"/>
                <w:noProof/>
                <w:color w:val="006100"/>
                <w:sz w:val="18"/>
                <w:szCs w:val="18"/>
                <w:lang w:eastAsia="en-GB"/>
              </w:rPr>
            </w:pPr>
          </w:p>
          <w:p w:rsidR="00B0093E" w:rsidRDefault="00762CA6">
            <w:pPr>
              <w:spacing w:before="120" w:after="0" w:line="240" w:lineRule="auto"/>
              <w:rPr>
                <w:rFonts w:eastAsia="Times New Roman" w:cs="Calibri"/>
                <w:noProof/>
                <w:color w:val="006100"/>
                <w:sz w:val="18"/>
                <w:szCs w:val="18"/>
              </w:rPr>
            </w:pPr>
            <w:r>
              <w:rPr>
                <w:noProof/>
                <w:color w:val="006100"/>
                <w:sz w:val="18"/>
                <w:szCs w:val="18"/>
              </w:rPr>
              <w:t xml:space="preserve">OAED:n ja muuttoliike- ja turvapaikkaministeriön raportti, jossa vahvistetaan, </w:t>
            </w:r>
            <w:r>
              <w:rPr>
                <w:noProof/>
                <w:color w:val="006100"/>
                <w:sz w:val="18"/>
                <w:szCs w:val="18"/>
              </w:rPr>
              <w:t>että edellä mainittua pakolaismäärää koskeva hanke on saatettu onnistuneesti päätökseen</w:t>
            </w:r>
          </w:p>
          <w:p w:rsidR="00B0093E" w:rsidRDefault="00B0093E">
            <w:pPr>
              <w:spacing w:before="120" w:after="0" w:line="240" w:lineRule="auto"/>
              <w:rPr>
                <w:rFonts w:eastAsia="Times New Roman" w:cs="Calibri"/>
                <w:noProof/>
                <w:color w:val="006100"/>
                <w:sz w:val="18"/>
                <w:szCs w:val="18"/>
                <w:lang w:eastAsia="en-GB"/>
              </w:rPr>
            </w:pPr>
          </w:p>
          <w:p w:rsidR="00B0093E" w:rsidRDefault="00762CA6">
            <w:pPr>
              <w:spacing w:before="120" w:after="0" w:line="240" w:lineRule="auto"/>
              <w:rPr>
                <w:rFonts w:eastAsia="Times New Roman" w:cs="Calibri"/>
                <w:noProof/>
                <w:color w:val="006100"/>
                <w:sz w:val="18"/>
                <w:szCs w:val="18"/>
              </w:rPr>
            </w:pPr>
            <w:r>
              <w:rPr>
                <w:noProof/>
                <w:color w:val="006100"/>
                <w:sz w:val="18"/>
                <w:szCs w:val="18"/>
              </w:rPr>
              <w:t>Harjoittelun on autettava pakolaisia hankkimaan työkokemusta ja helpotettava heidän myöhempää integroitumistaan työmarkkinoille.</w:t>
            </w:r>
          </w:p>
        </w:tc>
      </w:tr>
    </w:tbl>
    <w:p w:rsidR="00B0093E" w:rsidRDefault="00B0093E">
      <w:pPr>
        <w:tabs>
          <w:tab w:val="left" w:pos="3423"/>
        </w:tabs>
        <w:spacing w:before="120" w:after="120" w:line="240" w:lineRule="auto"/>
        <w:jc w:val="both"/>
        <w:rPr>
          <w:rFonts w:ascii="Times New Roman" w:hAnsi="Times New Roman" w:cs="Times New Roman"/>
          <w:noProof/>
          <w:sz w:val="24"/>
        </w:rPr>
        <w:sectPr w:rsidR="00B0093E">
          <w:headerReference w:type="even" r:id="rId173"/>
          <w:headerReference w:type="default" r:id="rId174"/>
          <w:footerReference w:type="even" r:id="rId175"/>
          <w:footerReference w:type="default" r:id="rId176"/>
          <w:headerReference w:type="first" r:id="rId177"/>
          <w:footerReference w:type="first" r:id="rId178"/>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L. KOMPONENTTI 4.1: VEROISTA TEHDÄÄN KASVUA EDISTÄVÄMPIÄ JA VEROHALLINTOA JA VERONKANTOA PARANNETAAN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 Kreikan elpymis- ja palautumissuunnitelman komponentti käsittää kohdennettuja uudistuksia ja investointeja, joilla parannetaan </w:t>
      </w:r>
      <w:r>
        <w:rPr>
          <w:rFonts w:ascii="Times New Roman" w:hAnsi="Times New Roman"/>
          <w:noProof/>
          <w:sz w:val="24"/>
        </w:rPr>
        <w:t>edelleen julkisen talouden toimintaa ja torjutaan verovilppiä. Ensinnäkin tähän komponenttiin kuuluvat veropolitiikan uudistukset, joilla helpotetaan verolainsäädännön kodifiointia, otetaan käyttöön kannustimia sähköisten transaktioiden tehostamiseksi, vih</w:t>
      </w:r>
      <w:r>
        <w:rPr>
          <w:rFonts w:ascii="Times New Roman" w:hAnsi="Times New Roman"/>
          <w:noProof/>
          <w:sz w:val="24"/>
        </w:rPr>
        <w:t>reiden ja digitaalisten yksityisten investointien edistämiseksi ja yritysten koon kasvattamiseksi. Toiseksi komponenttiin sisältyy uudistuksia ja investointeja, joilla pyritään muuttamaan julkisten tulojen hallintoa digitalisoimalla prosessit ja esittämäll</w:t>
      </w:r>
      <w:r>
        <w:rPr>
          <w:rFonts w:ascii="Times New Roman" w:hAnsi="Times New Roman"/>
          <w:noProof/>
          <w:sz w:val="24"/>
        </w:rPr>
        <w:t>ä lainsäädäntöaloitteita salakuljetuksen torjumiseksi ja alv-palautusten nopeuttamiseksi.</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Komponentti edistää digitalisaatiota korvaamalla ja päivittämällä julkisten tulojen riippumattoman viranomaisen (IAPR) keskeisiä digitaalisia järjestelmiä, ottamalla </w:t>
      </w:r>
      <w:r>
        <w:rPr>
          <w:rFonts w:ascii="Times New Roman" w:hAnsi="Times New Roman"/>
          <w:noProof/>
          <w:sz w:val="24"/>
        </w:rPr>
        <w:t>käyttöön automatisoituja toimisto- ja työprosesseja, digitalisoimalla tarkastuksia ja valvontaa sekä päivittämällä ja parantamalla veronmaksajien sähköisiä palveluja.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Tällä komponentilla tuetaan maakohtaisia suosituksia julkisista ja yksityisistä investoin</w:t>
      </w:r>
      <w:r>
        <w:rPr>
          <w:rFonts w:ascii="Times New Roman" w:hAnsi="Times New Roman"/>
          <w:noProof/>
          <w:sz w:val="24"/>
        </w:rPr>
        <w:t>neista (maakohtainen suositus 3 2020) ja rakenneuudistuksia talouden toiminnan parantamiseksi (maakohtainen suositus 4 2020). Minkään tähän osa-alueeseen kuuluvan toimenpiteen ei odoteta aiheuttavan merkittävää haittaa asetuksen (EU) 2020/852 17 artiklassa</w:t>
      </w:r>
      <w:r>
        <w:rPr>
          <w:rFonts w:ascii="Times New Roman" w:hAnsi="Times New Roman"/>
          <w:noProof/>
          <w:sz w:val="24"/>
        </w:rPr>
        <w:t xml:space="preserve"> tarkoitetuille ympäristötavoitteille, kun otetaan huomioon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L.1 </w:t>
      </w:r>
      <w:r>
        <w:rPr>
          <w:rFonts w:ascii="Times New Roman" w:hAnsi="Times New Roman"/>
          <w:b/>
          <w:noProof/>
          <w:sz w:val="24"/>
          <w:u w:val="single"/>
        </w:rPr>
        <w:tab/>
      </w:r>
      <w:r>
        <w:rPr>
          <w:rFonts w:ascii="Times New Roman" w:hAnsi="Times New Roman"/>
          <w:b/>
          <w:bCs/>
          <w:noProof/>
          <w:sz w:val="24"/>
          <w:u w:val="single"/>
        </w:rPr>
        <w:t xml:space="preserve">Kuvaus </w:t>
      </w:r>
      <w:r>
        <w:rPr>
          <w:rFonts w:ascii="Times New Roman" w:hAnsi="Times New Roman"/>
          <w:b/>
          <w:bCs/>
          <w:noProof/>
          <w:sz w:val="24"/>
          <w:u w:val="single"/>
        </w:rPr>
        <w:t>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Verotarkastusten digitalisaatio (toimenpiteen tunniste 16611)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IAPR:n on parannettava oman datansa käyttöä ja otettava käyttöön tekoälyvälineitä julki</w:t>
      </w:r>
      <w:r>
        <w:rPr>
          <w:rFonts w:ascii="Times New Roman" w:hAnsi="Times New Roman"/>
          <w:noProof/>
          <w:sz w:val="24"/>
        </w:rPr>
        <w:t xml:space="preserve">sen veronkannon parantamiseksi, verotarkastusten tehostamiseksi ja salakuljetuksen torjumiseksi. Hankkeessa otetaan käyttöön vahva tietoarkkitehtuuri, kehitetään yhteinen metatietovarasto, tarjotaan asianmukaisia ohjelmistoratkaisuja, kehitetään tekoälyyn </w:t>
      </w:r>
      <w:r>
        <w:rPr>
          <w:rFonts w:ascii="Times New Roman" w:hAnsi="Times New Roman"/>
          <w:noProof/>
          <w:sz w:val="24"/>
        </w:rPr>
        <w:t>liittyviä tekniikoita ja välineitä ja käytetään koneoppimista massadatan louhimiseksi.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Verolainsäädännön kodifiointi ja yksinkertaistaminen (toimenpiteen tunniste 16643)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Valti</w:t>
      </w:r>
      <w:r>
        <w:rPr>
          <w:rFonts w:ascii="Times New Roman" w:hAnsi="Times New Roman"/>
          <w:noProof/>
          <w:sz w:val="24"/>
        </w:rPr>
        <w:t>ovarainministeriö ja IAPR yksinkertaistavat ja päivittävät tärkeimpien verokoodeksien, tullikoodeksin ja kaikkien asiaan liittyvien sekundaaristen säännösten lainsäädäntöä EU:n parhaiden käytäntöjen mukaisesti. IAPR:n peruslain 4389/2016 mukaisesti IAPR va</w:t>
      </w:r>
      <w:r>
        <w:rPr>
          <w:rFonts w:ascii="Times New Roman" w:hAnsi="Times New Roman"/>
          <w:noProof/>
          <w:sz w:val="24"/>
        </w:rPr>
        <w:t>staa verotusmenettelylain, pääjohtajan päätösten ja verohallinnon kiertokirjeiden päivittämisestä ja nykyaikaistamisesta sekä verohallinnon digitalisoinnin ja yksinkertaistamisen edellyttämien muutosten laatimisesta. Valtiovarainministeriön ja IAPR:n on my</w:t>
      </w:r>
      <w:r>
        <w:rPr>
          <w:rFonts w:ascii="Times New Roman" w:hAnsi="Times New Roman"/>
          <w:noProof/>
          <w:sz w:val="24"/>
        </w:rPr>
        <w:t>ös tarjottava veronmaksajille tietoa varten sisällönhallintajärjestelmä ja oma verkkosivusto, mikä parantaa avoimuutta, oikeusvarmuutta, verosäännösten noudattamista ja liiketoimintaympäristöä. Uudistus on määrä toteuttaa viimeistään 30 päivänä kesäkuuta 2</w:t>
      </w:r>
      <w:r>
        <w:rPr>
          <w:rFonts w:ascii="Times New Roman" w:hAnsi="Times New Roman"/>
          <w:noProof/>
          <w:sz w:val="24"/>
        </w:rPr>
        <w:t>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Alv-palautusten nopeuttamisen edistäminen (toimenpiteen tunniste 16610)</w:t>
      </w:r>
    </w:p>
    <w:p w:rsidR="00B0093E" w:rsidRDefault="00762CA6">
      <w:pPr>
        <w:spacing w:before="120" w:after="120" w:line="240" w:lineRule="auto"/>
        <w:jc w:val="both"/>
        <w:rPr>
          <w:rFonts w:ascii="card" w:hAnsi="card" w:cs="Times New Roman"/>
          <w:noProof/>
          <w:sz w:val="24"/>
        </w:rPr>
      </w:pPr>
      <w:r>
        <w:rPr>
          <w:rFonts w:ascii="Times New Roman" w:hAnsi="Times New Roman"/>
          <w:noProof/>
          <w:sz w:val="24"/>
        </w:rPr>
        <w:t>IAPR yksinkertaistaa alv-palautuksiin liittyviä hallinnollisia menettelyjä yritysten kannalta ottamalla käyttöön automatisoidut alv-palautusmenettelyt, toimittamalla säh</w:t>
      </w:r>
      <w:r>
        <w:rPr>
          <w:rFonts w:ascii="Times New Roman" w:hAnsi="Times New Roman"/>
          <w:noProof/>
          <w:sz w:val="24"/>
        </w:rPr>
        <w:t>köisesti ja helpottamalla palautuspyyntöjä koskevaa riskianalyysiprosessia. Uuden prosessin odotetaan rajoittavan ihmisten osallistumista digitaalisiin transaktioihin ja vähentävän alv-palautuksiin liittyviä viivästyksiä. Uudistuksen on oltava yhdenmukaine</w:t>
      </w:r>
      <w:r>
        <w:rPr>
          <w:rFonts w:ascii="Times New Roman" w:hAnsi="Times New Roman"/>
          <w:noProof/>
          <w:sz w:val="24"/>
        </w:rPr>
        <w:t>n alv-palautusdirektiivin (neuvoston direktiivi 2008/9/EY) kanssa. Uudistus on määrä toteuttaa viimeistään 31 päivänä joulukuuta 2023.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Toimenpiteiden ja kannustimien hyväksyminen sähköisten maksutapahtumien lisäämiseksi (toimenpiteen tunniste 166</w:t>
      </w:r>
      <w:r>
        <w:rPr>
          <w:rFonts w:ascii="Times New Roman" w:hAnsi="Times New Roman"/>
          <w:noProof/>
          <w:sz w:val="24"/>
        </w:rPr>
        <w:t>16)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keventämään yritysten hallinnollista taakkaa ja parantamaan verosäännösten noudattamista edistämällä sähköistä kaupankäyntiä. IAPR:n on käytettävä myDATA-järjestelmää sähköistä kirjanpitoa, sähköistä laskutusta ja kaikkien veroka</w:t>
      </w:r>
      <w:r>
        <w:rPr>
          <w:rFonts w:ascii="Times New Roman" w:hAnsi="Times New Roman"/>
          <w:noProof/>
          <w:sz w:val="24"/>
        </w:rPr>
        <w:t>ssarekisterien liittämistä tietojärjestelmiinsä varten veroilmoitusten automaattisen täyttämisen helpottamiseksi ja verotarkastusten tehostamiseksi. Uudistuksen verokannustimien täytäntöönpano on määrä toteuttaa viimeistään 31 päivänä joulukuuta 2023.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w:t>
      </w:r>
      <w:r>
        <w:rPr>
          <w:rFonts w:ascii="Times New Roman" w:hAnsi="Times New Roman"/>
          <w:b/>
          <w:bCs/>
          <w:noProof/>
          <w:sz w:val="24"/>
        </w:rPr>
        <w:t>stus:</w:t>
      </w:r>
      <w:r>
        <w:rPr>
          <w:rFonts w:ascii="Times New Roman" w:hAnsi="Times New Roman"/>
          <w:noProof/>
          <w:sz w:val="24"/>
        </w:rPr>
        <w:t xml:space="preserve"> Pk-yrityksille vihreässä taloudessa, energia-alalla ja digitaalisessa siirtymässä aiheutuvien menojen ylimääräinen vähentäminen (toimenpiteen tunniste 16863)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koostuu verokannustimista, joilla lisätään pienten ja keskisuurten yritysten invest</w:t>
      </w:r>
      <w:r>
        <w:rPr>
          <w:rFonts w:ascii="Times New Roman" w:hAnsi="Times New Roman"/>
          <w:noProof/>
          <w:sz w:val="24"/>
        </w:rPr>
        <w:t>ointeja laitteisiin, jotka liittyvät ilmastonmuutokseen sopeutumiseen, kiertotalouden edistämiseen ja digitalisointiin. Sen on oltava täysin EU:n valtiontukisääntöjen mukainen. Uudistuksen verokannustimien täytäntöönpano on määrä toteuttaa viimeistään 31 p</w:t>
      </w:r>
      <w:r>
        <w:rPr>
          <w:rFonts w:ascii="Times New Roman" w:hAnsi="Times New Roman"/>
          <w:noProof/>
          <w:sz w:val="24"/>
        </w:rPr>
        <w:t>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Uudet puitteet salakuljetuksen torjumiseksi, pääasiassa valmisteveron alaisten tuotteiden osalta (tupakka, alkoholi ja energia) (toimenpiteen tunniste 16656)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tukemaan salakuljetuksen torjuntaa erityi</w:t>
      </w:r>
      <w:r>
        <w:rPr>
          <w:rFonts w:ascii="Times New Roman" w:hAnsi="Times New Roman"/>
          <w:noProof/>
          <w:sz w:val="24"/>
        </w:rPr>
        <w:t>sesti valmisteveron alaisten tuotteiden (tupakka, alkoholi, energia) osalta nykyaikaistamalla tullin seurantajärjestelmiä, tarkastusprosesseja ja laitteita rahtitarkastusten tehostamiseksi. Tämä edellyttää myös IAPR:n tietoteknisten järjestelmien päivittäm</w:t>
      </w:r>
      <w:r>
        <w:rPr>
          <w:rFonts w:ascii="Times New Roman" w:hAnsi="Times New Roman"/>
          <w:noProof/>
          <w:sz w:val="24"/>
        </w:rPr>
        <w:t>istä tietojen saamiseksi eurooppalaisista ja kansallisista tietokannoista.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Uudistus: </w:t>
      </w:r>
      <w:r>
        <w:rPr>
          <w:rFonts w:ascii="Times New Roman" w:hAnsi="Times New Roman"/>
          <w:noProof/>
          <w:sz w:val="24"/>
        </w:rPr>
        <w:t>Sähköiset rekisteröivät kassakoneet ja maksupäätejärjestelmät (toimenpidenumero 16614)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IAPR:n on kehite</w:t>
      </w:r>
      <w:r>
        <w:rPr>
          <w:rFonts w:ascii="Times New Roman" w:hAnsi="Times New Roman"/>
          <w:noProof/>
          <w:sz w:val="24"/>
        </w:rPr>
        <w:t>ttävä kehys, jolla helpotetaan kassakoneiden liittämistä myyntipistepäätteisiin ja sen tietojärjestelmiin. Hankkeen yhteydessä käteisrekistereiden ja POS-päätteiden yhteenliittämistä koskevien eritelmien laatiminen sen varmistamiseksi, että jokainen POS-ta</w:t>
      </w:r>
      <w:r>
        <w:rPr>
          <w:rFonts w:ascii="Times New Roman" w:hAnsi="Times New Roman"/>
          <w:noProof/>
          <w:sz w:val="24"/>
        </w:rPr>
        <w:t>pahtuma on kirjattava kassakirjanpitoon ja että tuotetut tiedot on toimitettava lähes reaaliaikaisesti IAPR:lle; ja ii) infrastruktuurin ja sovellusten kehittäminen kassatapahtumien seurantaa varten ja valvontamekanismin tukeminen. Kun toimenpide on saatet</w:t>
      </w:r>
      <w:r>
        <w:rPr>
          <w:rFonts w:ascii="Times New Roman" w:hAnsi="Times New Roman"/>
          <w:noProof/>
          <w:sz w:val="24"/>
        </w:rPr>
        <w:t>tu päätökseen, sen odotetaan rajoittavan veronkierron mahdollisuuksia ja viime kädessä kaventavan alv-vajetta. Uudistus on määrä toteuttaa viimeistään 30 päivänä kesäkuuta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Vero- ja tullihallinnon digitalisaatio (toimenpiteen tunniste 16</w:t>
      </w:r>
      <w:r>
        <w:rPr>
          <w:rFonts w:ascii="Times New Roman" w:hAnsi="Times New Roman"/>
          <w:noProof/>
          <w:sz w:val="24"/>
        </w:rPr>
        <w:t>291)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Investoinneilla pyritään toteuttamaan tulojen hallinnoinnin ja palvelujen digitalisaatio, jonka odotetaan vahvistavan IAPR:n valmiuksia ja parantavan sen yleistä suorituskykyä. Investoinnilla parannetaan yksityishenkilöille ja yrityksille tarjottavien</w:t>
      </w:r>
      <w:r>
        <w:rPr>
          <w:rFonts w:ascii="Times New Roman" w:hAnsi="Times New Roman"/>
          <w:noProof/>
          <w:sz w:val="24"/>
        </w:rPr>
        <w:t xml:space="preserve"> palvelujen laatua ja viime kädessä tehdään veroista kasvua edistävämpiä, mikä parantaa verohallintoa ja veronkantoa. Tällä investoinnilla kootaan yhteen 14 digitaalisen infrastruktuurin alahanketta, jotka IAPR:n on määrä toteuttaa ja jotka on luokiteltu n</w:t>
      </w:r>
      <w:r>
        <w:rPr>
          <w:rFonts w:ascii="Times New Roman" w:hAnsi="Times New Roman"/>
          <w:noProof/>
          <w:sz w:val="24"/>
        </w:rPr>
        <w:t>eljään toiminta-alueeseen:</w:t>
      </w:r>
    </w:p>
    <w:p w:rsidR="00B0093E" w:rsidRDefault="00762CA6">
      <w:pPr>
        <w:pStyle w:val="ListParagraph"/>
        <w:numPr>
          <w:ilvl w:val="0"/>
          <w:numId w:val="5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Keskeisten digitaalisten järjestelmien korvaaminen ja palvelujen tarjoamisen toiminnallisuuden laajentaminen, mukaan lukien IAPR:n tietojärjestelmien yhteentoimivuusmekanismien täytäntöönpano pankkitietojärjestelmien kanssa;</w:t>
      </w:r>
    </w:p>
    <w:p w:rsidR="00B0093E" w:rsidRDefault="00762CA6">
      <w:pPr>
        <w:pStyle w:val="ListParagraph"/>
        <w:numPr>
          <w:ilvl w:val="0"/>
          <w:numId w:val="5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Toimisto- ja työprosessien automatisointi;</w:t>
      </w:r>
    </w:p>
    <w:p w:rsidR="00B0093E" w:rsidRDefault="00762CA6">
      <w:pPr>
        <w:pStyle w:val="ListParagraph"/>
        <w:numPr>
          <w:ilvl w:val="0"/>
          <w:numId w:val="5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Tarkastusten ja valvonnan digitalisointi; ja</w:t>
      </w:r>
    </w:p>
    <w:p w:rsidR="00B0093E" w:rsidRDefault="00762CA6">
      <w:pPr>
        <w:pStyle w:val="ListParagraph"/>
        <w:numPr>
          <w:ilvl w:val="0"/>
          <w:numId w:val="5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Veronmaksajien palvelujen parantaminen.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on määrä toteuttaa viimeistään 31 päivänä joulukuuta 2025.</w:t>
      </w:r>
    </w:p>
    <w:p w:rsidR="00B0093E" w:rsidRDefault="00B0093E">
      <w:pPr>
        <w:spacing w:before="120" w:after="120" w:line="240" w:lineRule="auto"/>
        <w:ind w:left="709"/>
        <w:jc w:val="both"/>
        <w:rPr>
          <w:rFonts w:ascii="Times New Roman" w:hAnsi="Times New Roman" w:cs="Times New Roman"/>
          <w:i/>
          <w:iCs/>
          <w:noProof/>
          <w:color w:val="4F81BD"/>
          <w:sz w:val="24"/>
        </w:rPr>
      </w:pP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79"/>
          <w:headerReference w:type="default" r:id="rId180"/>
          <w:footerReference w:type="even" r:id="rId181"/>
          <w:footerReference w:type="default" r:id="rId182"/>
          <w:headerReference w:type="first" r:id="rId183"/>
          <w:footerReference w:type="first" r:id="rId184"/>
          <w:pgSz w:w="11907" w:h="16839"/>
          <w:pgMar w:top="1134" w:right="1417" w:bottom="1134" w:left="1417"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L.2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Keskeinen uudistus 8: Sähköiset rekisteröivät kassakoneet ja maksupäätejärjestelmät</w:t>
      </w:r>
    </w:p>
    <w:tbl>
      <w:tblPr>
        <w:tblW w:w="15871" w:type="dxa"/>
        <w:jc w:val="center"/>
        <w:tblLook w:val="04A0" w:firstRow="1" w:lastRow="0" w:firstColumn="1" w:lastColumn="0" w:noHBand="0" w:noVBand="1"/>
      </w:tblPr>
      <w:tblGrid>
        <w:gridCol w:w="1027"/>
        <w:gridCol w:w="1464"/>
        <w:gridCol w:w="1626"/>
        <w:gridCol w:w="1871"/>
        <w:gridCol w:w="1717"/>
        <w:gridCol w:w="1335"/>
        <w:gridCol w:w="966"/>
        <w:gridCol w:w="1006"/>
        <w:gridCol w:w="1387"/>
        <w:gridCol w:w="858"/>
        <w:gridCol w:w="4477"/>
      </w:tblGrid>
      <w:tr w:rsidR="00B0093E">
        <w:trPr>
          <w:trHeight w:val="927"/>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28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w:t>
            </w:r>
            <w:r>
              <w:rPr>
                <w:rFonts w:ascii="Times New Roman" w:hAnsi="Times New Roman"/>
                <w:b/>
                <w:bCs/>
                <w:noProof/>
                <w:sz w:val="18"/>
                <w:szCs w:val="18"/>
              </w:rPr>
              <w:t xml:space="preserve">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550"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noProof/>
                <w:sz w:val="24"/>
              </w:rPr>
              <w:br/>
            </w:r>
            <w:r>
              <w:rPr>
                <w:rFonts w:ascii="Times New Roman" w:hAnsi="Times New Roman"/>
                <w:b/>
                <w:bCs/>
                <w:noProof/>
                <w:sz w:val="18"/>
                <w:szCs w:val="18"/>
              </w:rPr>
              <w:t>(välitavoitteiden osalta)</w:t>
            </w:r>
          </w:p>
        </w:tc>
        <w:tc>
          <w:tcPr>
            <w:tcW w:w="2997"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noProof/>
                <w:sz w:val="24"/>
              </w:rPr>
              <w:br/>
            </w:r>
            <w:r>
              <w:rPr>
                <w:rFonts w:ascii="Times New Roman" w:hAnsi="Times New Roman"/>
                <w:b/>
                <w:bCs/>
                <w:noProof/>
                <w:sz w:val="18"/>
                <w:szCs w:val="18"/>
              </w:rPr>
              <w:t>(tavoitteiden osalta)</w:t>
            </w:r>
          </w:p>
        </w:tc>
        <w:tc>
          <w:tcPr>
            <w:tcW w:w="184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4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28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550"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335"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805"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9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85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47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188</w:t>
            </w:r>
          </w:p>
        </w:tc>
        <w:tc>
          <w:tcPr>
            <w:tcW w:w="12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12 - 4.1. Veroista tehdään kasvua edistäviä ja verohallintoa ja veronkantoa parannetaan – 16614_Sähköiset rekisteröivät kassakoneet ja kauppapaikat (uudistus)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5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Riippumaton julkisten tulojen virasto (IAPR): Sähköiset rekisteröi</w:t>
            </w:r>
            <w:r>
              <w:rPr>
                <w:noProof/>
                <w:color w:val="006100"/>
                <w:sz w:val="18"/>
                <w:szCs w:val="18"/>
              </w:rPr>
              <w:t>vät kassakoneet ja kauppapaikat  – Lainsäädäntökehyksen voimaantulo</w:t>
            </w:r>
          </w:p>
        </w:tc>
        <w:tc>
          <w:tcPr>
            <w:tcW w:w="17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 voimaantulo</w:t>
            </w:r>
          </w:p>
        </w:tc>
        <w:tc>
          <w:tcPr>
            <w:tcW w:w="133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85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47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Tulee voimaan riippumattoman viranomaisen teknisiä vaatimuksia koskeva päätös (lain 4308/2014 12 §) ja ministeriöiden yhteinen päätös tietojen sähköisestä toimi</w:t>
            </w:r>
            <w:r>
              <w:rPr>
                <w:noProof/>
                <w:color w:val="006100"/>
                <w:sz w:val="18"/>
                <w:szCs w:val="18"/>
              </w:rPr>
              <w:t xml:space="preserve">ttamisesta riippumattomalle julkisten tulojen viranomaiselle (lain 4174/2013 15 §:n perusteella). Päätöksessä vahvistetaan keskeiset ominaisuudet, jotka ovat tarpeen verkkokassakoe- ja myyntipistejärjestelmien yhteenliittämiseksi riippumattomaan julkisten </w:t>
            </w:r>
            <w:r>
              <w:rPr>
                <w:noProof/>
                <w:color w:val="006100"/>
                <w:sz w:val="18"/>
                <w:szCs w:val="18"/>
              </w:rPr>
              <w:t>tulojen viranomaiseen, mukaan lukien kassarekistereihin liittyvien seuraamusten uudelleentarkastelu (lain 4174/2013 54 §).</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189</w:t>
            </w:r>
          </w:p>
        </w:tc>
        <w:tc>
          <w:tcPr>
            <w:tcW w:w="12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12 - 4.1. Veroista tehdään kasvua edistäviä ja verohallintoa ja veronkantoa parannetaan – 16614_Sähköiset rekisteröivät </w:t>
            </w:r>
            <w:r>
              <w:rPr>
                <w:noProof/>
                <w:color w:val="006100"/>
                <w:sz w:val="18"/>
                <w:szCs w:val="18"/>
              </w:rPr>
              <w:t>kassakoneet ja kauppapaikat (uudistus)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5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Riippumaton julkisten tulojen virasto: Sähköiset rekisteröivät kassakoneet ja kauppapaikat – käyttöönotto ja yhteenliittäminen </w:t>
            </w:r>
          </w:p>
        </w:tc>
        <w:tc>
          <w:tcPr>
            <w:tcW w:w="171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highlight w:val="yellow"/>
                <w:lang w:eastAsia="en-GB"/>
              </w:rPr>
            </w:pPr>
          </w:p>
        </w:tc>
        <w:tc>
          <w:tcPr>
            <w:tcW w:w="133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Yritysten lukumäärä </w:t>
            </w:r>
          </w:p>
        </w:tc>
        <w:tc>
          <w:tcPr>
            <w:tcW w:w="85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8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500 000</w:t>
            </w:r>
          </w:p>
        </w:tc>
        <w:tc>
          <w:tcPr>
            <w:tcW w:w="9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85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47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Alustan käyttöönotto – kaikki oikeudellisen kehyksen piiriin kuuluvat yritykset ovat liittäneet verkkokassakirjansa kassajärjestelmiin riippumattomaan julkisten tulojen virastoon.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Julkisten tulojen riippumattoman viranomaisen raportti, jossa todetaan uud</w:t>
            </w:r>
            <w:r>
              <w:rPr>
                <w:noProof/>
                <w:color w:val="006100"/>
                <w:sz w:val="18"/>
                <w:szCs w:val="18"/>
              </w:rPr>
              <w:t>istuksen päätökseen saattaminen ja ilmoitetaan niiden yritysten kokonaismäärä, jotka ovat liittäneet verkkokassakirjansa myyntipistejärjestelmiin riippumattomaan julkisten tulojen virastoon. Tukikelpoisten kassakoneiden on oltava vähintään 500 000.</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17: Verohallinnon toimenpiteet</w:t>
      </w:r>
    </w:p>
    <w:p w:rsidR="00B0093E" w:rsidRDefault="00762CA6">
      <w:pPr>
        <w:numPr>
          <w:ilvl w:val="0"/>
          <w:numId w:val="36"/>
        </w:numPr>
        <w:spacing w:before="120" w:after="0" w:line="240" w:lineRule="auto"/>
        <w:jc w:val="both"/>
        <w:rPr>
          <w:rFonts w:ascii="Times New Roman" w:hAnsi="Times New Roman" w:cs="Times New Roman"/>
          <w:noProof/>
        </w:rPr>
      </w:pPr>
      <w:r>
        <w:rPr>
          <w:rFonts w:ascii="Times New Roman" w:hAnsi="Times New Roman"/>
          <w:noProof/>
          <w:sz w:val="24"/>
        </w:rPr>
        <w:t>Verotarkastusten digitalisaatio (tunniste 16611)</w:t>
      </w:r>
    </w:p>
    <w:p w:rsidR="00B0093E" w:rsidRDefault="00762CA6">
      <w:pPr>
        <w:numPr>
          <w:ilvl w:val="0"/>
          <w:numId w:val="36"/>
        </w:numPr>
        <w:spacing w:before="120" w:after="0" w:line="240" w:lineRule="auto"/>
        <w:jc w:val="both"/>
        <w:rPr>
          <w:rFonts w:ascii="Times New Roman" w:hAnsi="Times New Roman" w:cs="Times New Roman"/>
          <w:noProof/>
          <w:sz w:val="24"/>
        </w:rPr>
      </w:pPr>
      <w:r>
        <w:rPr>
          <w:rFonts w:ascii="Times New Roman" w:hAnsi="Times New Roman"/>
          <w:noProof/>
          <w:sz w:val="24"/>
        </w:rPr>
        <w:t>Alv-palautusten nopeuttamisen edistäminen (tunniste: 16610)</w:t>
      </w:r>
    </w:p>
    <w:p w:rsidR="00B0093E" w:rsidRDefault="00762CA6">
      <w:pPr>
        <w:numPr>
          <w:ilvl w:val="0"/>
          <w:numId w:val="36"/>
        </w:numPr>
        <w:spacing w:before="120" w:after="0" w:line="240" w:lineRule="auto"/>
        <w:jc w:val="both"/>
        <w:rPr>
          <w:rFonts w:ascii="Times New Roman" w:hAnsi="Times New Roman" w:cs="Times New Roman"/>
          <w:noProof/>
          <w:sz w:val="24"/>
        </w:rPr>
      </w:pPr>
      <w:r>
        <w:rPr>
          <w:rFonts w:ascii="Times New Roman" w:hAnsi="Times New Roman"/>
          <w:noProof/>
          <w:sz w:val="24"/>
        </w:rPr>
        <w:t>Uudet puitteet salakuljetuksen torjumiseksi, pääasiassa valmisteveron alaisten tuotteiden osalta (tupakka, alk</w:t>
      </w:r>
      <w:r>
        <w:rPr>
          <w:rFonts w:ascii="Times New Roman" w:hAnsi="Times New Roman"/>
          <w:noProof/>
          <w:sz w:val="24"/>
        </w:rPr>
        <w:t>oholi ja energia) (tunniste: 16656)</w:t>
      </w:r>
    </w:p>
    <w:p w:rsidR="00B0093E" w:rsidRDefault="00762CA6">
      <w:pPr>
        <w:numPr>
          <w:ilvl w:val="0"/>
          <w:numId w:val="36"/>
        </w:numPr>
        <w:spacing w:before="120" w:after="120" w:line="240" w:lineRule="auto"/>
        <w:jc w:val="both"/>
        <w:rPr>
          <w:rFonts w:ascii="Times New Roman" w:hAnsi="Times New Roman" w:cs="Times New Roman"/>
          <w:noProof/>
          <w:sz w:val="24"/>
        </w:rPr>
      </w:pPr>
      <w:r>
        <w:rPr>
          <w:rFonts w:ascii="Times New Roman" w:hAnsi="Times New Roman"/>
          <w:noProof/>
          <w:sz w:val="24"/>
        </w:rPr>
        <w:t>Vero- ja tullihallinnon digitalisaatio (tunniste: 16291)</w:t>
      </w:r>
    </w:p>
    <w:p w:rsidR="00B0093E" w:rsidRDefault="00B0093E">
      <w:pPr>
        <w:spacing w:before="120" w:after="120" w:line="240" w:lineRule="auto"/>
        <w:ind w:left="709"/>
        <w:jc w:val="both"/>
        <w:rPr>
          <w:rFonts w:ascii="Times New Roman" w:hAnsi="Times New Roman" w:cs="Times New Roman"/>
          <w:noProof/>
          <w:sz w:val="24"/>
          <w:szCs w:val="24"/>
        </w:rPr>
      </w:pPr>
    </w:p>
    <w:tbl>
      <w:tblPr>
        <w:tblW w:w="15800" w:type="dxa"/>
        <w:jc w:val="center"/>
        <w:tblLook w:val="04A0" w:firstRow="1" w:lastRow="0" w:firstColumn="1" w:lastColumn="0" w:noHBand="0" w:noVBand="1"/>
      </w:tblPr>
      <w:tblGrid>
        <w:gridCol w:w="1027"/>
        <w:gridCol w:w="2029"/>
        <w:gridCol w:w="1626"/>
        <w:gridCol w:w="2132"/>
        <w:gridCol w:w="2532"/>
        <w:gridCol w:w="1247"/>
        <w:gridCol w:w="966"/>
        <w:gridCol w:w="1006"/>
        <w:gridCol w:w="1387"/>
        <w:gridCol w:w="694"/>
        <w:gridCol w:w="5173"/>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53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24"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82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noProof/>
                <w:sz w:val="24"/>
              </w:rPr>
              <w:br/>
            </w:r>
            <w:r>
              <w:rPr>
                <w:rFonts w:ascii="Times New Roman" w:hAnsi="Times New Roman"/>
                <w:b/>
                <w:bCs/>
                <w:noProof/>
                <w:sz w:val="18"/>
                <w:szCs w:val="18"/>
              </w:rPr>
              <w:t>(välitavoitteiden osalta)</w:t>
            </w:r>
          </w:p>
        </w:tc>
        <w:tc>
          <w:tcPr>
            <w:tcW w:w="2410"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noProof/>
                <w:sz w:val="24"/>
              </w:rPr>
              <w:br/>
            </w:r>
            <w:r>
              <w:rPr>
                <w:rFonts w:ascii="Times New Roman" w:hAnsi="Times New Roman"/>
                <w:b/>
                <w:bCs/>
                <w:noProof/>
                <w:sz w:val="18"/>
                <w:szCs w:val="18"/>
              </w:rPr>
              <w:t>(tavoitteiden osalta)</w:t>
            </w:r>
          </w:p>
        </w:tc>
        <w:tc>
          <w:tcPr>
            <w:tcW w:w="1540"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51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3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24"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9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58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694"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517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190</w:t>
            </w:r>
          </w:p>
        </w:tc>
        <w:tc>
          <w:tcPr>
            <w:tcW w:w="15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2 - 4.1. Veroista tehdään kasvua edistäviä ja verohallintoa ja veronkantoa parannetaan – 16656_Uusi kehys salakuljetuksen torjumiseksi, pääasiassa valmisteveron alaisten tuotteiden osalta (tupakka, alkoholi ja energia)</w:t>
            </w: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Salakuljetuksen torjunta </w:t>
            </w:r>
            <w:r>
              <w:rPr>
                <w:noProof/>
                <w:color w:val="006100"/>
                <w:sz w:val="18"/>
                <w:szCs w:val="18"/>
              </w:rPr>
              <w:t>– sääntelypäätösten etenemissuunnitelma</w:t>
            </w:r>
          </w:p>
        </w:tc>
        <w:tc>
          <w:tcPr>
            <w:tcW w:w="18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Julkisten tulojen riippumattoman viranomaisen raportti, joka sisältää etenemissuunnitelman salakuljetuksen torjuntaan liittyviä päätöksiä/kiertoja varten.</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1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Julkisten tulojen riippumaton viranomainen </w:t>
            </w:r>
            <w:r>
              <w:rPr>
                <w:noProof/>
                <w:color w:val="006100"/>
                <w:sz w:val="18"/>
                <w:szCs w:val="18"/>
              </w:rPr>
              <w:t>hyväksyy etenemissuunnitelman (aikatauluineen) salakuljetuksen torjuntaa koskevan oikeudellisen kehyksen uudistamiseen liittyvien päätösten/kiertokirjeiden antamista varten.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Julkisten tulojen riippumaton viranomainen antaa päätöksen/kiertokirjeen antamist</w:t>
            </w:r>
            <w:r>
              <w:rPr>
                <w:noProof/>
                <w:color w:val="006100"/>
                <w:sz w:val="18"/>
                <w:szCs w:val="18"/>
              </w:rPr>
              <w:t>a koskevasta etenemissuunnitelmasta kertomuksen, jossa esitetään yksityiskohtaisesti toimet, joita tarvitaan ICISNETin ja ELENXISin operatiivisten tietojärjestelmien uudelleensuunnitteluun, jotta voidaan tehokkaasti priorisoida sääntöjen noudattamatta jätt</w:t>
            </w:r>
            <w:r>
              <w:rPr>
                <w:noProof/>
                <w:color w:val="006100"/>
                <w:sz w:val="18"/>
                <w:szCs w:val="18"/>
              </w:rPr>
              <w:t>ämiseen liittyvät riskit ja tuottaa parhaat mahdolliset tarkastusprofiilit hyödyntäen Euroopan unionin ja kansallisten tietokantojen tietoja.</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191</w:t>
            </w:r>
          </w:p>
        </w:tc>
        <w:tc>
          <w:tcPr>
            <w:tcW w:w="15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12 - 4.1. Veroista tehdään kasvua edistäviä ja verohallintoa ja veronkantoa parannetaan – 16656_Uusi kehys </w:t>
            </w:r>
            <w:r>
              <w:rPr>
                <w:noProof/>
                <w:color w:val="006100"/>
                <w:sz w:val="18"/>
                <w:szCs w:val="18"/>
              </w:rPr>
              <w:t>salakuljetuksen torjumiseksi, pääasiassa valmisteveron alaisten tuotteiden osalta (tupakka, alkoholi ja energia)</w:t>
            </w: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Salakuljetuksen torjunta – sääntelypäätösten tekeminen</w:t>
            </w:r>
          </w:p>
        </w:tc>
        <w:tc>
          <w:tcPr>
            <w:tcW w:w="18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Sääntelypäätökset/kiertokirjeet tulivat voimaan.</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1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Voimaan tulee 15</w:t>
            </w:r>
            <w:r>
              <w:rPr>
                <w:noProof/>
                <w:color w:val="006100"/>
                <w:sz w:val="18"/>
                <w:szCs w:val="18"/>
              </w:rPr>
              <w:t xml:space="preserve"> julkisen talouden riippumattoman viranomaisen hyväksymää sääntelypäätöstä/kiertokirjettä, jotka koskevat uuden yhdennetyn järjestelmän luomista salakuljetuksen torjumiseksi.</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Maaliskuun 31 päivään 2022 mennessä laaditun etenemissuunnitelman mukaisesti pää</w:t>
            </w:r>
            <w:r>
              <w:rPr>
                <w:noProof/>
                <w:color w:val="006100"/>
                <w:sz w:val="18"/>
                <w:szCs w:val="18"/>
              </w:rPr>
              <w:t>tös/kiertokirjeet koskevat sellaisen uuden yhdennetyn järjestelmän valmistelua, joka tukee tarkastusprosessia seuraamalla tullitapahtumia ja -menettelyjä reaaliaikaisesti. Järjestelmän toiminta perustuu siihen, että keskitetyn valvonnan piiriin kuuluvat ja</w:t>
            </w:r>
            <w:r>
              <w:rPr>
                <w:noProof/>
                <w:color w:val="006100"/>
                <w:sz w:val="18"/>
                <w:szCs w:val="18"/>
              </w:rPr>
              <w:t xml:space="preserve"> erittäin tärkeät tullipalvelut kohdennetaan paremmin ja nopeammin.</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192</w:t>
            </w:r>
          </w:p>
        </w:tc>
        <w:tc>
          <w:tcPr>
            <w:tcW w:w="15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highlight w:val="yellow"/>
              </w:rPr>
            </w:pPr>
            <w:r>
              <w:rPr>
                <w:noProof/>
                <w:color w:val="006100"/>
                <w:sz w:val="18"/>
                <w:szCs w:val="18"/>
              </w:rPr>
              <w:t>12 - 4.1. Veroista kasvua edistävä ja verohallinnon ja veronkannon parantaminen – 16611_Verotarkastusten digitalisaatio</w:t>
            </w:r>
          </w:p>
          <w:p w:rsidR="00B0093E" w:rsidRDefault="00B0093E">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Verotarkastukset – MyData ja pankkitiedot</w:t>
            </w:r>
          </w:p>
        </w:tc>
        <w:tc>
          <w:tcPr>
            <w:tcW w:w="18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Julkisten tulojen riippumattoman viranomaisen raportti, jossa todistetaan:</w:t>
            </w:r>
          </w:p>
          <w:p w:rsidR="00B0093E" w:rsidRDefault="00762CA6">
            <w:pPr>
              <w:spacing w:after="0" w:line="240" w:lineRule="auto"/>
              <w:rPr>
                <w:rFonts w:eastAsia="Times New Roman" w:cs="Calibri"/>
                <w:noProof/>
                <w:color w:val="006100"/>
                <w:sz w:val="18"/>
                <w:szCs w:val="18"/>
              </w:rPr>
            </w:pPr>
            <w:r>
              <w:rPr>
                <w:noProof/>
                <w:color w:val="006100"/>
                <w:sz w:val="18"/>
                <w:szCs w:val="18"/>
              </w:rPr>
              <w:t>MyData-järjestelmän täysi aktivointi.</w:t>
            </w:r>
          </w:p>
          <w:p w:rsidR="00B0093E" w:rsidRDefault="00762CA6">
            <w:pPr>
              <w:spacing w:after="0" w:line="240" w:lineRule="auto"/>
              <w:rPr>
                <w:rFonts w:eastAsia="Times New Roman" w:cs="Calibri"/>
                <w:noProof/>
                <w:color w:val="006100"/>
                <w:sz w:val="18"/>
                <w:szCs w:val="18"/>
              </w:rPr>
            </w:pPr>
            <w:r>
              <w:rPr>
                <w:noProof/>
                <w:color w:val="006100"/>
                <w:sz w:val="18"/>
                <w:szCs w:val="18"/>
              </w:rPr>
              <w:t>riippumaton julkisten tulojen virasto saattaa päätökseen kolmansien osapuolten pankkitietojen yhteenliittämistä ja käyttöä koskevan hankkeen.</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17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MyData-järjestelmän aktivoinnin sekä kolmansien osapuolten pankkitietojen yhteenliittämisen ja käytön odotetaan parantavan sitä, että yritykset noudattavat verosääntöjä, julkisista tuloista vastaavan riippumattoman viranomaisen toimintaa julkiste</w:t>
            </w:r>
            <w:r>
              <w:rPr>
                <w:noProof/>
                <w:color w:val="006100"/>
                <w:sz w:val="18"/>
                <w:szCs w:val="18"/>
              </w:rPr>
              <w:t xml:space="preserve">n tulojen keräämisen, valvonnan ja salakuljetuksen torjunnan alalla.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193</w:t>
            </w:r>
          </w:p>
        </w:tc>
        <w:tc>
          <w:tcPr>
            <w:tcW w:w="1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12 - 4.1. Veroista kasvua edistävä ja verohallinnon ja veronkannon parantaminen – 16610_ALV-palautusten nopeuttaminen</w:t>
            </w:r>
          </w:p>
        </w:tc>
        <w:tc>
          <w:tcPr>
            <w:tcW w:w="96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Täysin automatisoidut alv-palautukset – </w:t>
            </w:r>
            <w:r>
              <w:rPr>
                <w:noProof/>
                <w:color w:val="006100"/>
                <w:sz w:val="18"/>
                <w:szCs w:val="18"/>
              </w:rPr>
              <w:t>tietotekniikkajärjestelmän käyttöönotto</w:t>
            </w:r>
          </w:p>
        </w:tc>
        <w:tc>
          <w:tcPr>
            <w:tcW w:w="18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Riippumattoman julkisten tulojen viranomaisen raportti, jossa vahvistetaan uuden tietotekniikkajärjestelmän käyttöönotto.</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17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Täysin automatisoitu alv-palautusmenettely ja verkkoalusta, jonka avulla kaikki </w:t>
            </w:r>
            <w:r>
              <w:rPr>
                <w:noProof/>
                <w:color w:val="006100"/>
                <w:sz w:val="18"/>
                <w:szCs w:val="18"/>
              </w:rPr>
              <w:t>palautuspyynnöt voidaan täyttää sähköisesti, jos ne eivät kuulu tarkastusotokseen riskianalyysiprosessin kautta (vähintään 90 prosenttia kaikista pyynnöistä vuosittain).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194</w:t>
            </w:r>
          </w:p>
        </w:tc>
        <w:tc>
          <w:tcPr>
            <w:tcW w:w="1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12 - 4.1. Veroista tehdään kasvua edistävämpiä ja verohallintoa ja veronkantoa parannetaan </w:t>
            </w:r>
          </w:p>
          <w:p w:rsidR="00B0093E" w:rsidRDefault="00762CA6">
            <w:pPr>
              <w:spacing w:after="0" w:line="240" w:lineRule="auto"/>
              <w:rPr>
                <w:rFonts w:eastAsia="Times New Roman" w:cs="Calibri"/>
                <w:noProof/>
                <w:color w:val="006100"/>
                <w:sz w:val="18"/>
                <w:szCs w:val="18"/>
              </w:rPr>
            </w:pPr>
            <w:r>
              <w:rPr>
                <w:noProof/>
                <w:color w:val="006100"/>
                <w:sz w:val="18"/>
                <w:szCs w:val="18"/>
              </w:rPr>
              <w:t>16611_Verotarkastusten digitaalisaatio</w:t>
            </w:r>
          </w:p>
        </w:tc>
        <w:tc>
          <w:tcPr>
            <w:tcW w:w="96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Verotarkastusten digitalisaation loppuun saattaminen</w:t>
            </w:r>
          </w:p>
        </w:tc>
        <w:tc>
          <w:tcPr>
            <w:tcW w:w="18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Riippumattoman julkisten tulojen viranomaisen raportti, </w:t>
            </w:r>
            <w:r>
              <w:rPr>
                <w:noProof/>
                <w:color w:val="006100"/>
                <w:sz w:val="18"/>
                <w:szCs w:val="18"/>
              </w:rPr>
              <w:t>jossa todistetaan asianhallintafoorumin toimintavalmius.</w:t>
            </w:r>
          </w:p>
          <w:p w:rsidR="00B0093E" w:rsidRDefault="00B0093E">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7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Saatetaan toimintavalmiiksi verotarkastuksia koskeva asianhallintafoorumi, jossa hyödynnetään digitalisaatiota tukevaa liiketoimintatiedustelu-/data-analyysijärjestelmää, jolla pyritään v</w:t>
            </w:r>
            <w:r>
              <w:rPr>
                <w:noProof/>
                <w:color w:val="006100"/>
                <w:sz w:val="18"/>
                <w:szCs w:val="18"/>
              </w:rPr>
              <w:t xml:space="preserve">ahvistamaan julkisten tulojen riippumattoman viranomaisen valmiuksia täyttää velvollisuutensa täysin riippumattomana viranomaisena (julkisia tuloja käsittelevän riippumattoman viranomaisen valtuutuslain 4389/2016 mukaisesti).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195</w:t>
            </w:r>
          </w:p>
        </w:tc>
        <w:tc>
          <w:tcPr>
            <w:tcW w:w="1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12 - 4.1. Veroista tehdään kasvua edistävämpiä ja verohallintoa ja veronkantoa parannetaan </w:t>
            </w:r>
          </w:p>
          <w:p w:rsidR="00B0093E" w:rsidRDefault="00762CA6">
            <w:pPr>
              <w:spacing w:after="0" w:line="240" w:lineRule="auto"/>
              <w:rPr>
                <w:rFonts w:eastAsia="Times New Roman" w:cs="Calibri"/>
                <w:noProof/>
                <w:color w:val="006100"/>
                <w:sz w:val="18"/>
                <w:szCs w:val="18"/>
              </w:rPr>
            </w:pPr>
            <w:r>
              <w:rPr>
                <w:noProof/>
                <w:color w:val="006100"/>
                <w:sz w:val="18"/>
                <w:szCs w:val="18"/>
              </w:rPr>
              <w:t>— 16291_Vero- ja tullihallinnon digitalisaatio</w:t>
            </w:r>
          </w:p>
        </w:tc>
        <w:tc>
          <w:tcPr>
            <w:tcW w:w="96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Riippumattoman julkisten tulojen viraston yhdennetyn tietoteknisen vero- ja tarkastusympäristön ensimmäis</w:t>
            </w:r>
            <w:r>
              <w:rPr>
                <w:noProof/>
                <w:color w:val="006100"/>
                <w:sz w:val="18"/>
                <w:szCs w:val="18"/>
              </w:rPr>
              <w:t xml:space="preserve">en vaiheen suoritteiden loppuun saattaminen osana sen digitalisaatiota </w:t>
            </w:r>
          </w:p>
        </w:tc>
        <w:tc>
          <w:tcPr>
            <w:tcW w:w="18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Riippumattoman julkisten tulojen viranomaisen raportti, jossa vahvistetaan yhdennetyn tietotekniikkaympäristön ensimmäisen vaiheen valmistumisen suoritteet. </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7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Yhdennetyn tietotekniikkaympäristön ensimmäisen vaiheen (TAXIS-, TAXISnet- ja Elenxis-järjestelmien korvaaminen) saattaminen päätökseen, jotta voidaan tukea kaikkia julkisten tulojen riippumattoman viranomaisen henkilöstön, kansalaisten ja yritysten vero- </w:t>
            </w:r>
            <w:r>
              <w:rPr>
                <w:noProof/>
                <w:color w:val="006100"/>
                <w:sz w:val="18"/>
                <w:szCs w:val="18"/>
              </w:rPr>
              <w:t>ja tarkastusmenettelyjä digitalisaation edistämiseksi. Näihin suoritteisiin on sisällyttävä kaikki vaaditut hanketutkimukset, tietokannan täydellinen uudelleensuunnittelu ja toteutus, liitäntöjen tarjoaminen ja ensimmäisen vaiheen osajärjestelmien käyttöön</w:t>
            </w:r>
            <w:r>
              <w:rPr>
                <w:noProof/>
                <w:color w:val="006100"/>
                <w:sz w:val="18"/>
                <w:szCs w:val="18"/>
              </w:rPr>
              <w:t>otto (verorekisteri ja kirjanpito mukaan luettuina). Hankkeella vahvistetaan julkisten tulojen riippumattoman viranomaisen valmiuksia täyttää velvollisuutensa täysin riippumattomana viranomaisena (julkisten tulojen riippumattoman viranomaisen valtuuslain 4</w:t>
            </w:r>
            <w:r>
              <w:rPr>
                <w:noProof/>
                <w:color w:val="006100"/>
                <w:sz w:val="18"/>
                <w:szCs w:val="18"/>
              </w:rPr>
              <w:t xml:space="preserve">389/2016 mukaisesti). </w:t>
            </w:r>
          </w:p>
        </w:tc>
      </w:tr>
      <w:tr w:rsidR="00B0093E">
        <w:trPr>
          <w:trHeight w:val="2307"/>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196</w:t>
            </w:r>
          </w:p>
        </w:tc>
        <w:tc>
          <w:tcPr>
            <w:tcW w:w="15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12 - 4.1. Veroista tehdään kasvua edistävämpiä ja verohallintoa ja veronkantoa parannetaan </w:t>
            </w:r>
          </w:p>
          <w:p w:rsidR="00B0093E" w:rsidRDefault="00762CA6">
            <w:pPr>
              <w:spacing w:after="0" w:line="240" w:lineRule="auto"/>
              <w:rPr>
                <w:rFonts w:eastAsia="Times New Roman" w:cs="Calibri"/>
                <w:noProof/>
                <w:color w:val="006100"/>
                <w:sz w:val="18"/>
                <w:szCs w:val="18"/>
              </w:rPr>
            </w:pPr>
            <w:r>
              <w:rPr>
                <w:noProof/>
                <w:color w:val="006100"/>
                <w:sz w:val="18"/>
                <w:szCs w:val="18"/>
              </w:rPr>
              <w:t>— 16291_Vero- ja tullihallinnon digitalisaatio</w:t>
            </w:r>
          </w:p>
        </w:tc>
        <w:tc>
          <w:tcPr>
            <w:tcW w:w="96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Hyötyajoneuvojen ja konttien valvontajärjestelmän käynnistäminen</w:t>
            </w:r>
          </w:p>
        </w:tc>
        <w:tc>
          <w:tcPr>
            <w:tcW w:w="18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Julkisten tulojen riippumattoman viranomaisen raportti, jossa vahvistetaan </w:t>
            </w:r>
          </w:p>
          <w:p w:rsidR="00B0093E" w:rsidRDefault="00762CA6">
            <w:pPr>
              <w:spacing w:after="0" w:line="240" w:lineRule="auto"/>
              <w:rPr>
                <w:rFonts w:eastAsia="Times New Roman" w:cs="Calibri"/>
                <w:noProof/>
                <w:color w:val="006100"/>
                <w:sz w:val="18"/>
                <w:szCs w:val="18"/>
              </w:rPr>
            </w:pPr>
            <w:r>
              <w:rPr>
                <w:noProof/>
                <w:color w:val="006100"/>
                <w:sz w:val="18"/>
                <w:szCs w:val="18"/>
              </w:rPr>
              <w:t>hyötyajoneuvojen ja konttien valvontajärjestelmän käynnistäminen.</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7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Saatetaan päätökseen hyötyajoneuvojen ja konttien seurantajärjestelmä, joka perustuu esineiden internet</w:t>
            </w:r>
            <w:r>
              <w:rPr>
                <w:noProof/>
                <w:color w:val="006100"/>
                <w:sz w:val="18"/>
                <w:szCs w:val="18"/>
              </w:rPr>
              <w:t>verkkoihin (5G-teknologia), jotta voidaan toteuttaa digitalisaatiota tukevia seurantatoimia, joilla pyritään vahvistamaan julkisten tulojen riippumattoman viranomaisen valmiuksia täyttää velvollisuutensa täysin riippumattomana viranomaisena (julkisten tulo</w:t>
            </w:r>
            <w:r>
              <w:rPr>
                <w:noProof/>
                <w:color w:val="006100"/>
                <w:sz w:val="18"/>
                <w:szCs w:val="18"/>
              </w:rPr>
              <w:t xml:space="preserve">jen riippumattoman viranomaisen mahdollistavan lain 4389/2016 mukaisesti) ottamalla käyttöön hyötyajoneuvot ja konttien valvontajärjestelmä. </w:t>
            </w:r>
          </w:p>
        </w:tc>
      </w:tr>
    </w:tbl>
    <w:p w:rsidR="00B0093E" w:rsidRDefault="00B0093E">
      <w:pPr>
        <w:spacing w:before="120" w:after="120" w:line="240" w:lineRule="auto"/>
        <w:ind w:left="709"/>
        <w:jc w:val="both"/>
        <w:rPr>
          <w:rFonts w:ascii="Times New Roman" w:hAnsi="Times New Roman" w:cs="Times New Roman"/>
          <w:noProof/>
          <w:sz w:val="24"/>
          <w:szCs w:val="24"/>
        </w:rPr>
        <w:sectPr w:rsidR="00B0093E">
          <w:headerReference w:type="even" r:id="rId185"/>
          <w:headerReference w:type="default" r:id="rId186"/>
          <w:footerReference w:type="even" r:id="rId187"/>
          <w:footerReference w:type="default" r:id="rId188"/>
          <w:headerReference w:type="first" r:id="rId189"/>
          <w:footerReference w:type="first" r:id="rId190"/>
          <w:pgSz w:w="16839" w:h="11907" w:orient="landscape"/>
          <w:pgMar w:top="720" w:right="720" w:bottom="720" w:left="720" w:header="709" w:footer="709" w:gutter="0"/>
          <w:cols w:space="720"/>
          <w:docGrid w:linePitch="360"/>
        </w:sect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18: Veropolitiikka</w:t>
      </w:r>
    </w:p>
    <w:p w:rsidR="00B0093E" w:rsidRDefault="00762CA6">
      <w:pPr>
        <w:numPr>
          <w:ilvl w:val="0"/>
          <w:numId w:val="35"/>
        </w:numPr>
        <w:spacing w:before="120" w:after="0" w:line="240" w:lineRule="auto"/>
        <w:jc w:val="both"/>
        <w:rPr>
          <w:rFonts w:ascii="Times New Roman" w:hAnsi="Times New Roman" w:cs="Times New Roman"/>
          <w:noProof/>
        </w:rPr>
      </w:pPr>
      <w:r>
        <w:rPr>
          <w:rFonts w:ascii="Times New Roman" w:hAnsi="Times New Roman"/>
          <w:noProof/>
          <w:sz w:val="24"/>
        </w:rPr>
        <w:t>Verolainsäädännön, -sääntöjen</w:t>
      </w:r>
      <w:r>
        <w:rPr>
          <w:rFonts w:ascii="Times New Roman" w:hAnsi="Times New Roman"/>
          <w:noProof/>
          <w:sz w:val="24"/>
        </w:rPr>
        <w:t xml:space="preserve"> ja -menettelyjen kodifiointi ja yksinkertaistaminen (tunniste: 16643)</w:t>
      </w:r>
    </w:p>
    <w:p w:rsidR="00B0093E" w:rsidRDefault="00762CA6">
      <w:pPr>
        <w:numPr>
          <w:ilvl w:val="0"/>
          <w:numId w:val="35"/>
        </w:numPr>
        <w:spacing w:before="120" w:after="0" w:line="240" w:lineRule="auto"/>
        <w:jc w:val="both"/>
        <w:rPr>
          <w:rFonts w:ascii="Times New Roman" w:hAnsi="Times New Roman" w:cs="Times New Roman"/>
          <w:noProof/>
          <w:sz w:val="24"/>
        </w:rPr>
      </w:pPr>
      <w:r>
        <w:rPr>
          <w:rFonts w:ascii="Times New Roman" w:hAnsi="Times New Roman"/>
          <w:noProof/>
          <w:sz w:val="24"/>
        </w:rPr>
        <w:t>Toimenpiteiden ja kannustimien hyväksyminen sähköisten maksutapahtumien lisäämiseksi (tunniste: 16973)</w:t>
      </w:r>
    </w:p>
    <w:p w:rsidR="00B0093E" w:rsidRDefault="00762CA6">
      <w:pPr>
        <w:numPr>
          <w:ilvl w:val="0"/>
          <w:numId w:val="35"/>
        </w:numPr>
        <w:spacing w:before="120" w:after="0" w:line="240" w:lineRule="auto"/>
        <w:jc w:val="both"/>
        <w:rPr>
          <w:rFonts w:ascii="Times New Roman" w:hAnsi="Times New Roman" w:cs="Times New Roman"/>
          <w:noProof/>
          <w:sz w:val="24"/>
        </w:rPr>
      </w:pPr>
      <w:r>
        <w:rPr>
          <w:rFonts w:ascii="Times New Roman" w:hAnsi="Times New Roman"/>
          <w:noProof/>
          <w:sz w:val="24"/>
        </w:rPr>
        <w:t>Super – vihreää taloutta, energiaa ja digitalisaatiota koskevien pk-yritysten kust</w:t>
      </w:r>
      <w:r>
        <w:rPr>
          <w:rFonts w:ascii="Times New Roman" w:hAnsi="Times New Roman"/>
          <w:noProof/>
          <w:sz w:val="24"/>
        </w:rPr>
        <w:t>annusten vähentäminen (tunniste: 16863)</w:t>
      </w:r>
    </w:p>
    <w:p w:rsidR="00B0093E" w:rsidRDefault="00762CA6">
      <w:pPr>
        <w:numPr>
          <w:ilvl w:val="0"/>
          <w:numId w:val="35"/>
        </w:numPr>
        <w:spacing w:before="120" w:after="120" w:line="240" w:lineRule="auto"/>
        <w:jc w:val="both"/>
        <w:rPr>
          <w:rFonts w:ascii="Times New Roman" w:hAnsi="Times New Roman" w:cs="Times New Roman"/>
          <w:noProof/>
          <w:sz w:val="24"/>
        </w:rPr>
      </w:pPr>
      <w:r>
        <w:rPr>
          <w:rFonts w:ascii="Times New Roman" w:hAnsi="Times New Roman"/>
          <w:noProof/>
          <w:sz w:val="24"/>
        </w:rPr>
        <w:t>Kannustinjärjestelmä tuottavuuden lisäämiseksi ja yritysten suuntautumiselle ulospäin (yritysten koon kasvattaminen) (tunniste: 16598)</w:t>
      </w:r>
    </w:p>
    <w:tbl>
      <w:tblPr>
        <w:tblW w:w="15871" w:type="dxa"/>
        <w:jc w:val="center"/>
        <w:tblLook w:val="04A0" w:firstRow="1" w:lastRow="0" w:firstColumn="1" w:lastColumn="0" w:noHBand="0" w:noVBand="1"/>
      </w:tblPr>
      <w:tblGrid>
        <w:gridCol w:w="1027"/>
        <w:gridCol w:w="2309"/>
        <w:gridCol w:w="1626"/>
        <w:gridCol w:w="2112"/>
        <w:gridCol w:w="2772"/>
        <w:gridCol w:w="1247"/>
        <w:gridCol w:w="966"/>
        <w:gridCol w:w="1006"/>
        <w:gridCol w:w="1387"/>
        <w:gridCol w:w="708"/>
        <w:gridCol w:w="4830"/>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137"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w:t>
            </w:r>
            <w:r>
              <w:rPr>
                <w:rFonts w:ascii="Times New Roman" w:hAnsi="Times New Roman"/>
                <w:b/>
                <w:bCs/>
                <w:noProof/>
                <w:sz w:val="18"/>
                <w:szCs w:val="18"/>
              </w:rPr>
              <w:t xml:space="preserve"> indikaattorit </w:t>
            </w:r>
            <w:r>
              <w:rPr>
                <w:rFonts w:ascii="Times New Roman" w:hAnsi="Times New Roman"/>
                <w:noProof/>
                <w:sz w:val="24"/>
              </w:rPr>
              <w:br/>
            </w:r>
            <w:r>
              <w:rPr>
                <w:rFonts w:ascii="Times New Roman" w:hAnsi="Times New Roman"/>
                <w:b/>
                <w:bCs/>
                <w:noProof/>
                <w:sz w:val="18"/>
                <w:szCs w:val="18"/>
              </w:rPr>
              <w:t>(välitavoitteiden osalta)</w:t>
            </w:r>
          </w:p>
        </w:tc>
        <w:tc>
          <w:tcPr>
            <w:tcW w:w="2391"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noProof/>
                <w:sz w:val="24"/>
              </w:rPr>
              <w:br/>
            </w:r>
            <w:r>
              <w:rPr>
                <w:rFonts w:ascii="Times New Roman" w:hAnsi="Times New Roman"/>
                <w:b/>
                <w:bCs/>
                <w:noProof/>
                <w:sz w:val="18"/>
                <w:szCs w:val="18"/>
              </w:rPr>
              <w:t>(tavoitteiden osalta)</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8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7"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66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93"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197</w:t>
            </w:r>
          </w:p>
          <w:p w:rsidR="00B0093E" w:rsidRDefault="00B0093E">
            <w:pPr>
              <w:rPr>
                <w:rFonts w:eastAsia="Times New Roman" w:cs="Calibri"/>
                <w:noProof/>
                <w:sz w:val="18"/>
                <w:szCs w:val="18"/>
                <w:lang w:eastAsia="en-GB"/>
              </w:rPr>
            </w:pPr>
          </w:p>
          <w:p w:rsidR="00B0093E" w:rsidRDefault="00B0093E">
            <w:pPr>
              <w:spacing w:after="0" w:line="240" w:lineRule="auto"/>
              <w:rPr>
                <w:rFonts w:eastAsia="Times New Roman" w:cs="Calibri"/>
                <w:noProof/>
                <w:color w:val="006100"/>
                <w:sz w:val="18"/>
                <w:szCs w:val="18"/>
                <w:lang w:eastAsia="en-GB"/>
              </w:rPr>
            </w:pPr>
          </w:p>
        </w:tc>
        <w:tc>
          <w:tcPr>
            <w:tcW w:w="183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12 - 4.1. Veroista tehdään kasvua edistäviä ja verohallintoa ja veronkantoa parannetaan – 16863_Super – vihreää taloutta, energiaa ja digitaalista siirtymää koskevien menojen vähentäminen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Pk-yritysten vihreisiin ja digitaalisiin investointeihi</w:t>
            </w:r>
            <w:r>
              <w:rPr>
                <w:noProof/>
                <w:color w:val="006100"/>
                <w:sz w:val="18"/>
                <w:szCs w:val="18"/>
              </w:rPr>
              <w:t>n liittyvä ylimääräinen vähennys</w:t>
            </w:r>
          </w:p>
        </w:tc>
        <w:tc>
          <w:tcPr>
            <w:tcW w:w="198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Pk-yritysten vihreiden ja digitaalisten investointien supervähennystä koskevan primaari- ja sekundaarilainsäädännön voimaantulo</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83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Primaarioikeuden ja johdetun oikeuden voimaantulo vihreään talouteen ja digitalisointiin liittyvien pk-yritysten kustannusten ylimääräisen verovähennyksen käyttöön ottamiseksi </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198</w:t>
            </w:r>
          </w:p>
        </w:tc>
        <w:tc>
          <w:tcPr>
            <w:tcW w:w="183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12 - 4.1. Veroista kasvua suosivampi ja verohallinnon ja veronkannon paran</w:t>
            </w:r>
            <w:r>
              <w:rPr>
                <w:noProof/>
                <w:color w:val="006100"/>
                <w:sz w:val="18"/>
                <w:szCs w:val="18"/>
              </w:rPr>
              <w:t>taminen – 16616_toimenpiteiden ja kannustimien hyväksyminen sähköisten transaktioiden lisäämiseksi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Sähköisiä maksutapahtumia edistävä lainsäädäntö</w:t>
            </w:r>
          </w:p>
        </w:tc>
        <w:tc>
          <w:tcPr>
            <w:tcW w:w="198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Primaari- ja sekundaarilainsäädännön voimaantulo, joka kannustaa sähköisten maksutapahtumien tehostamiseen </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83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Sellaisten ensisijaisten ja sekundaaristen oikeudellisten puitteiden muutoksen voimaantulo, jotka tarjoavat erityiskannustimia sähköisten transaktioiden tehostamiseen </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199</w:t>
            </w:r>
          </w:p>
        </w:tc>
        <w:tc>
          <w:tcPr>
            <w:tcW w:w="183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12 - 4.1. Veroista kasvua edistävä ja verohallinnon ja veronkannon parantaminen – </w:t>
            </w:r>
            <w:r>
              <w:rPr>
                <w:noProof/>
                <w:color w:val="006100"/>
                <w:sz w:val="18"/>
                <w:szCs w:val="18"/>
              </w:rPr>
              <w:t>16643_Verolainsäädännön kodifiointi ja yksinkertaistaminen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Luettelo verokodifikaatiosta</w:t>
            </w:r>
          </w:p>
        </w:tc>
        <w:tc>
          <w:tcPr>
            <w:tcW w:w="198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Sekundaarilainsäädännön julkaiseminen, komiteoiden perustaminen ja aikataulu verotuksen kodifiointia varten.</w:t>
            </w:r>
          </w:p>
          <w:p w:rsidR="00B0093E" w:rsidRDefault="00B0093E">
            <w:pPr>
              <w:spacing w:after="0" w:line="240" w:lineRule="auto"/>
              <w:rPr>
                <w:rFonts w:eastAsia="Times New Roman" w:cs="Calibri"/>
                <w:noProof/>
                <w:color w:val="006100"/>
                <w:sz w:val="18"/>
                <w:szCs w:val="18"/>
                <w:lang w:eastAsia="en-GB"/>
              </w:rPr>
            </w:pP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83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Kattava luettelo verokodifioinnin suoritteista, mukaan lukien asiaankuuluvien komiteoiden perustaminen, valtiovarainministeriön ja IAPR:n yksityiskohtainen aikataulu verolainsäädännön kodifiointia ja kuulemisjärjestelyjä varten. </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200</w:t>
            </w:r>
          </w:p>
        </w:tc>
        <w:tc>
          <w:tcPr>
            <w:tcW w:w="183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18 - 4.7. </w:t>
            </w:r>
            <w:r>
              <w:rPr>
                <w:noProof/>
                <w:color w:val="006100"/>
                <w:sz w:val="18"/>
                <w:szCs w:val="18"/>
              </w:rPr>
              <w:t>Kilpailukyvyn parantaminen ja yksityisten investointien ja kaupan edistäminen – 16598_Kannustinjärjestelmä tuottavuuden lisäämiseksi ja yritysten suuntautumiselle ulospäin (yritysten koon kasvattaminen)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Lainsäädäntöehdotus yritysten ulospäin su</w:t>
            </w:r>
            <w:r>
              <w:rPr>
                <w:noProof/>
                <w:color w:val="006100"/>
                <w:sz w:val="18"/>
                <w:szCs w:val="18"/>
              </w:rPr>
              <w:t>untautumisen edistämiseksi</w:t>
            </w:r>
          </w:p>
        </w:tc>
        <w:tc>
          <w:tcPr>
            <w:tcW w:w="198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Primaari- ja sekundaarilainsäädäntöluonnokset yritysten ulospäin suuntautumisen edistämiseksi. </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83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Lausuntopyynnöt primaari- ja sekundaarilainsäädännöstä, jolla parannetaan verotusta, rahoitusta ja toimilupia koskevia </w:t>
            </w:r>
            <w:r>
              <w:rPr>
                <w:noProof/>
                <w:color w:val="006100"/>
                <w:sz w:val="18"/>
                <w:szCs w:val="18"/>
              </w:rPr>
              <w:t>oikeudellisia puitteita ja kannustetaan sulautumia, yhtiömuodon muutoksia ja yritysostoja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201</w:t>
            </w:r>
          </w:p>
        </w:tc>
        <w:tc>
          <w:tcPr>
            <w:tcW w:w="183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18 - 4.7. Kilpailukyvyn parantaminen ja yksityisten investointien ja kaupan edistäminen – 16598_Kannustinjärjestelmä tuottavuuden lisäämiseksi ja yritysten </w:t>
            </w:r>
            <w:r>
              <w:rPr>
                <w:noProof/>
                <w:color w:val="006100"/>
                <w:sz w:val="18"/>
                <w:szCs w:val="18"/>
              </w:rPr>
              <w:t>suuntautumiselle ulospäin (yritysten koon kasvattaminen)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Yritysten ulospäin suuntautumista edistävä lainsäädäntö</w:t>
            </w:r>
          </w:p>
        </w:tc>
        <w:tc>
          <w:tcPr>
            <w:tcW w:w="198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Yritysten ulospäin suuntautumista edistävän lainsäädännön voimaantulo</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83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Verotukseen, rahoitukseen ja toimilupiin sekä </w:t>
            </w:r>
            <w:r>
              <w:rPr>
                <w:noProof/>
                <w:color w:val="006100"/>
                <w:sz w:val="18"/>
                <w:szCs w:val="18"/>
              </w:rPr>
              <w:t>sulautumisiin, yhtiömuodon muutoksiin ja yritysostoihin kannustavien oikeudellisten puitteiden parantamiseksi tehtyjen muutosten voimaantulo</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w:t>
            </w:r>
          </w:p>
        </w:tc>
        <w:tc>
          <w:tcPr>
            <w:tcW w:w="183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4.1. Veroista kasvua edistävä ja verohallinnon ja veronkannon parantaminen – 16643_Verolainsäädännön kodifiointi ja yksinkertaistaminen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Verotuksen kodifiointivalmiuksien lisääminen</w:t>
            </w:r>
          </w:p>
        </w:tc>
        <w:tc>
          <w:tcPr>
            <w:tcW w:w="198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Sekundaarilainsäädännön julkaiseminen verokodifiointiyksikön p</w:t>
            </w:r>
            <w:r>
              <w:rPr>
                <w:noProof/>
                <w:color w:val="006100"/>
                <w:sz w:val="18"/>
                <w:szCs w:val="18"/>
              </w:rPr>
              <w:t>erustamiseksi valtiovarainministeriön ja palvelujen tarjoamisen osastoon IAPR:ssä.</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83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Perustetaan valtiovarainministeriöön erityinen veroyksikkö, joka vastaa primaariverolainsäädännön ja ministeriöiden päätösten konsolidoinnista ja </w:t>
            </w:r>
            <w:r>
              <w:rPr>
                <w:noProof/>
                <w:color w:val="006100"/>
                <w:sz w:val="18"/>
                <w:szCs w:val="18"/>
              </w:rPr>
              <w:t>johdonmukaisuudesta. Perustetaan IAPR:hen palvelutarjontaosasto, jonka tehtävänä on muun muassa konsolidoida sekundaarilainsäädäntö, koordinoida IAPR:n toimivaltuuksia verotusmenettelysääntöjen osalta sekä päivittää ja ylläpitää julkista verotietokantaa.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203</w:t>
            </w:r>
          </w:p>
        </w:tc>
        <w:tc>
          <w:tcPr>
            <w:tcW w:w="183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12 - 4.1. Veroista kasvua edistävä ja verohallinnon ja veronkannon parantaminen – 16643_Verolainsäädännön kodifiointi ja yksinkertaistaminen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Tulovero- ja verotusmenettelykoodien kodifiointi</w:t>
            </w:r>
          </w:p>
        </w:tc>
        <w:tc>
          <w:tcPr>
            <w:tcW w:w="198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Tuloverolain ja verohallinnon kodifioidun </w:t>
            </w:r>
            <w:r>
              <w:rPr>
                <w:noProof/>
                <w:color w:val="006100"/>
                <w:sz w:val="18"/>
                <w:szCs w:val="18"/>
              </w:rPr>
              <w:t>primaari- ja sekundaarilainsäädännön hyväksyminen</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83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Kodifioidun tuloverolain ja verohallinnon lain (primaari- ja sekundaarilainsäädäntö) antaminen lainsäädännön yksinkertaistamiseksi ja ajantasaistamiseksi digitalisaation ja EU:n parhaiden </w:t>
            </w:r>
            <w:r>
              <w:rPr>
                <w:noProof/>
                <w:color w:val="006100"/>
                <w:sz w:val="18"/>
                <w:szCs w:val="18"/>
              </w:rPr>
              <w:t>käytäntöjen valossa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204</w:t>
            </w:r>
          </w:p>
        </w:tc>
        <w:tc>
          <w:tcPr>
            <w:tcW w:w="183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12 - 4.1. Veroista kasvua edistävä ja verohallinnon ja veronkannon parantaminen – 16643_Verolainsäädännön kodifiointi ja yksinkertaistaminen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Ensimmäisen verokoodeksin ja veronmaksajien tietojärjestelmän valmiiksi </w:t>
            </w:r>
            <w:r>
              <w:rPr>
                <w:noProof/>
                <w:color w:val="006100"/>
                <w:sz w:val="18"/>
                <w:szCs w:val="18"/>
              </w:rPr>
              <w:t>saattaminen</w:t>
            </w:r>
          </w:p>
        </w:tc>
        <w:tc>
          <w:tcPr>
            <w:tcW w:w="198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 1. Kodifioidun primaari- ja sekundaarilainsäädännön hyväksyminen. 2. Esitettävä maksutositteet ja kodifiointi-investointien tarkastusten tulokset.</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b: 1. Johdetun oikeuden julkaiseminen ja kattava opas, jossa on linkit </w:t>
            </w:r>
            <w:r>
              <w:rPr>
                <w:noProof/>
                <w:color w:val="006100"/>
                <w:sz w:val="18"/>
                <w:szCs w:val="18"/>
              </w:rPr>
              <w:t>sisällönhallintajärjestelmään ja veronmaksajien verkkosivustoon.</w:t>
            </w:r>
          </w:p>
          <w:p w:rsidR="00B0093E" w:rsidRDefault="00762CA6">
            <w:pPr>
              <w:spacing w:after="0" w:line="240" w:lineRule="auto"/>
              <w:rPr>
                <w:rFonts w:eastAsia="Times New Roman" w:cs="Calibri"/>
                <w:noProof/>
                <w:color w:val="006100"/>
                <w:sz w:val="18"/>
                <w:szCs w:val="18"/>
              </w:rPr>
            </w:pPr>
            <w:r>
              <w:rPr>
                <w:noProof/>
                <w:color w:val="006100"/>
                <w:sz w:val="18"/>
                <w:szCs w:val="18"/>
              </w:rPr>
              <w:t>2. Esittää maksutositteet ja CMS-investointien tarkastusten tulokset</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6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83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 Perus- ja sekundäärilainsäädännön kodifiointi lainsäädännön yksinkertaistamiseksi ja ajantasaistamiseksi dig</w:t>
            </w:r>
            <w:r>
              <w:rPr>
                <w:noProof/>
                <w:color w:val="006100"/>
                <w:sz w:val="18"/>
                <w:szCs w:val="18"/>
              </w:rPr>
              <w:t>italisaation ja EU:n parhaiden käytäntöjen perusteella, mukaan lukien seuraavat:</w:t>
            </w:r>
          </w:p>
          <w:p w:rsidR="00B0093E" w:rsidRDefault="00762CA6">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Alv-koodi</w:t>
            </w:r>
          </w:p>
          <w:p w:rsidR="00B0093E" w:rsidRDefault="00762CA6">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Leimavero</w:t>
            </w:r>
          </w:p>
          <w:p w:rsidR="00B0093E" w:rsidRDefault="00762CA6">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Kiinteistöverot</w:t>
            </w:r>
          </w:p>
          <w:p w:rsidR="00B0093E" w:rsidRDefault="00762CA6">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Valtion saatavien perintä (KEDE)</w:t>
            </w:r>
          </w:p>
          <w:p w:rsidR="00B0093E" w:rsidRDefault="00762CA6">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Kansallinen tullikoodeksi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b. Sisältöjen hallintajärjestelmän ja veronmaksajien tietoja varten tarkoitetun </w:t>
            </w:r>
            <w:r>
              <w:rPr>
                <w:noProof/>
                <w:color w:val="006100"/>
                <w:sz w:val="18"/>
                <w:szCs w:val="18"/>
              </w:rPr>
              <w:t>verkkosivuston perustaminen.</w:t>
            </w:r>
          </w:p>
        </w:tc>
      </w:tr>
    </w:tbl>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91"/>
          <w:headerReference w:type="default" r:id="rId192"/>
          <w:footerReference w:type="even" r:id="rId193"/>
          <w:footerReference w:type="default" r:id="rId194"/>
          <w:headerReference w:type="first" r:id="rId195"/>
          <w:footerReference w:type="first" r:id="rId196"/>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 xml:space="preserve">M. KOMPONENTTI 4.2: NYKYAIKAISTETAAN JULKISHALLINTOA MUUN MUASSA NOPEUTTAMALLA JULKISTEN INVESTOINTIEN TOTEUTTAMISTA, PARANTAMALLA JULKISTEN HANKINTOJEN KEHYSTÄ, </w:t>
      </w:r>
      <w:r>
        <w:rPr>
          <w:rFonts w:ascii="Times New Roman" w:hAnsi="Times New Roman"/>
          <w:b/>
          <w:bCs/>
          <w:noProof/>
          <w:sz w:val="24"/>
        </w:rPr>
        <w:t>TOTEUTTAMALLA VALMIUKSIEN KEHITTÄMISTOIMIA JA TORJUMALLA KORRUPTIOTA.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Kreikan elpymis- ja palautumissuunnitelman tähän komponenttiin sisältyy useita laaja-alaisia uudistuksia ja julkishallinnon toimintaan tehtäviä investointeja, joilla pyritään parantamaan</w:t>
      </w:r>
      <w:r>
        <w:rPr>
          <w:rFonts w:ascii="Times New Roman" w:hAnsi="Times New Roman"/>
          <w:noProof/>
          <w:sz w:val="24"/>
        </w:rPr>
        <w:t xml:space="preserve"> politiikan suunnittelua ja täytäntöönpanoa. Komponenttiin sisältyy toimenpiteitä julkishallinnon nykyaikaistamiseksi erityistoimilla, joilla vahvistetaan politiikan suunnittelua ja koordinointia sekä henkilöstöhallintoa. Muilla toimenpiteillä pyritään puu</w:t>
      </w:r>
      <w:r>
        <w:rPr>
          <w:rFonts w:ascii="Times New Roman" w:hAnsi="Times New Roman"/>
          <w:noProof/>
          <w:sz w:val="24"/>
        </w:rPr>
        <w:t>ttumaan hankkeiden puutteelliseen valmistautumiseen julkisiin investointeihin (mukaan lukien korruptio) ja parantamaan edelleen julkisen varainhoidon alaa. Näillä uudistuksilla ja investoinneilla tuetaan a) digitaaliseen julkishallintoon liittyvien haastei</w:t>
      </w:r>
      <w:r>
        <w:rPr>
          <w:rFonts w:ascii="Times New Roman" w:hAnsi="Times New Roman"/>
          <w:noProof/>
          <w:sz w:val="24"/>
        </w:rPr>
        <w:t>den ratkaisemista. Tällä komponentilla tuetaan maakohtaisia suosituksia julkisista ja yksityisistä investoinneista (maakohtainen suositus 3 2020) ja rakenneuudistuksia talouden toiminnan parantamiseksi (maakohtainen suositus 4 2020). Minkään tähän osa-alue</w:t>
      </w:r>
      <w:r>
        <w:rPr>
          <w:rFonts w:ascii="Times New Roman" w:hAnsi="Times New Roman"/>
          <w:noProof/>
          <w:sz w:val="24"/>
        </w:rPr>
        <w:t>eseen kuuluvan toimenpiteen ei odoteta aiheuttavan merkittävää haittaa asetuksen (EU) 2020/852 17 artiklassa tarkoitetuille ympäristötavoitteille, kun otetaan huomioon elpymis- ja palautumissuunnitelmassa esitettyjen toimenpiteiden kuvaus ja lieventävät to</w:t>
      </w:r>
      <w:r>
        <w:rPr>
          <w:rFonts w:ascii="Times New Roman" w:hAnsi="Times New Roman"/>
          <w:noProof/>
          <w:sz w:val="24"/>
        </w:rPr>
        <w:t>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M.1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Julkishallinnon uudistaminen (toimenpiteen tunniste 1</w:t>
      </w:r>
      <w:r>
        <w:rPr>
          <w:rFonts w:ascii="Times New Roman" w:hAnsi="Times New Roman"/>
          <w:noProof/>
          <w:sz w:val="24"/>
        </w:rPr>
        <w:t>6972)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jatkaa julkishallinnon nykyaikaistamista ja investoida sen henkilöresursseihin toteuttamalla seuraavat toimet:</w:t>
      </w:r>
    </w:p>
    <w:p w:rsidR="00B0093E" w:rsidRDefault="00762CA6">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Tarkistetun lainsäädäntökehyksen voimaantulo, jotta voidaan virtaviivaistaa vastuunjakoa keskus-, alue- ja paika</w:t>
      </w:r>
      <w:r>
        <w:rPr>
          <w:rFonts w:ascii="Times New Roman" w:hAnsi="Times New Roman"/>
          <w:noProof/>
          <w:sz w:val="24"/>
        </w:rPr>
        <w:t xml:space="preserve">llistasolla sekä asiaan liittyviä hallintokehyksiä; </w:t>
      </w:r>
    </w:p>
    <w:p w:rsidR="00B0093E" w:rsidRDefault="00762CA6">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Luodaan tekoälyyn perustuvaa välinettä hyödyntävä strateginen työvoimasuunnittelukehys; </w:t>
      </w:r>
    </w:p>
    <w:p w:rsidR="00B0093E" w:rsidRDefault="00762CA6">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Nykyaikaistetaan rekrytointimenettelyjä ajantasaistetun valtuutuslain (laki 4765/2021) perusteella, jotta ylin siv</w:t>
      </w:r>
      <w:r>
        <w:rPr>
          <w:rFonts w:ascii="Times New Roman" w:hAnsi="Times New Roman"/>
          <w:noProof/>
          <w:sz w:val="24"/>
        </w:rPr>
        <w:t>iilihenkilöstön valintaneuvosto (ASEP) voi toteuttaa valintamenettelyt täysin digitalisoidulla tavalla;</w:t>
      </w:r>
    </w:p>
    <w:p w:rsidR="00B0093E" w:rsidRDefault="00762CA6">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Julkishallinnon täydennyskoulutus/uudelleenkoulutus vähintään 250 000 virkamiehen osalta; </w:t>
      </w:r>
    </w:p>
    <w:p w:rsidR="00B0093E" w:rsidRDefault="00762CA6">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Otetaan käyttöön virkamiesten palkitsemisjärjestelmä, joka li</w:t>
      </w:r>
      <w:r>
        <w:rPr>
          <w:rFonts w:ascii="Times New Roman" w:hAnsi="Times New Roman"/>
          <w:noProof/>
          <w:sz w:val="24"/>
        </w:rPr>
        <w:t xml:space="preserve">ittyy tavoitteiden asettamiseen perustuvaan hallintojärjestelmään, jonka on oltava täysin yhdenmukainen yhtenäisen palkkataulukon (laki 4354/2015) kanssa, mutta jossa ei säädetä poikkeuksista. Enintään 6 000 virkamiestä käsittävän kokeiluhankkeen tulosten </w:t>
      </w:r>
      <w:r>
        <w:rPr>
          <w:rFonts w:ascii="Times New Roman" w:hAnsi="Times New Roman"/>
          <w:noProof/>
          <w:sz w:val="24"/>
        </w:rPr>
        <w:t>on edistettävä laajempaa tutkimusta, jolla ohjataan 31 päivään joulukuuta 2023 mennessä käyttöön otettavaa palkitsemisjärjestelmää.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Laittoman kaupan torjunta sekä teollis- ja tek</w:t>
      </w:r>
      <w:r>
        <w:rPr>
          <w:rFonts w:ascii="Times New Roman" w:hAnsi="Times New Roman"/>
          <w:noProof/>
          <w:sz w:val="24"/>
        </w:rPr>
        <w:t>ijänoikeuksien suojelu (toimenpiteen tunniste 16703)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tehostamaan laittoman kaupan torjuntaa vahvistamalla viranomaisten välistä markkinavalvonnan yksikköä (DIMEA) henkilöstön koulutuksen, asianmukaisten tietoteknisten järjestelmien j</w:t>
      </w:r>
      <w:r>
        <w:rPr>
          <w:rFonts w:ascii="Times New Roman" w:hAnsi="Times New Roman"/>
          <w:noProof/>
          <w:sz w:val="24"/>
        </w:rPr>
        <w:t>a laitteiden avulla.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Kansallisen korruptiontorjuntakehyksen vahvistaminen (toimenpiteen tunniste 16952)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havaitsemaan ja ehkäisemään korruptiota, ja se koos</w:t>
      </w:r>
      <w:r>
        <w:rPr>
          <w:rFonts w:ascii="Times New Roman" w:hAnsi="Times New Roman"/>
          <w:noProof/>
          <w:sz w:val="24"/>
        </w:rPr>
        <w:t>tuu seuraavista toimista, jotka kansallisen avoimuusviranomaisen on toteutettava: petosten ja korruption havaitsemista koskevan tarkastuskehyksen vahvistaminen; sääntelytoimet keskeisillä politiikan aloilla, joita ovat väärinkäytösten paljastajien suojelu,</w:t>
      </w:r>
      <w:r>
        <w:rPr>
          <w:rFonts w:ascii="Times New Roman" w:hAnsi="Times New Roman"/>
          <w:noProof/>
          <w:sz w:val="24"/>
        </w:rPr>
        <w:t xml:space="preserve"> lobbaus ja eturistiriidat; sisäisen valvonnan järjestelmän vahvistaminen ja julkishallinnon lahjomattomuutta edistävien neuvonantajien kansallisen verkoston perustaminen; eettisten ja deontologisten säännöstöjen kehittäminen ja kurinpitomenettelyjen tarki</w:t>
      </w:r>
      <w:r>
        <w:rPr>
          <w:rFonts w:ascii="Times New Roman" w:hAnsi="Times New Roman"/>
          <w:noProof/>
          <w:sz w:val="24"/>
        </w:rPr>
        <w:t>staminen; aloitteet, joilla lisätään tietoisuutta petoksista ja korruptiosta; kansallisen korruptionvastaisen toimintasuunnitelman hyväksyminen vuosiksi 2022-2025; ja vii) hankkeet, joilla rahoitetaan viraston digitaalisia valmiuksia ja infrastruktuurivalm</w:t>
      </w:r>
      <w:r>
        <w:rPr>
          <w:rFonts w:ascii="Times New Roman" w:hAnsi="Times New Roman"/>
          <w:noProof/>
          <w:sz w:val="24"/>
        </w:rPr>
        <w:t>iuksia.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Valtiontukiverkoston parantaminen (toimenpiteen tunniste 16701)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tarkistetaan Kreikan valtiontukilainsäädäntöä ja vahvistetaan ministeriöiden valtiontukiyksi</w:t>
      </w:r>
      <w:r>
        <w:rPr>
          <w:rFonts w:ascii="Times New Roman" w:hAnsi="Times New Roman"/>
          <w:noProof/>
          <w:sz w:val="24"/>
        </w:rPr>
        <w:t>köiden verkoston valmiuksia pääasiassa päivittämällä valtiontukien keskustietojärjestelmää, jolla perustetaan digitaalisten valtiontukitapausten kirjasto, intranet-viestintäalusta ja data-analytiikkavälineet. Uudistus on määrä toteuttaa viimeistään 31 päiv</w:t>
      </w:r>
      <w:r>
        <w:rPr>
          <w:rFonts w:ascii="Times New Roman" w:hAnsi="Times New Roman"/>
          <w:noProof/>
          <w:sz w:val="24"/>
        </w:rPr>
        <w:t>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Rahanpesun ja terrorismin rahoituksen torjuntakehyksen parantaminen (toimenpiteen tunniste 16702)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koskee rahanpesun torjuntaan ja terrorismin rahoituksen torjuntaan liittyvien sovellettavien säädösten täytäntöönpanoa</w:t>
      </w:r>
      <w:r>
        <w:rPr>
          <w:rFonts w:ascii="Times New Roman" w:hAnsi="Times New Roman"/>
          <w:noProof/>
          <w:sz w:val="24"/>
        </w:rPr>
        <w:t xml:space="preserve"> talousrikollisuuden torjunnan yhteydessä. Siihen kuuluu digitaalisen alustan perustaminen oikeus-, valvonta- ja lainvalvontaviranomaisten hallussa olevien tilastotietojen keräämistä varten ja tosiasiallista omistajaa ja edunsaajaa koskevien tietojen kirja</w:t>
      </w:r>
      <w:r>
        <w:rPr>
          <w:rFonts w:ascii="Times New Roman" w:hAnsi="Times New Roman"/>
          <w:noProof/>
          <w:sz w:val="24"/>
        </w:rPr>
        <w:t>amiseen tarkoitetun erityisen rekisterin parantaminen. Uudistuksen täytäntöönpano on määrä saattaa päätökseen viimeistään 30 päivänä kesäkuuta 2023.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Tilinpäätösuudistus (toimenpiteen tunniste 16974)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toteutetaan asteittainen siirtymi</w:t>
      </w:r>
      <w:r>
        <w:rPr>
          <w:rFonts w:ascii="Times New Roman" w:hAnsi="Times New Roman"/>
          <w:noProof/>
          <w:sz w:val="24"/>
        </w:rPr>
        <w:t>nen muunnetuista käteisvaroista suoriteperusteiseen kirjanpitoon ja konsolidoituun tilinpäätökseen julkisyhteisöjen sisällä. Siihen sisältyy suoriteperusteisen kirjanpidon periaatteiden hyväksyminen, asiaankuuluvan henkilöstön koulutus sekä valtion yritysr</w:t>
      </w:r>
      <w:r>
        <w:rPr>
          <w:rFonts w:ascii="Times New Roman" w:hAnsi="Times New Roman"/>
          <w:noProof/>
          <w:sz w:val="24"/>
        </w:rPr>
        <w:t>esurssien suunnittelu ja käyttöönotto. Uuden tietojärjestelmän tavoitteena on laajentaa ja kehittää nykyistä finanssipolitiikan yhdennettyä tietojärjestelmää (OPSDP) keskushallinnon julkisen varainhoidon tarpeisiin vastaamiseksi. Tuloksena on uusi integroi</w:t>
      </w:r>
      <w:r>
        <w:rPr>
          <w:rFonts w:ascii="Times New Roman" w:hAnsi="Times New Roman"/>
          <w:noProof/>
          <w:sz w:val="24"/>
        </w:rPr>
        <w:t>tu varainhoidon tietojärjestelmä (GOV-ERP).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Nykyaikaiset institutionaaliset puitteet valtion omistamille yrityksille (toimenpiteen tunniste 16657)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Uudistuksella luodaan </w:t>
      </w:r>
      <w:r>
        <w:rPr>
          <w:rFonts w:ascii="Times New Roman" w:hAnsi="Times New Roman"/>
          <w:noProof/>
          <w:sz w:val="24"/>
        </w:rPr>
        <w:t>nykyaikaiset oikeudelliset puitteet julkisten yritysten ja organisaatioiden toiminnalle ja johtamiselle. Se määrittelee hallinnointi- ja ohjausjärjestelmää koskevat suuntaviivat ja valtionyhtiöiden johtamista koskevat erityissäännöt, kuten hallituksen nimi</w:t>
      </w:r>
      <w:r>
        <w:rPr>
          <w:rFonts w:ascii="Times New Roman" w:hAnsi="Times New Roman"/>
          <w:noProof/>
          <w:sz w:val="24"/>
        </w:rPr>
        <w:t>ttämät puheenjohtajat, toimitusjohtajat ja toimitusjohtajat, sekä säännökset sisäisten tarkastuskomiteoiden perustamisesta avoimuuden varmistamiseksi. Uudistuksella perustetaan myös digitaalinen rekisteri, johon kirjataan kaikki yritykset, organisaatiot ja</w:t>
      </w:r>
      <w:r>
        <w:rPr>
          <w:rFonts w:ascii="Times New Roman" w:hAnsi="Times New Roman"/>
          <w:noProof/>
          <w:sz w:val="24"/>
        </w:rPr>
        <w:t xml:space="preserve"> muut oikeushenkilöt, joihin valtio osallistuu, ja edistetään valtion osallistumisen tehokasta seurantaa ja valvontaa. Uudistus on määrä toteuttaa viimeistään 31 päivänä joulukuuta 2022.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Tehokas korruption torjunta (toimenpiteen tunniste 16978)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tehdään useita muutoksia Kreikan oikeudelliseen kehykseen, jotta voidaan parantaa korruption vastaisia oikeudellisia toimia. Tarkemmin sanottuna se kattaa neljä alaa: varallisuusilmoitukset; unionin oikeuden rikkomisesta ilmoittavien henkilöi</w:t>
      </w:r>
      <w:r>
        <w:rPr>
          <w:rFonts w:ascii="Times New Roman" w:hAnsi="Times New Roman"/>
          <w:noProof/>
          <w:sz w:val="24"/>
        </w:rPr>
        <w:t>den suojelu; rikoslaki ja rikosprosessilaki; ja iv) poliittisia puolueita koskevan lainsäädännön kodifiointi. Uudistus on määrä toteuttaa viimeistään 30 päivänä syyskuuta 2022.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Verohallinnon ja varainhoidon valvonnan muuttaminen hallinnon ja </w:t>
      </w:r>
      <w:r>
        <w:rPr>
          <w:rFonts w:ascii="Times New Roman" w:hAnsi="Times New Roman"/>
          <w:noProof/>
          <w:sz w:val="24"/>
        </w:rPr>
        <w:t>sähköisen laskutuksen osalta (toimenpiteen tunniste 16705)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parannetaan julkisen varainhoidon tehokkuutta a) perustamalla keskushallintoa varten uusin ja täysin toimiva valtion yritysresurssien suunnittelujärjestelmä (ERP); julkisyhteisöjen y</w:t>
      </w:r>
      <w:r>
        <w:rPr>
          <w:rFonts w:ascii="Times New Roman" w:hAnsi="Times New Roman"/>
          <w:noProof/>
          <w:sz w:val="24"/>
        </w:rPr>
        <w:t>ksiköiden ERP-järjestelmien toiminnan laajentaminen, c) sähköisen laskutuksen käyttöönoton nopeuttaminen sopimuksen tekemisen jälkeisissä julkisten hankintojen prosesseissa.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w:t>
      </w:r>
      <w:r>
        <w:rPr>
          <w:rFonts w:ascii="Times New Roman" w:hAnsi="Times New Roman"/>
          <w:b/>
          <w:bCs/>
          <w:noProof/>
          <w:sz w:val="24"/>
        </w:rPr>
        <w:t>t:</w:t>
      </w:r>
      <w:r>
        <w:rPr>
          <w:rFonts w:ascii="Times New Roman" w:hAnsi="Times New Roman"/>
          <w:noProof/>
          <w:sz w:val="24"/>
        </w:rPr>
        <w:t xml:space="preserve"> Kreikan talletus- ja lainarahaston nykyaikaistaminen (toimenpiteen tunniste 16940)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lisätään Kreikan talletus- ja lainarahaston (Hellenic Consignment Deposit and Loans Fund, CDLF) toiminnallista tehokkuutta parantamalla sen digitaalisia va</w:t>
      </w:r>
      <w:r>
        <w:rPr>
          <w:rFonts w:ascii="Times New Roman" w:hAnsi="Times New Roman"/>
          <w:noProof/>
          <w:sz w:val="24"/>
        </w:rPr>
        <w:t>lmiuksia erityisesti saattamalla päätökseen seuraavat alahankkeet: lainojen ja niihin liittyvien tiedostojen ja arkistojen digitalisointi ja sisällyttäminen uuteen asiakirjahallintajärjestelmään; integroidun tietojärjestelmän (IIS) käyttöönotto; iii) yrity</w:t>
      </w:r>
      <w:r>
        <w:rPr>
          <w:rFonts w:ascii="Times New Roman" w:hAnsi="Times New Roman"/>
          <w:noProof/>
          <w:sz w:val="24"/>
        </w:rPr>
        <w:t>sten resurssisuunnittelua koskevan tietojärjestelmän (ERP) tarjoaminen; ohjattujen painatuspalvelujen tarjoaminen; ja v) henkilöstöhallinnon järjestelmä (HRMS). Uudistus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Julkisten hankinto</w:t>
      </w:r>
      <w:r>
        <w:rPr>
          <w:rFonts w:ascii="Times New Roman" w:hAnsi="Times New Roman"/>
          <w:noProof/>
          <w:sz w:val="24"/>
        </w:rPr>
        <w:t>jen alan ammattimaistaminen (toimenpiteen tunniste 16711)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parannetaan Kreikan julkisten hankintojen kehystä ja tuetaan nykyisten heikkouksien korjaamista seuraavin keinoin: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1)julkisia hankintoja koskevan kansallisen strategian 2021-2025 kaikk</w:t>
      </w:r>
      <w:r>
        <w:rPr>
          <w:rFonts w:ascii="Times New Roman" w:hAnsi="Times New Roman"/>
          <w:noProof/>
          <w:sz w:val="24"/>
        </w:rPr>
        <w:t>ien neljän pilarin täytäntöönpanon loppuun saattaminen, mukaan lukien seuraavat: julkisia hankintoja koskevan sääntelykehyksen uudistaminen, mukaan lukien sekundaarilainsäädännön antaminen, jotta julkisia hankintoja koskeva uusi oikeudellinen kehys saadaan</w:t>
      </w:r>
      <w:r>
        <w:rPr>
          <w:rFonts w:ascii="Times New Roman" w:hAnsi="Times New Roman"/>
          <w:noProof/>
          <w:sz w:val="24"/>
        </w:rPr>
        <w:t xml:space="preserve"> täysin toimivaksi, sekä toimet sääntelykehyksen yksinkertaistamiseksi ja parantamiseksi sekä julkisten hankintojen järjestelmän tehokkaan täytäntöönpanon ja häiriönsietokyvyn varmistamiseksi; julkisten hankintojen ja päästä päähän ulottuvien sähköisten ha</w:t>
      </w:r>
      <w:r>
        <w:rPr>
          <w:rFonts w:ascii="Times New Roman" w:hAnsi="Times New Roman"/>
          <w:noProof/>
          <w:sz w:val="24"/>
        </w:rPr>
        <w:t>nkintojen digitalisaatio, mukaan lukien tietojärjestelmien, data-analytiikan sekä julkisen ja yksityisen sektorin synergiaetujen arviointi ja uudelleensuunnittelu (tukea tuetaan toimenpiteen ”16736 ”Uudet julkisten hankintojen järjestelmät” mukaisilla toim</w:t>
      </w:r>
      <w:r>
        <w:rPr>
          <w:rFonts w:ascii="Times New Roman" w:hAnsi="Times New Roman"/>
          <w:noProof/>
          <w:sz w:val="24"/>
        </w:rPr>
        <w:t>illa); laajemmat strategiset tavoitteet ja poliittiset aloitteet, kuten vihreät hankinnat, hankinta2innovate, infrastruktuurin nykyaikaistaminen, pk-yritysten pääsy hankintoihin, hankinnat vipuvaikutuksena, resurssien tehokas käyttö ja sosiaaliset hankinna</w:t>
      </w:r>
      <w:r>
        <w:rPr>
          <w:rFonts w:ascii="Times New Roman" w:hAnsi="Times New Roman"/>
          <w:noProof/>
          <w:sz w:val="24"/>
        </w:rPr>
        <w:t>t; julkisten hankintojen hallintokehys (julkisiin hankintoihin osallistuvan henkilöstön valvonta, täytäntöönpanon seuranta, tarkastukset ja ammattimaisuus).</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2) koulutus ja opastus julkisiin hankintoihin osallistuvalle henkilöstölle, vastuullisten yksiköide</w:t>
      </w:r>
      <w:r>
        <w:rPr>
          <w:rFonts w:ascii="Times New Roman" w:hAnsi="Times New Roman"/>
          <w:noProof/>
          <w:sz w:val="24"/>
        </w:rPr>
        <w:t>n käyttöönotto ja sertifiointimenettelyt näitä ammattilaisia varten, uusien toimien toteuttaminen, kuten erillisten ammatillisten työlinjojen luominen ja kannustinpaketin hyväksyminen, tällaiselle henkilöstölle annettava pätevyys ja urakehitys sekä hankint</w:t>
      </w:r>
      <w:r>
        <w:rPr>
          <w:rFonts w:ascii="Times New Roman" w:hAnsi="Times New Roman"/>
          <w:noProof/>
          <w:sz w:val="24"/>
        </w:rPr>
        <w:t>aviranomaisten rakenteiden ja vastuiden uudelleenorganisointi. Kannustinjärjestelmän on oltava täysin yhdenmukainen yhtenäisen palkkataulukon (laki 4354/2015) kanssa vapauttamatta siitä.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w:t>
      </w:r>
      <w:r>
        <w:rPr>
          <w:rFonts w:ascii="Times New Roman" w:hAnsi="Times New Roman"/>
          <w:b/>
          <w:bCs/>
          <w:noProof/>
          <w:sz w:val="24"/>
        </w:rPr>
        <w:t>udistus:</w:t>
      </w:r>
      <w:r>
        <w:rPr>
          <w:rFonts w:ascii="Times New Roman" w:hAnsi="Times New Roman"/>
          <w:noProof/>
          <w:sz w:val="24"/>
        </w:rPr>
        <w:t xml:space="preserve"> Politiikan suunnittelun ja koordinoinnin tehostaminen (toimenpiteen tunniste 16981)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vahvistetaan keskushallinnon politiikan koordinointia, suunnittelua ja kehittämistä. Toteutettavat erityistoimet ovat i) seurantamekanismin perustami</w:t>
      </w:r>
      <w:r>
        <w:rPr>
          <w:rFonts w:ascii="Times New Roman" w:hAnsi="Times New Roman"/>
          <w:noProof/>
          <w:sz w:val="24"/>
        </w:rPr>
        <w:t>nen sen seuraamiseksi, onko johdettua oikeutta hyväksytty primaarilainsäädännön mukaisesti; sähköisen alustan perustaminen kutakin lakiesitystä täydentävän vaikutustenarvioinnin loppuunsaattamisen helpottamiseksi; ja iii) käynnistetään virkamiehille suunna</w:t>
      </w:r>
      <w:r>
        <w:rPr>
          <w:rFonts w:ascii="Times New Roman" w:hAnsi="Times New Roman"/>
          <w:noProof/>
          <w:sz w:val="24"/>
        </w:rPr>
        <w:t>ttu koulutusohjelma ja siihen liittyvä akkreditointimenettely, joilla pyritään parantamaan laadittujen vaikutustenarviointien laatua. Vuoden 2022 viimeisellä neljänneksellä järjestettävään koulutusohjelmaan on pitänyt ilmoittautua vähintään 100 virkamiestä</w:t>
      </w:r>
      <w:r>
        <w:rPr>
          <w:rFonts w:ascii="Times New Roman" w:hAnsi="Times New Roman"/>
          <w:noProof/>
          <w:sz w:val="24"/>
        </w:rPr>
        <w:t xml:space="preserve"> sen käynnistämiseksi. Uudistus on määrä toteuttaa viimeistään 30 päivänä kesäkuuta 2023.</w:t>
      </w:r>
    </w:p>
    <w:p w:rsidR="00B0093E" w:rsidRDefault="00B0093E">
      <w:pPr>
        <w:spacing w:before="120" w:after="120" w:line="240" w:lineRule="auto"/>
        <w:ind w:left="709"/>
        <w:jc w:val="both"/>
        <w:rPr>
          <w:rFonts w:ascii="Times New Roman" w:hAnsi="Times New Roman" w:cs="Times New Roman"/>
          <w:i/>
          <w:iCs/>
          <w:noProof/>
          <w:color w:val="4F81BD"/>
          <w:sz w:val="24"/>
        </w:rPr>
      </w:pP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197"/>
          <w:headerReference w:type="default" r:id="rId198"/>
          <w:footerReference w:type="even" r:id="rId199"/>
          <w:footerReference w:type="default" r:id="rId200"/>
          <w:headerReference w:type="first" r:id="rId201"/>
          <w:footerReference w:type="first" r:id="rId202"/>
          <w:pgSz w:w="11907" w:h="16839"/>
          <w:pgMar w:top="1134" w:right="1417" w:bottom="1134" w:left="1417"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M.2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w:t>
      </w:r>
      <w:r>
        <w:rPr>
          <w:rFonts w:ascii="Times New Roman" w:hAnsi="Times New Roman"/>
          <w:b/>
          <w:bCs/>
          <w:noProof/>
          <w:sz w:val="24"/>
          <w:u w:val="single"/>
        </w:rPr>
        <w:t>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Keskeinen uudistus 9: Julkishallinnon uudistaminen </w:t>
      </w:r>
    </w:p>
    <w:tbl>
      <w:tblPr>
        <w:tblW w:w="15871" w:type="dxa"/>
        <w:jc w:val="center"/>
        <w:tblLook w:val="04A0" w:firstRow="1" w:lastRow="0" w:firstColumn="1" w:lastColumn="0" w:noHBand="0" w:noVBand="1"/>
      </w:tblPr>
      <w:tblGrid>
        <w:gridCol w:w="1027"/>
        <w:gridCol w:w="1573"/>
        <w:gridCol w:w="1626"/>
        <w:gridCol w:w="1854"/>
        <w:gridCol w:w="2084"/>
        <w:gridCol w:w="1548"/>
        <w:gridCol w:w="966"/>
        <w:gridCol w:w="1006"/>
        <w:gridCol w:w="1387"/>
        <w:gridCol w:w="827"/>
        <w:gridCol w:w="4819"/>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5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289"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noProof/>
              </w:rPr>
              <w:t xml:space="preserve"> </w:t>
            </w:r>
            <w:r>
              <w:rPr>
                <w:rFonts w:ascii="Times New Roman" w:hAnsi="Times New Roman"/>
                <w:noProof/>
              </w:rPr>
              <w:br/>
            </w:r>
            <w:r>
              <w:rPr>
                <w:rFonts w:ascii="Times New Roman" w:hAnsi="Times New Roman"/>
                <w:b/>
                <w:bCs/>
                <w:noProof/>
                <w:sz w:val="18"/>
                <w:szCs w:val="18"/>
              </w:rPr>
              <w:t>(välitavoitteiden osalta)</w:t>
            </w:r>
          </w:p>
        </w:tc>
        <w:tc>
          <w:tcPr>
            <w:tcW w:w="2857"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noProof/>
                <w:sz w:val="24"/>
              </w:rPr>
              <w:br/>
            </w:r>
            <w:r>
              <w:rPr>
                <w:rFonts w:ascii="Times New Roman" w:hAnsi="Times New Roman"/>
                <w:b/>
                <w:bCs/>
                <w:noProof/>
                <w:sz w:val="18"/>
                <w:szCs w:val="18"/>
              </w:rPr>
              <w:t xml:space="preserve">(tavoitteiden </w:t>
            </w:r>
            <w:r>
              <w:rPr>
                <w:rFonts w:ascii="Times New Roman" w:hAnsi="Times New Roman"/>
                <w:b/>
                <w:bCs/>
                <w:noProof/>
                <w:sz w:val="18"/>
                <w:szCs w:val="18"/>
              </w:rPr>
              <w:t>osalta)</w:t>
            </w:r>
          </w:p>
        </w:tc>
        <w:tc>
          <w:tcPr>
            <w:tcW w:w="1673"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89"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95"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805"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82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205</w:t>
            </w:r>
          </w:p>
        </w:tc>
        <w:tc>
          <w:tcPr>
            <w:tcW w:w="15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3 - 4.2. Julkishallinnon nykyaikaistaminen muun muassa nopeuttamalla julkisten investointien toteuttamista, parantamalla julkisten hankintojen kehystä, toteuttamalla valmiuksien kehittämistoimia ja torjumalla korruptiota – 16972_Julkisen hallinnon uudistam</w:t>
            </w:r>
            <w:r>
              <w:rPr>
                <w:noProof/>
                <w:color w:val="006100"/>
                <w:sz w:val="18"/>
                <w:szCs w:val="18"/>
              </w:rPr>
              <w:t>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Julkishallinto – tulosperusteisen maksujärjestelmän käyttöönotto</w:t>
            </w:r>
          </w:p>
          <w:p w:rsidR="00B0093E" w:rsidRDefault="00B0093E">
            <w:pPr>
              <w:spacing w:after="0" w:line="240" w:lineRule="auto"/>
              <w:rPr>
                <w:rFonts w:eastAsia="Times New Roman" w:cs="Calibri"/>
                <w:noProof/>
                <w:color w:val="006100"/>
                <w:sz w:val="18"/>
                <w:szCs w:val="18"/>
                <w:lang w:eastAsia="en-GB"/>
              </w:rPr>
            </w:pP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Primaarilainsäädännön voimaantulo, jolla perustetaan pilottikorvausjärjestelmä. </w:t>
            </w:r>
          </w:p>
        </w:tc>
        <w:tc>
          <w:tcPr>
            <w:tcW w:w="11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8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Primaarilainsäädännön voimaantulo, joka koskee tulosmaksujärjestelmän </w:t>
            </w:r>
            <w:r>
              <w:rPr>
                <w:noProof/>
                <w:color w:val="006100"/>
                <w:sz w:val="18"/>
                <w:szCs w:val="18"/>
              </w:rPr>
              <w:t>käyttöönottoa tietyille pilottiyksiköille ja enintään 6 000 virkamiehelle, jotka otetaan huomioon laajemmassa uudistuksessa, jolla otetaan käyttöön tavoitteiden asettamisen hallintajärjestelmä (ks. välitavoite vuoden 2023 viimeisellä neljänneksellä). Pilot</w:t>
            </w:r>
            <w:r>
              <w:rPr>
                <w:noProof/>
                <w:color w:val="006100"/>
                <w:sz w:val="18"/>
                <w:szCs w:val="18"/>
              </w:rPr>
              <w:t>tihanke kattaa elpymis- ja palautumissuunnitelman täytäntöönpanoon osallistuvat virkamiehet. Järjestelmän keskeisten ominaisuuksien on oltava yhdenmukaisia yhtenäisen palkkataulukon (laki 4354/2015) kanssa.</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206</w:t>
            </w:r>
          </w:p>
        </w:tc>
        <w:tc>
          <w:tcPr>
            <w:tcW w:w="15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Julkishallinnon nykyaikaistaminen </w:t>
            </w:r>
            <w:r>
              <w:rPr>
                <w:noProof/>
                <w:color w:val="006100"/>
                <w:sz w:val="18"/>
                <w:szCs w:val="18"/>
              </w:rPr>
              <w:t>muun muassa nopeuttamalla julkisten investointien toteuttamista, parantamalla julkisten hankintojen kehystä, toteuttamalla valmiuksien kehittämistoimia ja torjumalla korruptiota – 16972_Julkisen hallinnon uudistaminen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Julkishallinto – lainsäädä</w:t>
            </w:r>
            <w:r>
              <w:rPr>
                <w:noProof/>
                <w:color w:val="006100"/>
                <w:sz w:val="18"/>
                <w:szCs w:val="18"/>
              </w:rPr>
              <w:t>ntökehys toimeksiantojen selkeyttämiseksi</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Julkisyhteisöjen keskus-, alue- ja paikallistason lainsäädäntökehystä muuttavien säännösten voimaantulo. </w:t>
            </w:r>
          </w:p>
        </w:tc>
        <w:tc>
          <w:tcPr>
            <w:tcW w:w="11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8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Voimaan tulee tarkistettu primaari- ja sekundaarilainsäädäntö monitasoisen hallinnon </w:t>
            </w:r>
            <w:r>
              <w:rPr>
                <w:noProof/>
                <w:color w:val="006100"/>
                <w:sz w:val="18"/>
                <w:szCs w:val="18"/>
              </w:rPr>
              <w:t>jakojärjestelmän perustamiseksi. Järjestelmän tarkoituksena on selkeyttää julkishallinnon kaikkien tasojen vastuita ja puuttua päällekkäisyyksiin. Tarkistetussa oikeudellisessa kehyksessä vahvistetaan kunkin yksikön vastuualat, jotka liittyvät suunnitteluu</w:t>
            </w:r>
            <w:r>
              <w:rPr>
                <w:noProof/>
                <w:color w:val="006100"/>
                <w:sz w:val="18"/>
                <w:szCs w:val="18"/>
              </w:rPr>
              <w:t>n ja täytäntöönpanoon, mukaan lukien tehtävät, kuten resurssien varmistaminen sekä seuranta- ja arviointivastuut.</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207</w:t>
            </w:r>
          </w:p>
        </w:tc>
        <w:tc>
          <w:tcPr>
            <w:tcW w:w="15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Julkishallinnon nykyaikaistaminen muun muassa nopeuttamalla julkisten investointien toteuttamista, parantamalla julkisten </w:t>
            </w:r>
            <w:r>
              <w:rPr>
                <w:noProof/>
                <w:color w:val="006100"/>
                <w:sz w:val="18"/>
                <w:szCs w:val="18"/>
              </w:rPr>
              <w:t>hankintojen kehystä, toteuttamalla valmiuksien kehittämistoimia ja torjumalla korruptiota – 16972_Julkisen hallinnon uudistaminen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Julkishallinto – uusi palkitsemisjärjestelmä</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Palkkiojärjestelmän perustamista koskevan primaarilainsäädännön </w:t>
            </w:r>
            <w:r>
              <w:rPr>
                <w:noProof/>
                <w:color w:val="006100"/>
                <w:sz w:val="18"/>
                <w:szCs w:val="18"/>
              </w:rPr>
              <w:t>voimaantulo.</w:t>
            </w:r>
          </w:p>
        </w:tc>
        <w:tc>
          <w:tcPr>
            <w:tcW w:w="119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Primaarilainsäädännön voimaantulo, jolla otetaan käyttöön tavoitteiden asettamiseen perustuva hallintojärjestelmä, jolla pyritään palkitsemaan julkisia organisaatioita tasapuolisesti ja johdonmukaisesti ennalta asetettujen tavoittei</w:t>
            </w:r>
            <w:r>
              <w:rPr>
                <w:noProof/>
                <w:color w:val="006100"/>
                <w:sz w:val="18"/>
                <w:szCs w:val="18"/>
              </w:rPr>
              <w:t>den saavuttamisen jälkeen. Järjestelmän keskeisten ominaisuuksien on oltava yhdenmukaisia yhtenäisen palkkataulukon (laki 4354/2015) kanssa.</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208</w:t>
            </w:r>
          </w:p>
        </w:tc>
        <w:tc>
          <w:tcPr>
            <w:tcW w:w="15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Julkishallinnon nykyaikaistaminen muun muassa nopeuttamalla julkisten investointien toteuttamista, </w:t>
            </w:r>
            <w:r>
              <w:rPr>
                <w:noProof/>
                <w:color w:val="006100"/>
                <w:sz w:val="18"/>
                <w:szCs w:val="18"/>
              </w:rPr>
              <w:t>parantamalla julkisten hankintojen kehystä, toteuttamalla valmiuksien kehittämistoimia ja torjumalla korruptiota – 16972_Julkisen hallinnon uudistaminen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Julkishallinto – virkamiesten koulutuksen suorittaminen</w:t>
            </w:r>
          </w:p>
        </w:tc>
        <w:tc>
          <w:tcPr>
            <w:tcW w:w="1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9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Niiden virkamiesten lukumäärä, jotka </w:t>
            </w:r>
            <w:r>
              <w:rPr>
                <w:noProof/>
                <w:color w:val="006100"/>
                <w:sz w:val="18"/>
                <w:szCs w:val="18"/>
              </w:rPr>
              <w:t>ovat suorittaneet koulutusohjelmat.</w:t>
            </w: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250 000</w:t>
            </w: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2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Vähintään 250 000 virkamiehen täydennys- ja uudelleenkoulutusohjelmien loppuun saattaminen tehdyn tarvearvioinnin perusteella. </w:t>
            </w:r>
          </w:p>
        </w:tc>
      </w:tr>
    </w:tbl>
    <w:p w:rsidR="00B0093E" w:rsidRDefault="00B0093E">
      <w:pPr>
        <w:spacing w:before="120" w:after="120" w:line="240" w:lineRule="auto"/>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19: Rahanpesun ja korruption torjunta</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Rahanpesun ja terrorismin </w:t>
      </w:r>
      <w:r>
        <w:rPr>
          <w:rFonts w:ascii="Times New Roman" w:hAnsi="Times New Roman"/>
          <w:noProof/>
          <w:sz w:val="24"/>
        </w:rPr>
        <w:t>rahoituksen torjuntakehyksen parantaminen (tunniste: 16702)</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Laittoman kaupan torjunta ja teollis- ja tekijänoikeuksien suojelu (tunniste: 16703)</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Kansallisen korruptiontorjuntakehyksen vahvistaminen (tunniste: 16952)</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Tehokas korruption torjunta (tunniste: 1</w:t>
      </w:r>
      <w:r>
        <w:rPr>
          <w:rFonts w:ascii="Times New Roman" w:hAnsi="Times New Roman"/>
          <w:noProof/>
          <w:sz w:val="24"/>
        </w:rPr>
        <w:t>6978)</w:t>
      </w:r>
    </w:p>
    <w:p w:rsidR="00B0093E" w:rsidRDefault="00B0093E">
      <w:pPr>
        <w:spacing w:before="120" w:after="120" w:line="240" w:lineRule="auto"/>
        <w:jc w:val="both"/>
        <w:rPr>
          <w:rFonts w:ascii="Times New Roman" w:hAnsi="Times New Roman" w:cs="Times New Roman"/>
          <w:noProof/>
          <w:sz w:val="24"/>
          <w:szCs w:val="24"/>
        </w:rPr>
        <w:sectPr w:rsidR="00B0093E">
          <w:headerReference w:type="even" r:id="rId203"/>
          <w:headerReference w:type="default" r:id="rId204"/>
          <w:footerReference w:type="even" r:id="rId205"/>
          <w:footerReference w:type="default" r:id="rId206"/>
          <w:headerReference w:type="first" r:id="rId207"/>
          <w:footerReference w:type="first" r:id="rId208"/>
          <w:pgSz w:w="16839" w:h="11907" w:orient="landscape"/>
          <w:pgMar w:top="720" w:right="720" w:bottom="720" w:left="720" w:header="709" w:footer="709" w:gutter="0"/>
          <w:cols w:space="720"/>
          <w:docGrid w:linePitch="360"/>
        </w:sectPr>
      </w:pPr>
    </w:p>
    <w:p w:rsidR="00B0093E" w:rsidRDefault="00B0093E">
      <w:pPr>
        <w:spacing w:before="120" w:after="120" w:line="240" w:lineRule="auto"/>
        <w:jc w:val="both"/>
        <w:rPr>
          <w:rFonts w:ascii="Times New Roman" w:hAnsi="Times New Roman" w:cs="Times New Roman"/>
          <w:noProof/>
          <w:sz w:val="24"/>
          <w:szCs w:val="24"/>
        </w:rPr>
      </w:pPr>
    </w:p>
    <w:tbl>
      <w:tblPr>
        <w:tblW w:w="15878" w:type="dxa"/>
        <w:jc w:val="center"/>
        <w:tblLook w:val="04A0" w:firstRow="1" w:lastRow="0" w:firstColumn="1" w:lastColumn="0" w:noHBand="0" w:noVBand="1"/>
      </w:tblPr>
      <w:tblGrid>
        <w:gridCol w:w="1027"/>
        <w:gridCol w:w="2279"/>
        <w:gridCol w:w="1626"/>
        <w:gridCol w:w="2507"/>
        <w:gridCol w:w="2065"/>
        <w:gridCol w:w="1247"/>
        <w:gridCol w:w="966"/>
        <w:gridCol w:w="1006"/>
        <w:gridCol w:w="1387"/>
        <w:gridCol w:w="708"/>
        <w:gridCol w:w="5110"/>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93"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53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noProof/>
              </w:rPr>
              <w:t xml:space="preserve"> </w:t>
            </w:r>
            <w:r>
              <w:rPr>
                <w:rFonts w:ascii="Times New Roman" w:hAnsi="Times New Roman"/>
                <w:noProof/>
              </w:rPr>
              <w:br/>
            </w:r>
            <w:r>
              <w:rPr>
                <w:rFonts w:ascii="Times New Roman" w:hAnsi="Times New Roman"/>
                <w:b/>
                <w:bCs/>
                <w:noProof/>
                <w:sz w:val="18"/>
                <w:szCs w:val="18"/>
              </w:rPr>
              <w:t>(välitavoitteiden osalta)</w:t>
            </w:r>
          </w:p>
        </w:tc>
        <w:tc>
          <w:tcPr>
            <w:tcW w:w="2492"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noProof/>
                <w:sz w:val="24"/>
              </w:rPr>
              <w:br/>
            </w:r>
            <w:r>
              <w:rPr>
                <w:rFonts w:ascii="Times New Roman" w:hAnsi="Times New Roman"/>
                <w:b/>
                <w:bCs/>
                <w:noProof/>
                <w:sz w:val="18"/>
                <w:szCs w:val="18"/>
              </w:rPr>
              <w:t>(tavoitteiden osalta)</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Alustava toteutus</w:t>
            </w:r>
            <w:r>
              <w:rPr>
                <w:rFonts w:ascii="Times New Roman" w:hAnsi="Times New Roman"/>
                <w:b/>
                <w:bCs/>
                <w:noProof/>
                <w:sz w:val="18"/>
                <w:szCs w:val="18"/>
              </w:rPr>
              <w:t xml:space="preserve">aikataulu </w:t>
            </w:r>
          </w:p>
        </w:tc>
        <w:tc>
          <w:tcPr>
            <w:tcW w:w="51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27"/>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93"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3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33"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70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511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209</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w:t>
            </w:r>
            <w:r>
              <w:rPr>
                <w:noProof/>
                <w:color w:val="006100"/>
                <w:sz w:val="18"/>
                <w:szCs w:val="18"/>
              </w:rPr>
              <w:t>- 4.2. Julkishallinnon nykyaikaistaminen muun muassa nopeuttamalla julkisten investointien toteuttamista, parantamalla julkisten hankintojen kehystä, toteuttamalla valmiuksien kehittämistoimia ja torjumalla korruptiota – 16978_Korruption tehokas torjunta</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w:t>
            </w:r>
            <w:r>
              <w:rPr>
                <w:noProof/>
                <w:color w:val="006100"/>
                <w:sz w:val="18"/>
                <w:szCs w:val="18"/>
              </w:rPr>
              <w:t>älitavoite</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Varallisuusilmoitukset ja poliittiset puolueet</w:t>
            </w:r>
          </w:p>
        </w:tc>
        <w:tc>
          <w:tcPr>
            <w:tcW w:w="15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sz w:val="18"/>
                <w:szCs w:val="18"/>
              </w:rPr>
            </w:pPr>
            <w:r>
              <w:rPr>
                <w:noProof/>
                <w:color w:val="006100"/>
                <w:sz w:val="18"/>
                <w:szCs w:val="18"/>
              </w:rPr>
              <w:t>Uuden lainsäädännön voimaantulo</w:t>
            </w:r>
          </w:p>
        </w:tc>
        <w:tc>
          <w:tcPr>
            <w:tcW w:w="9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Uuden lainsäädännön voimaantulo seuraavilta osin: omaisuusilmoitukset; II) ja poliittisia puolueita koskevan lainsäädännön kodifiointi. </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210</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w:t>
            </w:r>
            <w:r>
              <w:rPr>
                <w:noProof/>
                <w:color w:val="006100"/>
                <w:sz w:val="18"/>
                <w:szCs w:val="18"/>
              </w:rPr>
              <w:t>Nykyaikaistetaan julkishallintoa muun muassa nopeuttamalla julkisten investointien toteuttamista, parantamalla julkisten hankintojen kehystä, toteuttamalla valmiuksien kehittämistoimia ja torjumalla korruptiota – 16952_Kansallisen korruptiontorjuntakehykse</w:t>
            </w:r>
            <w:r>
              <w:rPr>
                <w:noProof/>
                <w:color w:val="006100"/>
                <w:sz w:val="18"/>
                <w:szCs w:val="18"/>
              </w:rPr>
              <w:t>n vahvistaminen kohdennetuilla toimilla havaitsemisen, ennaltaehkäisyn ja tietoisuuden lisäämisen aloilla</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Kansallinen korruptiontorjuntasuunnitelma</w:t>
            </w:r>
          </w:p>
        </w:tc>
        <w:tc>
          <w:tcPr>
            <w:tcW w:w="15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Kansallinen avoimuusviranomainen hyväksyy kansallisen korruptionvastaisen toimintasuunnitelman </w:t>
            </w:r>
            <w:r>
              <w:rPr>
                <w:noProof/>
                <w:color w:val="006100"/>
                <w:sz w:val="18"/>
                <w:szCs w:val="18"/>
              </w:rPr>
              <w:t>vuosiksi 2022-2025</w:t>
            </w:r>
          </w:p>
        </w:tc>
        <w:tc>
          <w:tcPr>
            <w:tcW w:w="9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Kansallinen avoimuusviranomainen hyväksyy kansallisen korruptionvastaisen toimintasuunnitelman vuosiksi 2022-2025, mukaan lukien seuraavat: toimet julkishallinnon avoimuuden ja vastuuvelvollisuuden lisäämiseksi; kohdennetut </w:t>
            </w:r>
            <w:r>
              <w:rPr>
                <w:noProof/>
                <w:color w:val="006100"/>
                <w:sz w:val="18"/>
                <w:szCs w:val="18"/>
              </w:rPr>
              <w:t>toimet korruption havaitsemiseksi ja ehkäisemiseksi korkean riskin alueilla (esimerkiksi terveys, julkinen talous ja investoinnit); tarvittavat sääntelytoimet valituilla politiikan aloilla.</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211</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Nykyaikaistetaan julkishallintoa muun muassa </w:t>
            </w:r>
            <w:r>
              <w:rPr>
                <w:noProof/>
                <w:color w:val="006100"/>
                <w:sz w:val="18"/>
                <w:szCs w:val="18"/>
              </w:rPr>
              <w:t>nopeuttamalla julkisten investointien toteuttamista, parantamalla julkisten hankintojen kehystä, toteuttamalla valmiuksien kehittämistoimia ja torjumalla korruptiota – 16952_Kansallisen korruptiontorjuntakehyksen vahvistaminen kohdennetuilla toimilla havai</w:t>
            </w:r>
            <w:r>
              <w:rPr>
                <w:noProof/>
                <w:color w:val="006100"/>
                <w:sz w:val="18"/>
                <w:szCs w:val="18"/>
              </w:rPr>
              <w:t>tsemisen, ennaltaehkäisyn ja tietoisuuden lisäämisen aloilla</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Sisäistä valvontaa koskevan lainsäädännön täytäntöönpano</w:t>
            </w:r>
          </w:p>
        </w:tc>
        <w:tc>
          <w:tcPr>
            <w:tcW w:w="15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Kansallisen avoimuusviranomaisen kertomus perustetuista sisäisen valvonnan järjestelmistä</w:t>
            </w:r>
          </w:p>
          <w:p w:rsidR="00B0093E" w:rsidRDefault="00762CA6">
            <w:pPr>
              <w:spacing w:after="0" w:line="240" w:lineRule="auto"/>
              <w:rPr>
                <w:rFonts w:eastAsia="Times New Roman" w:cs="Calibri"/>
                <w:noProof/>
                <w:color w:val="006100"/>
                <w:sz w:val="18"/>
                <w:szCs w:val="18"/>
              </w:rPr>
            </w:pPr>
            <w:r>
              <w:rPr>
                <w:noProof/>
                <w:color w:val="006100"/>
                <w:sz w:val="18"/>
                <w:szCs w:val="18"/>
              </w:rPr>
              <w:t>Annetut säädökset</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Ministeriöiden yhteinen päätös annettu </w:t>
            </w:r>
          </w:p>
        </w:tc>
        <w:tc>
          <w:tcPr>
            <w:tcW w:w="9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Uuden julkishallinnon sisäistä valvontaa koskevan lain täytäntöönpano, mukaan lukien sisäisen tarkastuksen yksiköiden perustaminen asianomaisiin ministeriöihin; ii) säädösten antaminen sisäisen tarkastukse</w:t>
            </w:r>
            <w:r>
              <w:rPr>
                <w:noProof/>
                <w:color w:val="006100"/>
                <w:sz w:val="18"/>
                <w:szCs w:val="18"/>
              </w:rPr>
              <w:t>n yksiköiden ja tarkastuskomiteoiden perustamisesta paikallishallinnon yksikköihin (ensimmäinen ja toinen tutkinto), yliopistoihin, sairaaloihin – terveydenhuoltoyksiköihin, itsenäisiin viranomaisiin ja paikallishallinnon yksiköiden oikeushenkilöihin; mini</w:t>
            </w:r>
            <w:r>
              <w:rPr>
                <w:noProof/>
                <w:color w:val="006100"/>
                <w:sz w:val="18"/>
                <w:szCs w:val="18"/>
              </w:rPr>
              <w:t>steriöiden yhteisen päätöksen antaminen kriteereistä, joiden mukaisesti sisäisen tarkastuksen yksiköt tekevät yhteistyötä ulkopuolisten asiantuntijoiden kanssa.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Kansallisen avoimuusviranomaisen on yhteistyössä sisäasiainministeriön kanssa annettava julkis</w:t>
            </w:r>
            <w:r>
              <w:rPr>
                <w:noProof/>
                <w:color w:val="006100"/>
                <w:sz w:val="18"/>
                <w:szCs w:val="18"/>
              </w:rPr>
              <w:t>yhteisöjen yksiköille valvontaa ja ohjausta johdonmukaisen ja toimivan sisäisen valvontajärjestelmän luomiseksi. Kansallisen avoimuusviranomaisen on helpotettava sisäisen valvonnan järjestelmän perustekijöiden pilottiarviointia. Kreikan tilintarkastustuomi</w:t>
            </w:r>
            <w:r>
              <w:rPr>
                <w:noProof/>
                <w:color w:val="006100"/>
                <w:sz w:val="18"/>
                <w:szCs w:val="18"/>
              </w:rPr>
              <w:t xml:space="preserve">oistuin on sisällyttänyt vuotuiseen työsuunnitelmaansa tarkastukset, joiden tarkoituksena on arvioida julkisyhteisöjen yksiköiden sisäisen valvonnan järjestelyjä. </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212</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Nykyaikaistetaan julkishallintoa muun muassa nopeuttamalla julkisten </w:t>
            </w:r>
            <w:r>
              <w:rPr>
                <w:noProof/>
                <w:color w:val="006100"/>
                <w:sz w:val="18"/>
                <w:szCs w:val="18"/>
              </w:rPr>
              <w:t>investointien toteuttamista, parantamalla julkisten hankintojen kehystä, toteuttamalla valmiuksien kehittämistoimia ja torjumalla korruptiota – 16702_Rahanpesun ja terrorismin rahoituksen torjuntaa koskevan kehyksen parantaminen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Tehostettu raha</w:t>
            </w:r>
            <w:r>
              <w:rPr>
                <w:noProof/>
                <w:color w:val="006100"/>
                <w:sz w:val="18"/>
                <w:szCs w:val="18"/>
              </w:rPr>
              <w:t>npesun ja terrorismin rahoituksen torjuntakehys</w:t>
            </w:r>
          </w:p>
        </w:tc>
        <w:tc>
          <w:tcPr>
            <w:tcW w:w="15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Tilastotietojen keruualusta on käynnistetty; tosiasiallisia omistajia ja edunsaajia koskevan erityisrekisterin parannukset valmiina</w:t>
            </w:r>
          </w:p>
        </w:tc>
        <w:tc>
          <w:tcPr>
            <w:tcW w:w="9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rFonts w:ascii="Times New Roman" w:hAnsi="Times New Roman"/>
                <w:noProof/>
                <w:sz w:val="24"/>
              </w:rPr>
              <w:t xml:space="preserve">     </w:t>
            </w:r>
          </w:p>
        </w:tc>
        <w:tc>
          <w:tcPr>
            <w:tcW w:w="85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rFonts w:ascii="Times New Roman" w:hAnsi="Times New Roman"/>
                <w:noProof/>
                <w:sz w:val="24"/>
              </w:rPr>
              <w:t xml:space="preserve">     </w:t>
            </w:r>
          </w:p>
        </w:tc>
        <w:tc>
          <w:tcPr>
            <w:tcW w:w="70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Käynnistetään foorumi, jolla kerätään kansallisten </w:t>
            </w:r>
            <w:r>
              <w:rPr>
                <w:noProof/>
                <w:color w:val="006100"/>
                <w:sz w:val="18"/>
                <w:szCs w:val="18"/>
              </w:rPr>
              <w:t>toimivaltaisten viranomaisten (eli oikeus-, valvonta- ja lainvalvontaviranomaisten) hallussa olevia tilastotietoja, joita hallinnoi Kreikan valtiovarainministeriön finanssipolitiikan osasto, joka toimii koordinoinnin keskusyksikkönä lain 4557/2018 (rahanpe</w:t>
            </w:r>
            <w:r>
              <w:rPr>
                <w:noProof/>
                <w:color w:val="006100"/>
                <w:sz w:val="18"/>
                <w:szCs w:val="18"/>
              </w:rPr>
              <w:t>sun torjuntaa koskeva kansallinen laki) mukaisesti; II) tosiasiallisia omistajia ja edunsaajia koskevien tietojen kirjaamiseen tarkoitetun erityisen rekisterin kehittäminen, jotta voidaan helpottaa toimivaltaisten viranomaisten suoraa pääsyä tällaisiin tie</w:t>
            </w:r>
            <w:r>
              <w:rPr>
                <w:noProof/>
                <w:color w:val="006100"/>
                <w:sz w:val="18"/>
                <w:szCs w:val="18"/>
              </w:rPr>
              <w:t>toihin ja yhdistää ne EU:n jäsenvaltioiden vastaaviin rekistereihin asiaankuuluvan EU:n alustan kautta. Rekisterin omistaa Kreikan valtiovarainministeriön finanssipolitiikan osasto, joka toimii koordinoinnin keskusyksikkönä lain 4557/2018 (kansallinen raha</w:t>
            </w:r>
            <w:r>
              <w:rPr>
                <w:noProof/>
                <w:color w:val="006100"/>
                <w:sz w:val="18"/>
                <w:szCs w:val="18"/>
              </w:rPr>
              <w:t>npesun torjuntaa koskeva lainsäädäntö) mukaisesti ja jota ylläpitää digitaalisesta hallinnosta vastaavan ministeriön tietojärjestelmien pääsihteeristö (GSIS).</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213</w:t>
            </w:r>
          </w:p>
        </w:tc>
        <w:tc>
          <w:tcPr>
            <w:tcW w:w="17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13 - 4.2. Nykyaikaistetaan julkishallintoa muun muassa nopeuttamalla julkisten investointien</w:t>
            </w:r>
            <w:r>
              <w:rPr>
                <w:noProof/>
                <w:color w:val="006100"/>
                <w:sz w:val="18"/>
                <w:szCs w:val="18"/>
              </w:rPr>
              <w:t xml:space="preserve"> toteuttamista, parantamalla julkisten hankintojen kehystä, toteuttamalla valmiuksien kehittämistoimia ja torjumalla korruptiota – 16703_Laittoman kaupan torjunta ja teollis- ja tekijänoikeuksien suojelu</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Laittoman kaupan torjunta – tietojärjest</w:t>
            </w:r>
            <w:r>
              <w:rPr>
                <w:noProof/>
                <w:color w:val="006100"/>
                <w:sz w:val="18"/>
                <w:szCs w:val="18"/>
              </w:rPr>
              <w:t>elmät ja valvonta-asemat</w:t>
            </w:r>
          </w:p>
        </w:tc>
        <w:tc>
          <w:tcPr>
            <w:tcW w:w="15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Tietotekniikkajärjestelmä on toiminnassa ja 10 uutta täysin varustettua valvonta-asemaa (mukaan lukien tarvittavat laitteet) on täysin toimintakunnossa.</w:t>
            </w:r>
          </w:p>
        </w:tc>
        <w:tc>
          <w:tcPr>
            <w:tcW w:w="93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Käyttöön otetaan integroitu ja yhteentoimiva tietojärjestelmä, joka mahdollistaa koko maassa toteutetun valvonnan tehokkaan hallinnoinnin, jotta voidaan torjua laitonta kauppaa ja valvoa tavaroiden ja palvelujen liikkumista sekä sisä- että ulkokaupassa. Jo</w:t>
            </w:r>
            <w:r>
              <w:rPr>
                <w:noProof/>
                <w:color w:val="006100"/>
                <w:sz w:val="18"/>
                <w:szCs w:val="18"/>
              </w:rPr>
              <w:t>tta voidaan varmistaa uuden tietojärjestelmän täysimääräinen hyödyntäminen, viranomaisten välisen markkinavalvonnan yksikön (DIMEA) toimintavalmiuksia, oheisinfrastruktuuri mukaan luettuna, on vahvistettava siten, että saatavilla on tarvittavia logistiikka</w:t>
            </w:r>
            <w:r>
              <w:rPr>
                <w:noProof/>
                <w:color w:val="006100"/>
                <w:sz w:val="18"/>
                <w:szCs w:val="18"/>
              </w:rPr>
              <w:t xml:space="preserve">laitteita, jotka on liitetty tietojärjestelmän markkinavalvontatietokantaan, ja mahdollistetaan niiden käyttö paikan päällä tehtävissä tarkastuksissa ja sakkojen määrääminen välittömästi. </w:t>
            </w:r>
          </w:p>
          <w:p w:rsidR="00B0093E" w:rsidRDefault="00762CA6">
            <w:pPr>
              <w:spacing w:after="0" w:line="240" w:lineRule="auto"/>
              <w:rPr>
                <w:rFonts w:eastAsia="Times New Roman" w:cs="Calibri"/>
                <w:noProof/>
                <w:color w:val="006100"/>
                <w:sz w:val="18"/>
                <w:szCs w:val="18"/>
              </w:rPr>
            </w:pPr>
            <w:r>
              <w:rPr>
                <w:noProof/>
                <w:color w:val="006100"/>
                <w:sz w:val="18"/>
                <w:szCs w:val="18"/>
              </w:rPr>
              <w:t>— Komponentin valmiiksi saattaminen eli uusien valvonta-asemien per</w:t>
            </w:r>
            <w:r>
              <w:rPr>
                <w:noProof/>
                <w:color w:val="006100"/>
                <w:sz w:val="18"/>
                <w:szCs w:val="18"/>
              </w:rPr>
              <w:t>ustaminen laittoman kaupan torjumiseksi pystyttämällä 10 valmistaloa (ISOBOX) tarvittavine laitteineen, mukaan lukien kolme skanneria (HXM MobileScanTM tai vastaava).</w:t>
            </w:r>
          </w:p>
        </w:tc>
      </w:tr>
    </w:tbl>
    <w:p w:rsidR="00B0093E" w:rsidRDefault="00B0093E">
      <w:pPr>
        <w:spacing w:before="120" w:after="120" w:line="240" w:lineRule="auto"/>
        <w:jc w:val="both"/>
        <w:rPr>
          <w:rFonts w:ascii="Times New Roman" w:hAnsi="Times New Roman" w:cs="Times New Roman"/>
          <w:noProof/>
          <w:sz w:val="24"/>
          <w:szCs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20: Julkishallinnon tehostaminen</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GOV-ERP (TUNNISTE: 16705)</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Tilinpäätösuudistus </w:t>
      </w:r>
      <w:r>
        <w:rPr>
          <w:rFonts w:ascii="Times New Roman" w:hAnsi="Times New Roman"/>
          <w:noProof/>
          <w:sz w:val="24"/>
        </w:rPr>
        <w:t>(tunniste: 16974)</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Nykyaikaiset institutionaaliset puitteet valtion omistamille yrityksille (tunniste: 16657)</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Parannetaan valtiontukiverkostoa (tunniste: 16701)</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Kreikan talletus- ja lainarahaston nykyaikaistaminen (tunniste: 16940)</w:t>
      </w:r>
    </w:p>
    <w:p w:rsidR="00B0093E" w:rsidRDefault="00762CA6">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Julkisten hankintojen ala</w:t>
      </w:r>
      <w:r>
        <w:rPr>
          <w:rFonts w:ascii="Times New Roman" w:hAnsi="Times New Roman"/>
          <w:noProof/>
          <w:sz w:val="24"/>
        </w:rPr>
        <w:t>n ammattimaistaminen (tunniste: 16711)</w:t>
      </w:r>
    </w:p>
    <w:p w:rsidR="00B0093E" w:rsidRDefault="00B0093E">
      <w:pPr>
        <w:spacing w:after="0" w:line="240" w:lineRule="auto"/>
        <w:ind w:left="720"/>
        <w:jc w:val="both"/>
        <w:rPr>
          <w:rFonts w:ascii="Times New Roman" w:hAnsi="Times New Roman" w:cs="Times New Roman"/>
          <w:noProof/>
          <w:sz w:val="24"/>
        </w:rPr>
      </w:pPr>
    </w:p>
    <w:tbl>
      <w:tblPr>
        <w:tblW w:w="15778" w:type="dxa"/>
        <w:jc w:val="center"/>
        <w:tblLook w:val="04A0" w:firstRow="1" w:lastRow="0" w:firstColumn="1" w:lastColumn="0" w:noHBand="0" w:noVBand="1"/>
      </w:tblPr>
      <w:tblGrid>
        <w:gridCol w:w="1027"/>
        <w:gridCol w:w="2292"/>
        <w:gridCol w:w="1626"/>
        <w:gridCol w:w="2311"/>
        <w:gridCol w:w="2065"/>
        <w:gridCol w:w="1247"/>
        <w:gridCol w:w="966"/>
        <w:gridCol w:w="1006"/>
        <w:gridCol w:w="1387"/>
        <w:gridCol w:w="657"/>
        <w:gridCol w:w="4726"/>
      </w:tblGrid>
      <w:tr w:rsidR="00B0093E">
        <w:trPr>
          <w:trHeight w:val="927"/>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21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712"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noProof/>
              </w:rPr>
              <w:t xml:space="preserve"> </w:t>
            </w:r>
            <w:r>
              <w:rPr>
                <w:rFonts w:ascii="Times New Roman" w:hAnsi="Times New Roman"/>
                <w:noProof/>
              </w:rPr>
              <w:br/>
            </w:r>
            <w:r>
              <w:rPr>
                <w:rFonts w:ascii="Times New Roman" w:hAnsi="Times New Roman"/>
                <w:b/>
                <w:bCs/>
                <w:noProof/>
                <w:sz w:val="18"/>
                <w:szCs w:val="18"/>
              </w:rPr>
              <w:t>(välitavoitteiden osalta)</w:t>
            </w:r>
          </w:p>
        </w:tc>
        <w:tc>
          <w:tcPr>
            <w:tcW w:w="2345"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noProof/>
                <w:sz w:val="24"/>
              </w:rPr>
              <w:br/>
            </w:r>
            <w:r>
              <w:rPr>
                <w:rFonts w:ascii="Times New Roman" w:hAnsi="Times New Roman"/>
                <w:b/>
                <w:bCs/>
                <w:noProof/>
                <w:sz w:val="18"/>
                <w:szCs w:val="18"/>
              </w:rPr>
              <w:t>(tavoitteiden osalta)</w:t>
            </w:r>
          </w:p>
        </w:tc>
        <w:tc>
          <w:tcPr>
            <w:tcW w:w="1336"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7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w:t>
            </w:r>
            <w:r>
              <w:rPr>
                <w:rFonts w:ascii="Times New Roman" w:hAnsi="Times New Roman"/>
                <w:b/>
                <w:bCs/>
                <w:noProof/>
                <w:sz w:val="18"/>
                <w:szCs w:val="18"/>
              </w:rPr>
              <w:t>itteen ja tavoitteen kuvaus</w:t>
            </w:r>
          </w:p>
        </w:tc>
      </w:tr>
      <w:tr w:rsidR="00B0093E">
        <w:trPr>
          <w:trHeight w:val="1013"/>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12"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62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490"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72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214</w:t>
            </w:r>
          </w:p>
        </w:tc>
        <w:tc>
          <w:tcPr>
            <w:tcW w:w="21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13 - 4.2. Julkishallinnon nykyaikaistaminen muun muassa nopeuttamalla julkisten investointien toteuttamista, parantamalla julkisten hankintojen kehystä, toteuttamalla valmiuksien kehittämistoimia ja torjumalla korruptiota – 16701_Valtiontukiverkoston p</w:t>
            </w:r>
            <w:r>
              <w:rPr>
                <w:noProof/>
                <w:color w:val="006100"/>
                <w:sz w:val="18"/>
                <w:szCs w:val="18"/>
              </w:rPr>
              <w:t>arantaminen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71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Tehostettu valtiontukiverkosto</w:t>
            </w:r>
          </w:p>
        </w:tc>
        <w:tc>
          <w:tcPr>
            <w:tcW w:w="15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Tehostetun valtiontukikehyksen voimaantulo</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49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Valtiontukien keskusverkoston (CESANET) toimintaa koskevaan valtiontukilainsäädäntöön tehtyjen muutosten voimaantulo valtiontukien keskusyksikön ja</w:t>
            </w:r>
            <w:r>
              <w:rPr>
                <w:noProof/>
                <w:color w:val="006100"/>
                <w:sz w:val="18"/>
                <w:szCs w:val="18"/>
              </w:rPr>
              <w:t xml:space="preserve"> hajautettujen valtiontukiyksiköiden toimivallan vahvistamiseksi</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215</w:t>
            </w:r>
          </w:p>
        </w:tc>
        <w:tc>
          <w:tcPr>
            <w:tcW w:w="21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Julkishallinnon nykyaikaistaminen muun muassa nopeuttamalla julkisten investointien toteuttamista, parantamalla julkisten hankintojen kehystä, toteuttamalla valmiuksien </w:t>
            </w:r>
            <w:r>
              <w:rPr>
                <w:noProof/>
                <w:color w:val="006100"/>
                <w:sz w:val="18"/>
                <w:szCs w:val="18"/>
              </w:rPr>
              <w:t>kehittämistoimia ja torjumalla korruptiota – 16981_Poliittisen suunnittelun ja koordinoinnin tehostaminen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71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Politiikan suunnittelu ja koordinointi – vaikutusten arviointi</w:t>
            </w:r>
          </w:p>
        </w:tc>
        <w:tc>
          <w:tcPr>
            <w:tcW w:w="152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Koulutusohjelma käynnistettiin siten, että siihen osallistuu 100 virkamiest</w:t>
            </w:r>
            <w:r>
              <w:rPr>
                <w:noProof/>
                <w:color w:val="006100"/>
                <w:sz w:val="18"/>
                <w:szCs w:val="18"/>
              </w:rPr>
              <w:t>ä.</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4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72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Kun sähköinen foorumi on otettu käyttöön vaikutustenarviointia varten, käynnistetään koulutusohjelma ja siihen liittyvä akkreditointimenettely, johon osallistuu vähintään 100 virkamiestä, mukaan lukien ”toimeenpaneviin toimipisteisiin” (laki 4622/2019, 104</w:t>
            </w:r>
            <w:r>
              <w:rPr>
                <w:noProof/>
                <w:color w:val="006100"/>
                <w:sz w:val="18"/>
                <w:szCs w:val="18"/>
              </w:rPr>
              <w:t xml:space="preserve"> §) valitut virkamiehet, joiden tavoitteena on parantaa laadittujen vaikutustenarviointien laatua ja helpottaa sähköisen alustan käyttöä. </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216</w:t>
            </w:r>
          </w:p>
        </w:tc>
        <w:tc>
          <w:tcPr>
            <w:tcW w:w="214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Nykyaikaistetaan julkishallintoa muun muassa nopeuttamalla julkisten investointien toteuttamista, </w:t>
            </w:r>
            <w:r>
              <w:rPr>
                <w:noProof/>
                <w:color w:val="006100"/>
                <w:sz w:val="18"/>
                <w:szCs w:val="18"/>
              </w:rPr>
              <w:t>parantamalla julkisia hankintoja koskevia puitteita, toteuttamalla valmiuksien kehittämistoimia ja torjumalla korruptiota – 16711_Julkisten hankintojen alan ammattimaistaminen</w:t>
            </w:r>
          </w:p>
        </w:tc>
        <w:tc>
          <w:tcPr>
            <w:tcW w:w="9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71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Julkisten hankintojen alan ammattimaistaminen – uusi lainsäädäntö</w:t>
            </w:r>
          </w:p>
        </w:tc>
        <w:tc>
          <w:tcPr>
            <w:tcW w:w="152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Uusi lainsäädäntö tuli voimaan; perusteellinen tutkimus valmis</w:t>
            </w:r>
          </w:p>
        </w:tc>
        <w:tc>
          <w:tcPr>
            <w:tcW w:w="8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62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4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49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72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i) Sellaisen uuden lainsäädännön voimaantulo, jossa säädetään julkisten hankintojen parissa työskentelevän henkilöstön ammatillisista työvirroista, erityisosaamisryhmistä sekä tal</w:t>
            </w:r>
            <w:r>
              <w:rPr>
                <w:noProof/>
                <w:color w:val="006100"/>
                <w:sz w:val="18"/>
                <w:szCs w:val="18"/>
              </w:rPr>
              <w:t>oudellisten ja muiden kuin taloudellisten kannustimien hyväksymisestä täysin yhdenmukaisen palkkataulukon (laki 4354/2015) mukaisesti ilman, että siitä olisi säädetty poikkeuksia; perusteellisen tutkimuksen toimittaminen julkisia hankintoja tekevien elinte</w:t>
            </w:r>
            <w:r>
              <w:rPr>
                <w:noProof/>
                <w:color w:val="006100"/>
                <w:sz w:val="18"/>
                <w:szCs w:val="18"/>
              </w:rPr>
              <w:t>n rakenteen ja vastuiden uudelleenjärjestelemiseksi.</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217</w:t>
            </w:r>
          </w:p>
        </w:tc>
        <w:tc>
          <w:tcPr>
            <w:tcW w:w="214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Julkishallinnon nykyaikaistaminen muun muassa nopeuttamalla julkisten investointien toteuttamista, parantamalla julkisten hankintojen kehystä, toteuttamalla valmiuksien kehittämistoimia </w:t>
            </w:r>
            <w:r>
              <w:rPr>
                <w:noProof/>
                <w:color w:val="006100"/>
                <w:sz w:val="18"/>
                <w:szCs w:val="18"/>
              </w:rPr>
              <w:t>ja torjumalla korruptiota – 16940_Kreikan talletus- ja lainarahaston nykyaikaistaminen </w:t>
            </w:r>
          </w:p>
        </w:tc>
        <w:tc>
          <w:tcPr>
            <w:tcW w:w="9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71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Kreikan talletus- ja lainarahastoa koskevien kaikkien alahankkeiden loppuun saattaminen</w:t>
            </w:r>
          </w:p>
        </w:tc>
        <w:tc>
          <w:tcPr>
            <w:tcW w:w="152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Kreikan talletus- ja lainarahaston raportti alahankkeiden loppuun </w:t>
            </w:r>
            <w:r>
              <w:rPr>
                <w:noProof/>
                <w:color w:val="006100"/>
                <w:sz w:val="18"/>
                <w:szCs w:val="18"/>
              </w:rPr>
              <w:t>saattamisesta.</w:t>
            </w:r>
          </w:p>
        </w:tc>
        <w:tc>
          <w:tcPr>
            <w:tcW w:w="866"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622"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49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Kreikan talletus- ja lainarahaston kaikkien alahankkeiden loppuun saattaminen: arkistojen digitalisointi ja asiakirjahallintajärjestelmä; integroitu tietojärjestelmä; ERP-tietojärjestelmä; hallinnoidut painopalvelut; henkilöstöha</w:t>
            </w:r>
            <w:r>
              <w:rPr>
                <w:noProof/>
                <w:color w:val="006100"/>
                <w:sz w:val="18"/>
                <w:szCs w:val="18"/>
              </w:rPr>
              <w:t>llinnon järjestelmä.</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218</w:t>
            </w:r>
          </w:p>
        </w:tc>
        <w:tc>
          <w:tcPr>
            <w:tcW w:w="2146"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13 - 4.2. Nykyaikaistetaan julkishallintoa muun muassa nopeuttamalla julkisten investointien toteuttamista, parantamalla julkisia hankintoja koskevia puitteita, toteuttamalla valmiuksien kehittämistoimia ja torjumalla korruptiota</w:t>
            </w:r>
            <w:r>
              <w:rPr>
                <w:noProof/>
                <w:color w:val="006100"/>
                <w:sz w:val="18"/>
                <w:szCs w:val="18"/>
              </w:rPr>
              <w:t xml:space="preserve"> – 16711_Julkisten hankintojen alan ammattimaistaminen</w:t>
            </w:r>
          </w:p>
        </w:tc>
        <w:tc>
          <w:tcPr>
            <w:tcW w:w="966"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712"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Julkisia hankintoja koskevan kansallisen strategian (2021-2025) täytäntöönpano</w:t>
            </w:r>
          </w:p>
        </w:tc>
        <w:tc>
          <w:tcPr>
            <w:tcW w:w="1520"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Kansallinen julkisten hankintojen strategia on pantu täysimääräisesti täytäntöön</w:t>
            </w:r>
          </w:p>
        </w:tc>
        <w:tc>
          <w:tcPr>
            <w:tcW w:w="866"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57"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622"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46"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490"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single" w:sz="4" w:space="0" w:color="auto"/>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Julkisia </w:t>
            </w:r>
            <w:r>
              <w:rPr>
                <w:noProof/>
                <w:color w:val="006100"/>
                <w:sz w:val="18"/>
                <w:szCs w:val="18"/>
              </w:rPr>
              <w:t>hankintoja koskevan kansallisen strategian täytäntöönpano kokonaisuudessaan, mukaan lukien hallintojärjestelyjen perustaminen ja sidosryhmien uudelleenorganisointi; seurantakehyksen perustaminen; voimaan tulee sekundaarilainsäädännön ja muiden toimien mahd</w:t>
            </w:r>
            <w:r>
              <w:rPr>
                <w:noProof/>
                <w:color w:val="006100"/>
                <w:sz w:val="18"/>
                <w:szCs w:val="18"/>
              </w:rPr>
              <w:t>ollistaminen kehyksen saattamiseksi täysin toimintakykyiseksi; IV) perustetaan keskeisiä aloitteita, kuten ympäristöä säästävät hankinnat ja hankinta2innovate, yksityisten sähköisten hankintajärjestelmien sertifiointikehys.</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219</w:t>
            </w:r>
          </w:p>
        </w:tc>
        <w:tc>
          <w:tcPr>
            <w:tcW w:w="21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Julkishallinnon </w:t>
            </w:r>
            <w:r>
              <w:rPr>
                <w:noProof/>
                <w:color w:val="006100"/>
                <w:sz w:val="18"/>
                <w:szCs w:val="18"/>
              </w:rPr>
              <w:t>nykyaikaistaminen muun muassa nopeuttamalla julkisten investointien toteuttamista, parantamalla julkisten hankintojen kehystä, toteuttamalla valmiuksien kehittämistoimia ja torjumalla korruptiota – 16974_Kirjanpitouudistus</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71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Kirjanpitouudistus:</w:t>
            </w:r>
          </w:p>
          <w:p w:rsidR="00B0093E" w:rsidRDefault="00762CA6">
            <w:pPr>
              <w:spacing w:after="0" w:line="240" w:lineRule="auto"/>
              <w:rPr>
                <w:rFonts w:eastAsia="Times New Roman" w:cs="Calibri"/>
                <w:noProof/>
                <w:color w:val="006100"/>
                <w:sz w:val="18"/>
                <w:szCs w:val="18"/>
              </w:rPr>
            </w:pPr>
            <w:r>
              <w:rPr>
                <w:noProof/>
                <w:color w:val="006100"/>
                <w:sz w:val="18"/>
                <w:szCs w:val="18"/>
              </w:rPr>
              <w:t>Konsernitilinpäätös</w:t>
            </w:r>
          </w:p>
        </w:tc>
        <w:tc>
          <w:tcPr>
            <w:tcW w:w="15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Konsolidoitujen tilinpäätösten laatiminen valmiina.</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49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Konsolidoitujen tilinpäätösten laatiminen kaikista julkisyhteisöjen alasektoreista, paikallishallinnot mukaan luettuina.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Näiden tulosten saavuttamiseksi tarvitaan seuraavia toimia: </w:t>
            </w:r>
          </w:p>
          <w:p w:rsidR="00B0093E" w:rsidRDefault="00762CA6">
            <w:pPr>
              <w:numPr>
                <w:ilvl w:val="0"/>
                <w:numId w:val="45"/>
              </w:numPr>
              <w:spacing w:before="120" w:after="0" w:line="259" w:lineRule="auto"/>
              <w:ind w:left="229" w:hanging="229"/>
              <w:contextualSpacing/>
              <w:jc w:val="both"/>
              <w:rPr>
                <w:rFonts w:eastAsia="Times New Roman" w:cs="Calibri"/>
                <w:noProof/>
                <w:color w:val="006100"/>
                <w:sz w:val="18"/>
                <w:szCs w:val="18"/>
              </w:rPr>
            </w:pPr>
            <w:r>
              <w:rPr>
                <w:noProof/>
                <w:color w:val="006100"/>
                <w:sz w:val="18"/>
                <w:szCs w:val="18"/>
              </w:rPr>
              <w:t xml:space="preserve">Keskushallinnon vero- ja varainhallinto- ja raportointitoimintojen suunnittelu, toteuttaminen ja toiminta sekä kaikkien muiden keskushallinnon ulkopuolisten julkisyhteisöjen yksiköiden finanssi- </w:t>
            </w:r>
            <w:r>
              <w:rPr>
                <w:noProof/>
                <w:color w:val="006100"/>
                <w:sz w:val="18"/>
                <w:szCs w:val="18"/>
              </w:rPr>
              <w:t>ja rahoitustietojen kerääminen ja seuranta.</w:t>
            </w:r>
          </w:p>
          <w:p w:rsidR="00B0093E" w:rsidRDefault="00762CA6">
            <w:pPr>
              <w:numPr>
                <w:ilvl w:val="0"/>
                <w:numId w:val="45"/>
              </w:numPr>
              <w:spacing w:before="120" w:after="0" w:line="259" w:lineRule="auto"/>
              <w:ind w:left="229" w:hanging="229"/>
              <w:contextualSpacing/>
              <w:jc w:val="both"/>
              <w:rPr>
                <w:rFonts w:eastAsia="Times New Roman" w:cs="Calibri"/>
                <w:noProof/>
                <w:color w:val="006100"/>
                <w:sz w:val="18"/>
                <w:szCs w:val="18"/>
              </w:rPr>
            </w:pPr>
            <w:r>
              <w:rPr>
                <w:noProof/>
                <w:color w:val="006100"/>
                <w:sz w:val="18"/>
                <w:szCs w:val="18"/>
              </w:rPr>
              <w:t>Lisää lasku GOV-ERP-järjestelmään</w:t>
            </w:r>
          </w:p>
          <w:p w:rsidR="00B0093E" w:rsidRDefault="00762CA6">
            <w:pPr>
              <w:numPr>
                <w:ilvl w:val="0"/>
                <w:numId w:val="45"/>
              </w:numPr>
              <w:spacing w:before="120" w:after="0" w:line="259" w:lineRule="auto"/>
              <w:ind w:left="229" w:hanging="229"/>
              <w:contextualSpacing/>
              <w:jc w:val="both"/>
              <w:rPr>
                <w:rFonts w:eastAsia="Times New Roman" w:cs="Calibri"/>
                <w:noProof/>
                <w:color w:val="006100"/>
                <w:sz w:val="18"/>
                <w:szCs w:val="18"/>
              </w:rPr>
            </w:pPr>
            <w:r>
              <w:rPr>
                <w:noProof/>
                <w:color w:val="006100"/>
                <w:sz w:val="18"/>
                <w:szCs w:val="18"/>
              </w:rPr>
              <w:t>Rahoituspalveluyhteisöjen virkamiesten kouluttaminen julkisyhteisöjen kirjanpitojärjestelmään (GGAF) ja julkiseen varainhoitoon liittyvissä kysymyksissä</w:t>
            </w:r>
          </w:p>
          <w:p w:rsidR="00B0093E" w:rsidRDefault="00762CA6">
            <w:pPr>
              <w:numPr>
                <w:ilvl w:val="0"/>
                <w:numId w:val="45"/>
              </w:numPr>
              <w:spacing w:before="120" w:after="0" w:line="259" w:lineRule="auto"/>
              <w:ind w:left="229" w:hanging="229"/>
              <w:contextualSpacing/>
              <w:jc w:val="both"/>
              <w:rPr>
                <w:rFonts w:eastAsia="Times New Roman" w:cs="Calibri"/>
                <w:noProof/>
                <w:color w:val="006100"/>
                <w:sz w:val="18"/>
                <w:szCs w:val="18"/>
              </w:rPr>
            </w:pPr>
            <w:r>
              <w:rPr>
                <w:noProof/>
                <w:color w:val="006100"/>
                <w:sz w:val="18"/>
                <w:szCs w:val="18"/>
              </w:rPr>
              <w:t>Konsernitilinpäätöksen la</w:t>
            </w:r>
            <w:r>
              <w:rPr>
                <w:noProof/>
                <w:color w:val="006100"/>
                <w:sz w:val="18"/>
                <w:szCs w:val="18"/>
              </w:rPr>
              <w:t>atiminen.</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220</w:t>
            </w:r>
          </w:p>
        </w:tc>
        <w:tc>
          <w:tcPr>
            <w:tcW w:w="21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13 - 4.2. Julkishallinnon nykyaikaistaminen muun muassa nopeuttamalla julkisten investointien toteuttamista, parantamalla julkisten hankintojen kehystä, toteuttamalla valmiuksien kehittämistoimia ja torjumalla korruptiota – </w:t>
            </w:r>
            <w:r>
              <w:rPr>
                <w:noProof/>
                <w:color w:val="006100"/>
                <w:sz w:val="18"/>
                <w:szCs w:val="18"/>
              </w:rPr>
              <w:t>16705_Verohallinnon ja varainhoidon valvonnan digitalisaatio hallinnon ja sähköisen laskutuksen osalta</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71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Valtion yritysresurssien suunnittelu (GOV-ERP)</w:t>
            </w:r>
          </w:p>
        </w:tc>
        <w:tc>
          <w:tcPr>
            <w:tcW w:w="152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Tietotekniikkajärjestelmä on täysin toimintakykyinen.</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49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jc w:val="both"/>
              <w:rPr>
                <w:rFonts w:eastAsia="Times New Roman" w:cs="Calibri"/>
                <w:noProof/>
                <w:color w:val="006100"/>
                <w:sz w:val="18"/>
                <w:szCs w:val="18"/>
              </w:rPr>
            </w:pPr>
            <w:r>
              <w:rPr>
                <w:noProof/>
                <w:color w:val="006100"/>
                <w:sz w:val="18"/>
                <w:szCs w:val="18"/>
              </w:rPr>
              <w:t xml:space="preserve">Toteuttaa varainhoidon ja </w:t>
            </w:r>
            <w:r>
              <w:rPr>
                <w:noProof/>
                <w:color w:val="006100"/>
                <w:sz w:val="18"/>
                <w:szCs w:val="18"/>
              </w:rPr>
              <w:t>valvonnan kehyksen digitalisaation saattamalla valtion yritysresurssisuunnittelun (Government Enterprise Resource Planning, GOV-ERP) täysin toimintavalmiiksi.</w:t>
            </w:r>
          </w:p>
          <w:p w:rsidR="00B0093E" w:rsidRDefault="00762CA6">
            <w:pPr>
              <w:spacing w:after="0" w:line="240" w:lineRule="auto"/>
              <w:jc w:val="both"/>
              <w:rPr>
                <w:rFonts w:eastAsia="Times New Roman" w:cs="Calibri"/>
                <w:noProof/>
                <w:color w:val="006100"/>
                <w:sz w:val="18"/>
                <w:szCs w:val="18"/>
              </w:rPr>
            </w:pPr>
            <w:r>
              <w:rPr>
                <w:noProof/>
                <w:color w:val="006100"/>
                <w:sz w:val="18"/>
                <w:szCs w:val="18"/>
              </w:rPr>
              <w:t xml:space="preserve">Tämän tavoitteen saavuttamiseksi toteutetaan alahankkeita: </w:t>
            </w:r>
          </w:p>
          <w:p w:rsidR="00B0093E" w:rsidRDefault="00762CA6">
            <w:pPr>
              <w:spacing w:after="0" w:line="240" w:lineRule="auto"/>
              <w:jc w:val="both"/>
              <w:rPr>
                <w:rFonts w:eastAsia="Times New Roman" w:cs="Calibri"/>
                <w:noProof/>
                <w:color w:val="006100"/>
                <w:sz w:val="18"/>
                <w:szCs w:val="18"/>
              </w:rPr>
            </w:pPr>
            <w:r>
              <w:rPr>
                <w:noProof/>
                <w:color w:val="006100"/>
                <w:sz w:val="18"/>
                <w:szCs w:val="18"/>
              </w:rPr>
              <w:t>Julkishallinnon julkisyhteisöjen fina</w:t>
            </w:r>
            <w:r>
              <w:rPr>
                <w:noProof/>
                <w:color w:val="006100"/>
                <w:sz w:val="18"/>
                <w:szCs w:val="18"/>
              </w:rPr>
              <w:t>nssihallinnon ja valvonnan digitalisaatio.</w:t>
            </w:r>
          </w:p>
          <w:p w:rsidR="00B0093E" w:rsidRDefault="00762CA6">
            <w:pPr>
              <w:spacing w:after="0" w:line="240" w:lineRule="auto"/>
              <w:jc w:val="both"/>
              <w:rPr>
                <w:rFonts w:eastAsia="Times New Roman" w:cs="Calibri"/>
                <w:noProof/>
                <w:color w:val="006100"/>
                <w:sz w:val="18"/>
                <w:szCs w:val="18"/>
              </w:rPr>
            </w:pPr>
            <w:r>
              <w:rPr>
                <w:noProof/>
                <w:color w:val="006100"/>
                <w:sz w:val="18"/>
                <w:szCs w:val="18"/>
              </w:rPr>
              <w:t xml:space="preserve">Julkisyhteisöjen ERP-järjestelmien liittäminen Kreikan sähköiseen laskuun. </w:t>
            </w:r>
          </w:p>
          <w:p w:rsidR="00B0093E" w:rsidRDefault="00762CA6">
            <w:pPr>
              <w:spacing w:after="0" w:line="240" w:lineRule="auto"/>
              <w:jc w:val="both"/>
              <w:rPr>
                <w:rFonts w:eastAsia="Times New Roman" w:cs="Calibri"/>
                <w:noProof/>
                <w:color w:val="006100"/>
                <w:sz w:val="18"/>
                <w:szCs w:val="18"/>
              </w:rPr>
            </w:pPr>
            <w:r>
              <w:rPr>
                <w:noProof/>
                <w:color w:val="006100"/>
                <w:sz w:val="18"/>
                <w:szCs w:val="18"/>
              </w:rPr>
              <w:t xml:space="preserve"> ERP-järjestelmien liittäminen sähköisen laskun verkkoon</w:t>
            </w:r>
          </w:p>
          <w:p w:rsidR="00B0093E" w:rsidRDefault="00762CA6">
            <w:pPr>
              <w:spacing w:after="0" w:line="240" w:lineRule="auto"/>
              <w:jc w:val="both"/>
              <w:rPr>
                <w:rFonts w:eastAsia="Times New Roman" w:cs="Calibri"/>
                <w:noProof/>
                <w:color w:val="006100"/>
                <w:sz w:val="18"/>
                <w:szCs w:val="18"/>
              </w:rPr>
            </w:pPr>
            <w:r>
              <w:rPr>
                <w:noProof/>
                <w:color w:val="006100"/>
                <w:sz w:val="18"/>
                <w:szCs w:val="18"/>
              </w:rPr>
              <w:t xml:space="preserve"> Sähköisen laskun palveluntarjoajien liittäminen sähköisen laskun verkkoon</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221</w:t>
            </w:r>
          </w:p>
        </w:tc>
        <w:tc>
          <w:tcPr>
            <w:tcW w:w="21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13 - 4.2. Nykyaikaistetaan julkishallintoa muun muassa nopeuttamalla julkisten investointien toteuttamista, parantamalla julkisia hankintoja koskevia puitteita, toteuttamalla valmiuksien kehittämistoimia ja torjumalla korruptiota – 16711_Julkisten hankinto</w:t>
            </w:r>
            <w:r>
              <w:rPr>
                <w:noProof/>
                <w:color w:val="006100"/>
                <w:sz w:val="18"/>
                <w:szCs w:val="18"/>
              </w:rPr>
              <w:t>jen alan ammattimaistaminen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71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Täydennys- ja uudelleenkoulutusohjelmien loppuun saattaminen julkisia hankintoja varten</w:t>
            </w:r>
          </w:p>
        </w:tc>
        <w:tc>
          <w:tcPr>
            <w:tcW w:w="1520"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Koulutettujen ja sertifioitujen virkamiesten lukumäärä</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6 000</w:t>
            </w: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49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Julkisten hankintojen alan ammattilaisten täydennys- ja uudelleenkoulutusohjelmien loppuun saattaminen ja sertifiointien myöntäminen. </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09"/>
          <w:headerReference w:type="default" r:id="rId210"/>
          <w:footerReference w:type="even" r:id="rId211"/>
          <w:footerReference w:type="default" r:id="rId212"/>
          <w:headerReference w:type="first" r:id="rId213"/>
          <w:footerReference w:type="first" r:id="rId214"/>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KOMPONENTTI 4.3: OIKEUSJÄRJESTELMÄN TEHOKKUUDEN PARANTAMINEN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Tämä Kreikan elpymis- ja palautumissuunnitelman komponentti käsittää useita laaja-alaisia uudistuksia ja investointeja, joilla pyritään parantamaan Kreikan oikeusjärjestelmän vaikuttavuutta ja tehokkuutta ottamalla käyttöön maan oikeuslaitoksen kartan kun</w:t>
      </w:r>
      <w:r>
        <w:rPr>
          <w:rFonts w:ascii="Times New Roman" w:hAnsi="Times New Roman"/>
          <w:noProof/>
          <w:sz w:val="24"/>
        </w:rPr>
        <w:t xml:space="preserve">nianhimoinen tarkistus, vastaamalla infrastruktuuritarpeisiin, toteuttamalla toimenpiteitä oikeusjärjestelmän digitaalisten valmiuksien lisäämiseksi, nykyaikaistamalla tuomioistuinten toimintaa, perustamalla oikeuslaitos sekä laajentamalla ja parantamalla </w:t>
      </w:r>
      <w:r>
        <w:rPr>
          <w:rFonts w:ascii="Times New Roman" w:hAnsi="Times New Roman"/>
          <w:noProof/>
          <w:sz w:val="24"/>
        </w:rPr>
        <w:t>tuomareiden ja toimihenkilöiden koulutusta (sekä alku- että eliniän aikana). Toimenpiteillä on tarkoitus tukea julkisiin ja yksityisiin investointeihin (maakohtainen suositus 2 2019, maakohtainen suositus 3 2020) ja talouden toiminnan parantamiseen tähtääv</w:t>
      </w:r>
      <w:r>
        <w:rPr>
          <w:rFonts w:ascii="Times New Roman" w:hAnsi="Times New Roman"/>
          <w:noProof/>
          <w:sz w:val="24"/>
        </w:rPr>
        <w:t>iin rakenneuudistuksiin (maakohtainen suositus 4 2020) sisältyvien haasteiden ratkaisemista. Minkään tähän osa-alueeseen kuuluvan toimenpiteen ei odoteta aiheuttavan merkittävää haittaa asetuksen (EU) 2020/852 17 artiklassa tarkoitetuille ympäristötavoitte</w:t>
      </w:r>
      <w:r>
        <w:rPr>
          <w:rFonts w:ascii="Times New Roman" w:hAnsi="Times New Roman"/>
          <w:noProof/>
          <w:sz w:val="24"/>
        </w:rPr>
        <w:t>ille, kun otetaan huomioon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N.1 </w:t>
      </w:r>
      <w:r>
        <w:rPr>
          <w:rFonts w:ascii="Times New Roman" w:hAnsi="Times New Roman"/>
          <w:b/>
          <w:noProof/>
          <w:sz w:val="24"/>
          <w:u w:val="single"/>
        </w:rPr>
        <w:tab/>
      </w:r>
      <w:r>
        <w:rPr>
          <w:rFonts w:ascii="Times New Roman" w:hAnsi="Times New Roman"/>
          <w:b/>
          <w:bCs/>
          <w:noProof/>
          <w:sz w:val="24"/>
          <w:u w:val="single"/>
        </w:rPr>
        <w:t>Kuvaus uudistuksista ja investoinneista, joita r</w:t>
      </w:r>
      <w:r>
        <w:rPr>
          <w:rFonts w:ascii="Times New Roman" w:hAnsi="Times New Roman"/>
          <w:b/>
          <w:bCs/>
          <w:noProof/>
          <w:sz w:val="24"/>
          <w:u w:val="single"/>
        </w:rPr>
        <w:t>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Investoinnit: </w:t>
      </w:r>
      <w:r>
        <w:rPr>
          <w:rFonts w:ascii="Times New Roman" w:hAnsi="Times New Roman"/>
          <w:noProof/>
          <w:sz w:val="24"/>
        </w:rPr>
        <w:t>Uudet oikeuslaitoksen rakennukset ja peruskorjaukset (toimenpiteen tunniste 16292)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Toimenpide koostuu oikeusjärjestelmään kuuluvien rakennusten rakentamiseen ja kunnostamiseen kohdennetusta </w:t>
      </w:r>
      <w:r>
        <w:rPr>
          <w:rFonts w:ascii="Times New Roman" w:hAnsi="Times New Roman"/>
          <w:noProof/>
          <w:sz w:val="24"/>
        </w:rPr>
        <w:t>investoinnista, joka liittyy läheisesti tuomioistuinverkoston tarkistamiseen, jotta voidaan maksimoida oikeuslaitoksen tehokkuus ja välttää tarpeettomia ponnisteluja ja kuluja. Kaikki oikeuslaitoksen omistamat tai sen käyttämät kiinteistöt on kirjattava sä</w:t>
      </w:r>
      <w:r>
        <w:rPr>
          <w:rFonts w:ascii="Times New Roman" w:hAnsi="Times New Roman"/>
          <w:noProof/>
          <w:sz w:val="24"/>
        </w:rPr>
        <w:t>hköiseen henkilöllisyysrekisteriin seurannan ja suunnittelun helpottamiseksi. Kaikkien uusien rakennusten on täytettävä primäärienergiantarve, joka on vähintään 20 prosenttia pienempi kuin lähes nollaenergiarakennuksia koskeva vaatimus (lähes nollaenergiar</w:t>
      </w:r>
      <w:r>
        <w:rPr>
          <w:rFonts w:ascii="Times New Roman" w:hAnsi="Times New Roman"/>
          <w:noProof/>
          <w:sz w:val="24"/>
        </w:rPr>
        <w:t>akennus, kansalliset direktiivit). Minkään tähän osa-alueeseen kuuluvan toimenpiteen ei odoteta aiheuttavan merkittävää haittaa asetuksen (EU) 2020/852 17 artiklassa tarkoitetuille ympäristötavoitteille, kun otetaan huomioon elpymis- ja palautumissuunnitel</w:t>
      </w:r>
      <w:r>
        <w:rPr>
          <w:rFonts w:ascii="Times New Roman" w:hAnsi="Times New Roman"/>
          <w:noProof/>
          <w:sz w:val="24"/>
        </w:rPr>
        <w:t>massa esitettyjen toimenpiteen kuvaus ja lieventävät toimet ”ei merkittävää haittaa -periaatteen” teknisten ohjeiden (2021/C58/01) mukaisesti. Toimenpiteessä edellytetään erityisesti, että rakennustyöt suorittavien talouden toimijoiden on varmistettava, et</w:t>
      </w:r>
      <w:r>
        <w:rPr>
          <w:rFonts w:ascii="Times New Roman" w:hAnsi="Times New Roman"/>
          <w:noProof/>
          <w:sz w:val="24"/>
        </w:rPr>
        <w:t xml:space="preserve">tä vähintään 70 prosenttia (painoprosentteina) rakennustyömaalla tuotetusta vaarattomasta rakennus- ja purkujätteestä (lukuun ottamatta luokkaan 17 05 04 kuuluvaa luonnosta peräisin olevaa ainesta, joka sisältyy Euroopan jäteluetteloon, joka on perustettu </w:t>
      </w:r>
      <w:r>
        <w:rPr>
          <w:rFonts w:ascii="Times New Roman" w:hAnsi="Times New Roman"/>
          <w:noProof/>
          <w:sz w:val="24"/>
        </w:rPr>
        <w:t>3 päivänä toukokuuta 2000 tehdyllä päätöksellä 2000/532/EY jätteistä annetun neuvoston direktiivin 75/442/ETY 1 artiklan a alakohdan mukaisen jäteluettelon laatimisesta tehdyn komission päätöksen 94/3/EY ja vaarallisista jätteistä annetun neuvoston direkti</w:t>
      </w:r>
      <w:r>
        <w:rPr>
          <w:rFonts w:ascii="Times New Roman" w:hAnsi="Times New Roman"/>
          <w:noProof/>
          <w:sz w:val="24"/>
        </w:rPr>
        <w:t>ivin 91/689/ETY 1 artiklan 4 kohdan mukaisen vaarallisten jätteiden luettelon laatimisesta tehdyn neuvoston päätöksen 94/904/EY korvaamisesta (tiedoksiannettu numerolla K(2000) 1147)) valmistellaan uudelleenkäyttöön, kierrätykseen ja muuhun materiaalien hy</w:t>
      </w:r>
      <w:r>
        <w:rPr>
          <w:rFonts w:ascii="Times New Roman" w:hAnsi="Times New Roman"/>
          <w:noProof/>
          <w:sz w:val="24"/>
        </w:rPr>
        <w:t xml:space="preserve">ödyntämiseen, mukaan lukien maantäyttötoimet, joissa käytetään jätettä korvaamaan muita materiaaleja, jätehierarkian ja EU:n rakennus- ja purkujätteen käsittely- ja kierrätysmallin mukaisesti.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on määrä toteuttaa viimeistään 31 päivänä joulukuu</w:t>
      </w:r>
      <w:r>
        <w:rPr>
          <w:rFonts w:ascii="Times New Roman" w:hAnsi="Times New Roman"/>
          <w:noProof/>
          <w:sz w:val="24"/>
        </w:rPr>
        <w:t>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Oikeusalan digitaalinen muutos (sähköinen oikeus) (toimenpiteen tunniste 16727)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Kreikan oikeusjärjestelmän digitalisaatio toteutetaan oikeusministeriön valvonnassa, ja siihen sisältyy joukko toimia, joilla parannetaan sen tietoteknisiä v</w:t>
      </w:r>
      <w:r>
        <w:rPr>
          <w:rFonts w:ascii="Times New Roman" w:hAnsi="Times New Roman"/>
          <w:noProof/>
          <w:sz w:val="24"/>
        </w:rPr>
        <w:t>almiuksia asiakirjojen digitalisoinnin, tuomioistuinten kirjanpitojärjestelmän parantamisen, menettelyjen yksinkertaistamisen, standardoinnin ja nopeuttamisen avulla sekä tuomioistuinten tietotekniikkajärjestelmien yhteentoimivuuden parantamiseksi oikeusmi</w:t>
      </w:r>
      <w:r>
        <w:rPr>
          <w:rFonts w:ascii="Times New Roman" w:hAnsi="Times New Roman"/>
          <w:noProof/>
          <w:sz w:val="24"/>
        </w:rPr>
        <w:t>nisteriön sekä muiden kansallisten ja kansainvälisten viranomaisten ja/tai tietokantojen kanssa. Tämä uudistus kattaa kaikki oikeuslaitoksen osat (siviili-, rikos- ja hallinto-oikeus sekä tilintarkastustuomioistuin). Sen valmistuttua tuomareilla ja oikeusl</w:t>
      </w:r>
      <w:r>
        <w:rPr>
          <w:rFonts w:ascii="Times New Roman" w:hAnsi="Times New Roman"/>
          <w:noProof/>
          <w:sz w:val="24"/>
        </w:rPr>
        <w:t>aitoksen henkilöstöllä on oltava käytössään välineet ja infrastruktuuri, joiden avulla he voivat tehostaa asioiden käsittelyä ja nopeuttaa oikeudenkäyttöä sen laatua vaarantamatta.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w:t>
      </w:r>
      <w:r>
        <w:rPr>
          <w:rFonts w:ascii="Times New Roman" w:hAnsi="Times New Roman"/>
          <w:b/>
          <w:bCs/>
          <w:noProof/>
          <w:sz w:val="24"/>
        </w:rPr>
        <w:t>s:</w:t>
      </w:r>
      <w:r>
        <w:rPr>
          <w:rFonts w:ascii="Times New Roman" w:hAnsi="Times New Roman"/>
          <w:noProof/>
          <w:sz w:val="24"/>
        </w:rPr>
        <w:t xml:space="preserve"> Tuomareiden ja oikeuslaitoksen työntekijöiden (oikeushenkilökunta) taidot ja digitaaliset taidot (toimenpiteen tunniste 16733)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Kansallisen tuomarikoulun tehtäviin ja opetussuunnitelmaan tehdään useita institutionaalisia muutoksia; myös sen ehdokkaiden v</w:t>
      </w:r>
      <w:r>
        <w:rPr>
          <w:rFonts w:ascii="Times New Roman" w:hAnsi="Times New Roman"/>
          <w:noProof/>
          <w:sz w:val="24"/>
        </w:rPr>
        <w:t>alintaperusteita on tarkistettava, jotta voidaan tarjota valikoivampi ja kilpailukykyisempi opintoympäristö ja ottaa samalla vastaan uusia opiskelijaryhmiä (tuomarien tuomarit ja tilintarkastustuomioistuin); se tarjoaa myös lisäkursseja, joilla pyritään ta</w:t>
      </w:r>
      <w:r>
        <w:rPr>
          <w:rFonts w:ascii="Times New Roman" w:hAnsi="Times New Roman"/>
          <w:noProof/>
          <w:sz w:val="24"/>
        </w:rPr>
        <w:t xml:space="preserve">rjoamaan uusia taitoja painottaen johtamistaitoja ja digitaalisia taitoja sekä oikeudellisten tehtävien hoitamiseen liittyviä aiheita, kuten etiikkaa, ajanhallintaa, psykologiaa, talousteoriaa ja analyyseja, tuomioistuinten hallintoa ja uutta teknologiaa; </w:t>
      </w:r>
      <w:r>
        <w:rPr>
          <w:rFonts w:ascii="Times New Roman" w:hAnsi="Times New Roman"/>
          <w:noProof/>
          <w:sz w:val="24"/>
        </w:rPr>
        <w:t>uudistukseen sisältyy tuomareiden pakollinen elinikäinen koulutus asioissa, jotka ovat välttämättömiä myös kansallisessa tuomarikoulussa muodostettujen kouluttajien tehtävien hoitamisen kannalta. Lisäksi perustetaan uusi oikeusalan virkailijoiden kansallin</w:t>
      </w:r>
      <w:r>
        <w:rPr>
          <w:rFonts w:ascii="Times New Roman" w:hAnsi="Times New Roman"/>
          <w:noProof/>
          <w:sz w:val="24"/>
        </w:rPr>
        <w:t>en koulu, joka tarjoaa toimihenkilöille koulutusta ja elinikäistä koulutusta aiheista, jotka ovat olennaisia heidän tehtäviensä hoitamisen, palvelujen hallinnoinnin ja organisoinnin, digitaalisten taitojen sekä prosessioikeuden ja aineellisen oikeuden kann</w:t>
      </w:r>
      <w:r>
        <w:rPr>
          <w:rFonts w:ascii="Times New Roman" w:hAnsi="Times New Roman"/>
          <w:noProof/>
          <w:sz w:val="24"/>
        </w:rPr>
        <w:t xml:space="preserve">alta.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määrä toteuttaa viimeistään 31 päivänä joulukuuta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Oikeudenkäytön nopeuttaminen (toimenpiteen tunniste 16575)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nopeutetaan oikeudenkäyttöä ja edistetään maan taloudellista ja institutionaalista muutosta. Uudis</w:t>
      </w:r>
      <w:r>
        <w:rPr>
          <w:rFonts w:ascii="Times New Roman" w:hAnsi="Times New Roman"/>
          <w:noProof/>
          <w:sz w:val="24"/>
        </w:rPr>
        <w:t>tuksen tärkein osatekijä on oikeuslaitoksen kartan suunniteltu tarkistaminen koko maassa, mikä johtaa oikeuspiirien järkiperäiseen uudelleenorganisointiin eri puolilla Kreikkaa sekä oikeudellisten rakenteiden perustamiseen, lakkauttamiseen tai uudelleenjak</w:t>
      </w:r>
      <w:r>
        <w:rPr>
          <w:rFonts w:ascii="Times New Roman" w:hAnsi="Times New Roman"/>
          <w:noProof/>
          <w:sz w:val="24"/>
        </w:rPr>
        <w:t>amiseen kyseisissä tuomiopiireissä objektiivisten kriteerien ja kaikkia tuomioistuimia koskevien tietojen laajan keruun perusteella. Oikeuslaitoksen kartan uudistus kattaa kaikki oikeuslaitoksen osat (siviili-, rikos- ja hallintoasiat). Lisätoimilla parann</w:t>
      </w:r>
      <w:r>
        <w:rPr>
          <w:rFonts w:ascii="Times New Roman" w:hAnsi="Times New Roman"/>
          <w:noProof/>
          <w:sz w:val="24"/>
        </w:rPr>
        <w:t xml:space="preserve">etaan oikeuden tehokkuutta ja vaikuttavuutta: </w:t>
      </w:r>
    </w:p>
    <w:p w:rsidR="00B0093E" w:rsidRDefault="00762CA6">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oikeuspoliisin perustaminen tukemaan ja tehostamaan oikeuslaitoksen toimintaa edistämällä taitotietoa monimutkaisten rikosten (myös talousrikosten, korruption ja rahanpesun) tutkinnassa ja tarjoamalla monenlai</w:t>
      </w:r>
      <w:r>
        <w:rPr>
          <w:rFonts w:ascii="Times New Roman" w:hAnsi="Times New Roman"/>
          <w:noProof/>
          <w:sz w:val="24"/>
        </w:rPr>
        <w:t xml:space="preserve">sia oikeusapupalveluja (avusta esitutkinnassa ja tutkinnassa, tuomioiden täytäntöönpanossa ja asiakirjojen ja oikeudenkäyntiasiakirjojen tiedoksiannossa, pidätysmääräysten täytäntöönpanossa, tuomioiden täytäntöönpanossa, tuomioistuimen määräyksen voimassa </w:t>
      </w:r>
      <w:r>
        <w:rPr>
          <w:rFonts w:ascii="Times New Roman" w:hAnsi="Times New Roman"/>
          <w:noProof/>
          <w:sz w:val="24"/>
        </w:rPr>
        <w:t>pitämisessä, avustamisessa oikeusapupyyntöjen toimittamisessa tai niihin vastaamisessa ja syyttäjäviranomaisten hoitaessa toimivaltaisille tuomioistuimille annettuja valtuuksia),</w:t>
      </w:r>
    </w:p>
    <w:p w:rsidR="00B0093E" w:rsidRDefault="00762CA6">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tuomioistuinhallinnon yleisiä periaatteita käsittelevien koulutusseminaarien </w:t>
      </w:r>
      <w:r>
        <w:rPr>
          <w:rFonts w:ascii="Times New Roman" w:hAnsi="Times New Roman"/>
          <w:noProof/>
          <w:sz w:val="24"/>
        </w:rPr>
        <w:t xml:space="preserve">järjestäminen tuomareille, </w:t>
      </w:r>
    </w:p>
    <w:p w:rsidR="00B0093E" w:rsidRDefault="00762CA6">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hallintotuomioistuinten prosessilainsäädännön muuttaminen oikeudenkäyntien yksinkertaistamiseksi, digitalisoimiseksi ja nopeuttamiseksi, </w:t>
      </w:r>
    </w:p>
    <w:p w:rsidR="00B0093E" w:rsidRDefault="00762CA6">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pilottioikeudenkäyntien aloittaminen siviilituomioistuimissa, </w:t>
      </w:r>
    </w:p>
    <w:p w:rsidR="00B0093E" w:rsidRDefault="00762CA6">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oikeussuojakeinojen </w:t>
      </w:r>
      <w:r>
        <w:rPr>
          <w:rFonts w:ascii="Times New Roman" w:hAnsi="Times New Roman"/>
          <w:noProof/>
          <w:sz w:val="24"/>
        </w:rPr>
        <w:t>hyväksyttävyyttä koskevien suodatusmekanismien käyttöönotto,</w:t>
      </w:r>
    </w:p>
    <w:p w:rsidR="00B0093E" w:rsidRDefault="00762CA6">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tuomioistuinkustannusten laskentamenetelmän uudelleenmuotoilu ja </w:t>
      </w:r>
    </w:p>
    <w:p w:rsidR="00B0093E" w:rsidRDefault="00762CA6">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otetaan käyttöön väliaikainen järjestelmä, jolla tarjotaan oikeudellisia asiamiehille taloudellisia kannustimia, jotka perustuvat</w:t>
      </w:r>
      <w:r>
        <w:rPr>
          <w:rFonts w:ascii="Times New Roman" w:hAnsi="Times New Roman"/>
          <w:noProof/>
          <w:sz w:val="24"/>
        </w:rPr>
        <w:t xml:space="preserve"> objektiivisesti mitattavissa oleviin yksilökohtaisiin tulosindikaattoreihin ja jotka ovat täysin yhdenmukaisia yhtenäisen palkkataulukon (laki 4354/2015) kanssa, mutta jossa ei säädetä poikkeuksista, tuomioistuinten sisäisten tehtävien ja velvollisuuksien</w:t>
      </w:r>
      <w:r>
        <w:rPr>
          <w:rFonts w:ascii="Times New Roman" w:hAnsi="Times New Roman"/>
          <w:noProof/>
          <w:sz w:val="24"/>
        </w:rPr>
        <w:t xml:space="preserve"> suorittamisen nopeuttamiseksi ja tuomioistuinsuman purkamiseksi.</w:t>
      </w:r>
    </w:p>
    <w:p w:rsidR="00B0093E" w:rsidRDefault="00762CA6">
      <w:pPr>
        <w:spacing w:before="120" w:after="120" w:line="240" w:lineRule="auto"/>
        <w:jc w:val="both"/>
        <w:rPr>
          <w:rFonts w:cs="Calibri"/>
          <w:noProof/>
          <w:sz w:val="24"/>
        </w:rPr>
      </w:pPr>
      <w:r>
        <w:rPr>
          <w:rFonts w:ascii="Times New Roman" w:hAnsi="Times New Roman"/>
          <w:noProof/>
          <w:sz w:val="24"/>
        </w:rPr>
        <w:t>Uudistuksen loppuunsaattamiseksi on hyväksyttävä toimenpiteitä vaihtoehtoisten riidanratkaisuelinten perustamiseksi ja vahvistamiseksi tarjoamalla koulutusta oikeusavustajille, laajentamalla</w:t>
      </w:r>
      <w:r>
        <w:rPr>
          <w:rFonts w:ascii="Times New Roman" w:hAnsi="Times New Roman"/>
          <w:noProof/>
          <w:sz w:val="24"/>
        </w:rPr>
        <w:t xml:space="preserve"> sovittelumenettelyjä rikosoikeudellisissa menettelyissä ja hallinnollisissa riita-asioissa, tarjoamalla taloudellisia kannustimia osapuolille, jotka valitsevat vaihtoehtoisia riidanratkaisumenetelmiä tuomioistuinmenettelyissä, vahvistamalla välimiesmenett</w:t>
      </w:r>
      <w:r>
        <w:rPr>
          <w:rFonts w:ascii="Times New Roman" w:hAnsi="Times New Roman"/>
          <w:noProof/>
          <w:sz w:val="24"/>
        </w:rPr>
        <w:t>elyä ja tarjoamalla taloudellisia kannustimia välitys- ja välityskeskuksille käyttäjäystävällisten digitaalisten järjestelmien perustamiseksi.</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Lisäksi oikeudellisen tiedon järjestelmällistä keräämistä, käsittelyä, yhdistämistä, esittämistä ja seurantaa var</w:t>
      </w:r>
      <w:r>
        <w:rPr>
          <w:rFonts w:ascii="Times New Roman" w:hAnsi="Times New Roman"/>
          <w:noProof/>
          <w:sz w:val="24"/>
        </w:rPr>
        <w:t>ten perustettavalla riippumattomalla toimistolla varmistetaan oikeusjärjestelmän toiminnan ja toiminnan asianmukainen valvonta ja seuranta.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Uudistus on määrä toteuttaa viimeistään 31 päivänä joulukuuta 2025. </w:t>
      </w:r>
    </w:p>
    <w:p w:rsidR="00B0093E" w:rsidRDefault="00B0093E">
      <w:pPr>
        <w:spacing w:before="120" w:after="120" w:line="240" w:lineRule="auto"/>
        <w:ind w:left="709"/>
        <w:jc w:val="both"/>
        <w:rPr>
          <w:rFonts w:ascii="Times New Roman" w:hAnsi="Times New Roman" w:cs="Times New Roman"/>
          <w:b/>
          <w:bCs/>
          <w:noProof/>
          <w:sz w:val="24"/>
          <w:u w:val="single"/>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15"/>
          <w:headerReference w:type="default" r:id="rId216"/>
          <w:footerReference w:type="even" r:id="rId217"/>
          <w:footerReference w:type="default" r:id="rId218"/>
          <w:headerReference w:type="first" r:id="rId219"/>
          <w:footerReference w:type="first" r:id="rId220"/>
          <w:pgSz w:w="11907" w:h="16839"/>
          <w:pgMar w:top="1134" w:right="1417" w:bottom="1134" w:left="1417"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N.2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21: Oikeusjärjestelmän tehokkuuden parantaminen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Tähän ryhmään kuuluvat seuraavat toimenpi</w:t>
      </w:r>
      <w:r>
        <w:rPr>
          <w:rFonts w:ascii="Times New Roman" w:hAnsi="Times New Roman"/>
          <w:noProof/>
          <w:sz w:val="24"/>
        </w:rPr>
        <w:t>teet:</w:t>
      </w:r>
    </w:p>
    <w:p w:rsidR="00B0093E" w:rsidRDefault="00762CA6">
      <w:pPr>
        <w:numPr>
          <w:ilvl w:val="0"/>
          <w:numId w:val="21"/>
        </w:numPr>
        <w:spacing w:before="120" w:after="0" w:line="240" w:lineRule="auto"/>
        <w:jc w:val="both"/>
        <w:rPr>
          <w:rFonts w:ascii="Times New Roman" w:hAnsi="Times New Roman" w:cs="Times New Roman"/>
          <w:noProof/>
          <w:sz w:val="24"/>
        </w:rPr>
      </w:pPr>
      <w:r>
        <w:rPr>
          <w:rFonts w:ascii="Times New Roman" w:hAnsi="Times New Roman"/>
          <w:noProof/>
          <w:sz w:val="24"/>
        </w:rPr>
        <w:t>Uudet oikeuslaitoksen rakennukset ja perusparannus (tunniste: 16292)</w:t>
      </w:r>
    </w:p>
    <w:p w:rsidR="00B0093E" w:rsidRDefault="00762CA6">
      <w:pPr>
        <w:numPr>
          <w:ilvl w:val="0"/>
          <w:numId w:val="21"/>
        </w:numPr>
        <w:spacing w:before="120" w:after="0" w:line="240" w:lineRule="auto"/>
        <w:jc w:val="both"/>
        <w:rPr>
          <w:rFonts w:ascii="Times New Roman" w:hAnsi="Times New Roman" w:cs="Times New Roman"/>
          <w:noProof/>
          <w:sz w:val="24"/>
        </w:rPr>
      </w:pPr>
      <w:r>
        <w:rPr>
          <w:rFonts w:ascii="Times New Roman" w:hAnsi="Times New Roman"/>
          <w:noProof/>
          <w:sz w:val="24"/>
        </w:rPr>
        <w:t>Oikeuslaitoksen digitalisaatio (sähköinen oikeus) (tunniste: 16727)</w:t>
      </w:r>
    </w:p>
    <w:p w:rsidR="00B0093E" w:rsidRDefault="00762CA6">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Tuomareiden ja oikeuslaitoksen työntekijöiden (oikeushenkilökunta) taidot ja digitaaliset taidot (tunniste: </w:t>
      </w:r>
      <w:r>
        <w:rPr>
          <w:rFonts w:ascii="Times New Roman" w:hAnsi="Times New Roman"/>
          <w:noProof/>
          <w:sz w:val="24"/>
        </w:rPr>
        <w:t>16733)</w:t>
      </w:r>
    </w:p>
    <w:p w:rsidR="00B0093E" w:rsidRDefault="00762CA6">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Oikeudenkäytön nopeuttaminen (tunniste: 16575)</w:t>
      </w:r>
    </w:p>
    <w:tbl>
      <w:tblPr>
        <w:tblW w:w="15730" w:type="dxa"/>
        <w:jc w:val="center"/>
        <w:tblLook w:val="04A0" w:firstRow="1" w:lastRow="0" w:firstColumn="1" w:lastColumn="0" w:noHBand="0" w:noVBand="1"/>
      </w:tblPr>
      <w:tblGrid>
        <w:gridCol w:w="1027"/>
        <w:gridCol w:w="1883"/>
        <w:gridCol w:w="1626"/>
        <w:gridCol w:w="1968"/>
        <w:gridCol w:w="2101"/>
        <w:gridCol w:w="1540"/>
        <w:gridCol w:w="966"/>
        <w:gridCol w:w="1006"/>
        <w:gridCol w:w="1387"/>
        <w:gridCol w:w="657"/>
        <w:gridCol w:w="4885"/>
      </w:tblGrid>
      <w:tr w:rsidR="00B0093E">
        <w:trPr>
          <w:trHeight w:val="927"/>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397"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noProof/>
              </w:rPr>
              <w:t xml:space="preserve"> </w:t>
            </w:r>
            <w:r>
              <w:rPr>
                <w:rFonts w:ascii="Times New Roman" w:hAnsi="Times New Roman"/>
                <w:noProof/>
              </w:rPr>
              <w:br/>
            </w:r>
            <w:r>
              <w:rPr>
                <w:rFonts w:ascii="Times New Roman" w:hAnsi="Times New Roman"/>
                <w:b/>
                <w:bCs/>
                <w:noProof/>
                <w:sz w:val="18"/>
                <w:szCs w:val="18"/>
              </w:rPr>
              <w:t>(välitavoitteiden osalta)</w:t>
            </w:r>
          </w:p>
        </w:tc>
        <w:tc>
          <w:tcPr>
            <w:tcW w:w="2436"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noProof/>
                <w:sz w:val="24"/>
              </w:rPr>
              <w:br/>
            </w:r>
            <w:r>
              <w:rPr>
                <w:rFonts w:ascii="Times New Roman" w:hAnsi="Times New Roman"/>
                <w:b/>
                <w:bCs/>
                <w:noProof/>
                <w:sz w:val="18"/>
                <w:szCs w:val="18"/>
              </w:rPr>
              <w:t>(tavoitteiden osalta)</w:t>
            </w:r>
          </w:p>
        </w:tc>
        <w:tc>
          <w:tcPr>
            <w:tcW w:w="146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Alustava toteutusaikataulu</w:t>
            </w:r>
          </w:p>
        </w:tc>
        <w:tc>
          <w:tcPr>
            <w:tcW w:w="48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jc w:val="center"/>
        </w:trPr>
        <w:tc>
          <w:tcPr>
            <w:tcW w:w="1027" w:type="dxa"/>
            <w:vMerge/>
            <w:tcBorders>
              <w:top w:val="single" w:sz="4" w:space="0" w:color="auto"/>
              <w:left w:val="single" w:sz="4" w:space="0" w:color="auto"/>
              <w:bottom w:val="single" w:sz="4" w:space="0" w:color="auto"/>
              <w:right w:val="single" w:sz="4" w:space="0" w:color="auto"/>
            </w:tcBorders>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41" w:type="dxa"/>
            <w:vMerge/>
            <w:tcBorders>
              <w:top w:val="single" w:sz="4" w:space="0" w:color="auto"/>
              <w:left w:val="single" w:sz="4" w:space="0" w:color="auto"/>
              <w:bottom w:val="single" w:sz="4" w:space="0" w:color="auto"/>
              <w:right w:val="single" w:sz="4" w:space="0" w:color="auto"/>
            </w:tcBorders>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24" w:type="dxa"/>
            <w:vMerge/>
            <w:tcBorders>
              <w:top w:val="single" w:sz="4" w:space="0" w:color="auto"/>
              <w:left w:val="single" w:sz="4" w:space="0" w:color="auto"/>
              <w:bottom w:val="single" w:sz="4" w:space="0" w:color="auto"/>
              <w:right w:val="single" w:sz="4" w:space="0" w:color="auto"/>
            </w:tcBorders>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97" w:type="dxa"/>
            <w:vMerge/>
            <w:tcBorders>
              <w:top w:val="single" w:sz="4" w:space="0" w:color="auto"/>
              <w:left w:val="nil"/>
              <w:bottom w:val="single" w:sz="4" w:space="0" w:color="auto"/>
              <w:right w:val="single" w:sz="4" w:space="0" w:color="auto"/>
            </w:tcBorders>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52" w:type="dxa"/>
            <w:vMerge/>
            <w:tcBorders>
              <w:top w:val="single" w:sz="4" w:space="0" w:color="auto"/>
              <w:left w:val="single" w:sz="4" w:space="0" w:color="auto"/>
              <w:bottom w:val="single" w:sz="4" w:space="0" w:color="auto"/>
              <w:right w:val="single" w:sz="4" w:space="0" w:color="auto"/>
            </w:tcBorders>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Perustaso</w:t>
            </w:r>
          </w:p>
        </w:tc>
        <w:tc>
          <w:tcPr>
            <w:tcW w:w="58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Päämäärä</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62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885" w:type="dxa"/>
            <w:vMerge/>
            <w:tcBorders>
              <w:top w:val="single" w:sz="4" w:space="0" w:color="auto"/>
              <w:left w:val="single" w:sz="4" w:space="0" w:color="auto"/>
              <w:bottom w:val="single" w:sz="4" w:space="0" w:color="auto"/>
              <w:right w:val="single" w:sz="4" w:space="0" w:color="auto"/>
            </w:tcBorders>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222</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Oikeuslaitoksen tehokkuuden parantaminen – 16292_Uudet oikeuslaitoksen rakennukset</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Tunnistaminen – Tukikelpoiset rakennukset</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Luettelon täyttäminen </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Q3</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2021</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Luettelo rakennuksista, joihin tuomioistuimen kartan tarkistaminen ei </w:t>
            </w:r>
            <w:r>
              <w:rPr>
                <w:noProof/>
                <w:color w:val="006100"/>
                <w:sz w:val="18"/>
                <w:szCs w:val="18"/>
              </w:rPr>
              <w:t>vaikuta.</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223</w:t>
            </w:r>
          </w:p>
        </w:tc>
        <w:tc>
          <w:tcPr>
            <w:tcW w:w="154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14-4.3. Oikeusjärjestelmän tehokkuuden parantaminen — </w:t>
            </w:r>
          </w:p>
          <w:p w:rsidR="00B0093E" w:rsidRDefault="00762CA6">
            <w:pPr>
              <w:spacing w:after="0" w:line="240" w:lineRule="auto"/>
              <w:rPr>
                <w:rFonts w:eastAsia="Times New Roman"/>
                <w:noProof/>
                <w:color w:val="006100"/>
                <w:sz w:val="18"/>
                <w:szCs w:val="18"/>
              </w:rPr>
            </w:pPr>
            <w:r>
              <w:rPr>
                <w:noProof/>
                <w:color w:val="006100"/>
                <w:sz w:val="18"/>
                <w:szCs w:val="18"/>
              </w:rPr>
              <w:t>16575 Oikeudenkäytön nopeuttaminen</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Tekninen tuki – Tuomioistuinten suorituskyvyn tukiväline</w:t>
            </w:r>
          </w:p>
        </w:tc>
        <w:tc>
          <w:tcPr>
            <w:tcW w:w="15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Teknistä tukea koskevan tarjouskilpailun ratkaiseminen</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Q3</w:t>
            </w:r>
          </w:p>
        </w:tc>
        <w:tc>
          <w:tcPr>
            <w:tcW w:w="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2022</w:t>
            </w:r>
          </w:p>
        </w:tc>
        <w:tc>
          <w:tcPr>
            <w:tcW w:w="488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Teknisen tuen </w:t>
            </w:r>
            <w:r>
              <w:rPr>
                <w:noProof/>
                <w:color w:val="006100"/>
                <w:sz w:val="18"/>
                <w:szCs w:val="18"/>
              </w:rPr>
              <w:t>myöntäminen oikeuslaitoksen suorituskyvyn tukivälineen kehittämiseksi strategisten tavoitteiden pohjalta, objektiiviset keskeiset tulosindikaattorit (työn suorittamisaika, yksilöllinen suoritus ajan, viestinnän, motivoinnin osalta jne.) osastoittain ja/tai</w:t>
            </w:r>
            <w:r>
              <w:rPr>
                <w:noProof/>
                <w:color w:val="006100"/>
                <w:sz w:val="18"/>
                <w:szCs w:val="18"/>
              </w:rPr>
              <w:t xml:space="preserve"> virkailijaryhmittäin sekä täsmälliset ja objektiiviset tiedot bonusten jakamisesta; bonukset maksetaan kyseisen vuoden päättymistä seuraavan ensimmäisen vuosineljänneksen aikana kyseisen vuoden tulosten perusteella. Välineen on oltava tilapäinen, ja sen o</w:t>
            </w:r>
            <w:r>
              <w:rPr>
                <w:noProof/>
                <w:color w:val="006100"/>
                <w:sz w:val="18"/>
                <w:szCs w:val="18"/>
              </w:rPr>
              <w:t>n oltava täysin yhdenmukainen yhtenäisen palkkataulukon (laki 4354/2015) kanssa, eikä siinä saa asettaa poikkeuksia tuomioistuinten ruuhkan purkamiseksi.</w:t>
            </w:r>
          </w:p>
        </w:tc>
      </w:tr>
      <w:tr w:rsidR="00B0093E">
        <w:tblPrEx>
          <w:tblLook w:val="0400" w:firstRow="0" w:lastRow="0" w:firstColumn="0" w:lastColumn="0" w:noHBand="0" w:noVBand="1"/>
        </w:tblPrEx>
        <w:trPr>
          <w:trHeight w:val="309"/>
          <w:jc w:val="center"/>
        </w:trPr>
        <w:tc>
          <w:tcPr>
            <w:tcW w:w="1027" w:type="dxa"/>
            <w:tcBorders>
              <w:top w:val="single" w:sz="4" w:space="0" w:color="000000"/>
              <w:left w:val="single" w:sz="4" w:space="0" w:color="000000"/>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224</w:t>
            </w:r>
          </w:p>
        </w:tc>
        <w:tc>
          <w:tcPr>
            <w:tcW w:w="1541"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 xml:space="preserve">14 - 4.3. Oikeusjärjestelmän tehostaminen – 16733_Tuomareiden ja oikeuslaitoksen työntekijöiden </w:t>
            </w:r>
            <w:r>
              <w:rPr>
                <w:noProof/>
                <w:color w:val="006100"/>
                <w:sz w:val="18"/>
                <w:szCs w:val="18"/>
              </w:rPr>
              <w:t>(oikeushenkilökunnan) taidot ja digitaaliset taidot</w:t>
            </w:r>
          </w:p>
        </w:tc>
        <w:tc>
          <w:tcPr>
            <w:tcW w:w="1424"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Tavoite</w:t>
            </w:r>
          </w:p>
        </w:tc>
        <w:tc>
          <w:tcPr>
            <w:tcW w:w="1397"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Koulutus – tuomarit ja kirjaajat</w:t>
            </w:r>
          </w:p>
        </w:tc>
        <w:tc>
          <w:tcPr>
            <w:tcW w:w="1552" w:type="dxa"/>
            <w:tcBorders>
              <w:top w:val="single" w:sz="4" w:space="0" w:color="000000"/>
              <w:left w:val="nil"/>
              <w:bottom w:val="single" w:sz="4" w:space="0" w:color="000000"/>
              <w:right w:val="single" w:sz="4" w:space="0" w:color="000000"/>
            </w:tcBorders>
            <w:shd w:val="clear" w:color="auto" w:fill="C6EFCE"/>
          </w:tcPr>
          <w:p w:rsidR="00B0093E" w:rsidRDefault="00B0093E">
            <w:pPr>
              <w:spacing w:after="0" w:line="240" w:lineRule="auto"/>
              <w:rPr>
                <w:rFonts w:cs="Calibri"/>
                <w:noProof/>
                <w:color w:val="006100"/>
                <w:sz w:val="18"/>
                <w:szCs w:val="18"/>
              </w:rPr>
            </w:pPr>
          </w:p>
          <w:p w:rsidR="00B0093E" w:rsidRDefault="00B0093E">
            <w:pPr>
              <w:spacing w:after="0" w:line="240" w:lineRule="auto"/>
              <w:rPr>
                <w:rFonts w:cs="Calibri"/>
                <w:noProof/>
                <w:color w:val="006100"/>
                <w:sz w:val="18"/>
                <w:szCs w:val="18"/>
              </w:rPr>
            </w:pPr>
          </w:p>
        </w:tc>
        <w:tc>
          <w:tcPr>
            <w:tcW w:w="992"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Kansalliseen tuomarikouluun ilmoittautuneiden tuomareiden lukumäärä</w:t>
            </w:r>
          </w:p>
        </w:tc>
        <w:tc>
          <w:tcPr>
            <w:tcW w:w="857"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0</w:t>
            </w:r>
          </w:p>
        </w:tc>
        <w:tc>
          <w:tcPr>
            <w:tcW w:w="587"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10</w:t>
            </w:r>
          </w:p>
        </w:tc>
        <w:tc>
          <w:tcPr>
            <w:tcW w:w="846"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Q1</w:t>
            </w:r>
          </w:p>
        </w:tc>
        <w:tc>
          <w:tcPr>
            <w:tcW w:w="622"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cs="Calibri"/>
                <w:noProof/>
                <w:color w:val="006100"/>
                <w:sz w:val="18"/>
                <w:szCs w:val="18"/>
              </w:rPr>
            </w:pPr>
            <w:r>
              <w:rPr>
                <w:noProof/>
                <w:color w:val="006100"/>
                <w:sz w:val="18"/>
                <w:szCs w:val="18"/>
              </w:rPr>
              <w:t>2022</w:t>
            </w:r>
          </w:p>
        </w:tc>
        <w:tc>
          <w:tcPr>
            <w:tcW w:w="4885" w:type="dxa"/>
            <w:tcBorders>
              <w:top w:val="single" w:sz="4" w:space="0" w:color="000000"/>
              <w:left w:val="nil"/>
              <w:bottom w:val="single" w:sz="4" w:space="0" w:color="000000"/>
              <w:right w:val="single" w:sz="4" w:space="0" w:color="000000"/>
            </w:tcBorders>
            <w:shd w:val="clear" w:color="auto" w:fill="C6EFCE"/>
          </w:tcPr>
          <w:p w:rsidR="00B0093E" w:rsidRDefault="00762CA6">
            <w:pPr>
              <w:spacing w:after="0" w:line="240" w:lineRule="auto"/>
              <w:rPr>
                <w:rFonts w:ascii="Times New Roman" w:hAnsi="Times New Roman" w:cs="Times New Roman"/>
                <w:noProof/>
                <w:sz w:val="24"/>
              </w:rPr>
            </w:pPr>
            <w:r>
              <w:rPr>
                <w:noProof/>
                <w:color w:val="006100"/>
                <w:sz w:val="18"/>
                <w:szCs w:val="18"/>
              </w:rPr>
              <w:t xml:space="preserve">10 tuomioistuimen tuomaria, jotka ovat kirjoilla kansallisessa tuomarien oppilaitoksessa </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225</w:t>
            </w:r>
          </w:p>
        </w:tc>
        <w:tc>
          <w:tcPr>
            <w:tcW w:w="154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Oikeusjärjestelmän tehostaminen – 16575 oikeudenkäytön nopeuttaminen</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Oikeuslaitos – Sekundaarilainsäädäntö </w:t>
            </w:r>
          </w:p>
        </w:tc>
        <w:tc>
          <w:tcPr>
            <w:tcW w:w="15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Lainsäädännön voimaantulo</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Q3</w:t>
            </w:r>
          </w:p>
        </w:tc>
        <w:tc>
          <w:tcPr>
            <w:tcW w:w="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2022</w:t>
            </w:r>
          </w:p>
        </w:tc>
        <w:tc>
          <w:tcPr>
            <w:tcW w:w="4885" w:type="dxa"/>
            <w:tcBorders>
              <w:top w:val="nil"/>
              <w:left w:val="nil"/>
              <w:bottom w:val="single" w:sz="4" w:space="0" w:color="auto"/>
              <w:right w:val="single" w:sz="4" w:space="0" w:color="auto"/>
            </w:tcBorders>
            <w:shd w:val="clear" w:color="auto" w:fill="C6EFCE"/>
            <w:noWrap/>
          </w:tcPr>
          <w:p w:rsidR="00B0093E" w:rsidRDefault="00762CA6">
            <w:pPr>
              <w:spacing w:before="120" w:after="120" w:line="240" w:lineRule="auto"/>
              <w:jc w:val="both"/>
              <w:rPr>
                <w:noProof/>
                <w:color w:val="006100"/>
                <w:sz w:val="18"/>
                <w:szCs w:val="18"/>
              </w:rPr>
            </w:pPr>
            <w:r>
              <w:rPr>
                <w:noProof/>
                <w:color w:val="006100"/>
                <w:sz w:val="18"/>
                <w:szCs w:val="18"/>
              </w:rPr>
              <w:t>Sellaisen sekundaarilainsäädännön voimaantulo (tapauksen mukaan presidentin asetusten tai ministerien päätösten muodossa), joka on tarpeen oikeuspoliisista annetun lain täysimääräiseksi täytäntöönpanemiseksi, jotta voidaan tukea oikeus- ja syyttäjävir</w:t>
            </w:r>
            <w:r>
              <w:rPr>
                <w:noProof/>
                <w:color w:val="006100"/>
                <w:sz w:val="18"/>
                <w:szCs w:val="18"/>
              </w:rPr>
              <w:t>anomaisten työtä seuraavilla aloilla:</w:t>
            </w:r>
          </w:p>
          <w:p w:rsidR="00B0093E" w:rsidRDefault="00762CA6">
            <w:pPr>
              <w:numPr>
                <w:ilvl w:val="0"/>
                <w:numId w:val="58"/>
              </w:numPr>
              <w:spacing w:before="120" w:after="0" w:line="240" w:lineRule="auto"/>
              <w:ind w:left="231" w:hanging="219"/>
              <w:jc w:val="both"/>
              <w:rPr>
                <w:noProof/>
                <w:color w:val="006100"/>
                <w:sz w:val="18"/>
                <w:szCs w:val="18"/>
              </w:rPr>
            </w:pPr>
            <w:r>
              <w:rPr>
                <w:noProof/>
                <w:color w:val="006100"/>
                <w:sz w:val="18"/>
                <w:szCs w:val="18"/>
              </w:rPr>
              <w:t xml:space="preserve">tieteellisen ja teknisen avun antaminen tuomareille ja syyttäjille teknistä tai ammatillista asiantuntemusta edellyttävissä asioissa; </w:t>
            </w:r>
          </w:p>
          <w:p w:rsidR="00B0093E" w:rsidRDefault="00762CA6">
            <w:pPr>
              <w:numPr>
                <w:ilvl w:val="0"/>
                <w:numId w:val="58"/>
              </w:numPr>
              <w:spacing w:before="120" w:after="0" w:line="240" w:lineRule="auto"/>
              <w:ind w:left="231" w:hanging="219"/>
              <w:jc w:val="both"/>
              <w:rPr>
                <w:noProof/>
                <w:color w:val="006100"/>
                <w:sz w:val="18"/>
                <w:szCs w:val="18"/>
              </w:rPr>
            </w:pPr>
            <w:r>
              <w:rPr>
                <w:noProof/>
                <w:color w:val="006100"/>
                <w:sz w:val="18"/>
                <w:szCs w:val="18"/>
              </w:rPr>
              <w:t>alustavien tutkimusten ja tutkimusten suorittaminen;</w:t>
            </w:r>
          </w:p>
          <w:p w:rsidR="00B0093E" w:rsidRDefault="00762CA6">
            <w:pPr>
              <w:numPr>
                <w:ilvl w:val="0"/>
                <w:numId w:val="58"/>
              </w:numPr>
              <w:spacing w:before="120" w:after="0" w:line="240" w:lineRule="auto"/>
              <w:ind w:left="231" w:hanging="219"/>
              <w:jc w:val="both"/>
              <w:rPr>
                <w:noProof/>
                <w:color w:val="006100"/>
                <w:sz w:val="18"/>
                <w:szCs w:val="18"/>
              </w:rPr>
            </w:pPr>
            <w:r>
              <w:rPr>
                <w:noProof/>
                <w:color w:val="006100"/>
                <w:sz w:val="18"/>
                <w:szCs w:val="18"/>
              </w:rPr>
              <w:t>toimeksiantojen täytäntöönpano</w:t>
            </w:r>
            <w:r>
              <w:rPr>
                <w:noProof/>
                <w:color w:val="006100"/>
                <w:sz w:val="18"/>
                <w:szCs w:val="18"/>
              </w:rPr>
              <w:t>;</w:t>
            </w:r>
          </w:p>
          <w:p w:rsidR="00B0093E" w:rsidRDefault="00762CA6">
            <w:pPr>
              <w:numPr>
                <w:ilvl w:val="0"/>
                <w:numId w:val="58"/>
              </w:numPr>
              <w:spacing w:before="120" w:after="0" w:line="240" w:lineRule="auto"/>
              <w:ind w:left="231" w:hanging="219"/>
              <w:jc w:val="both"/>
              <w:rPr>
                <w:noProof/>
                <w:color w:val="006100"/>
                <w:sz w:val="18"/>
                <w:szCs w:val="18"/>
              </w:rPr>
            </w:pPr>
            <w:r>
              <w:rPr>
                <w:noProof/>
                <w:color w:val="006100"/>
                <w:sz w:val="18"/>
                <w:szCs w:val="18"/>
              </w:rPr>
              <w:t>avustaminen oikeusapupyyntöjen esittämisessä tai niihin vastaamisessa;</w:t>
            </w:r>
          </w:p>
          <w:p w:rsidR="00B0093E" w:rsidRDefault="00762CA6">
            <w:pPr>
              <w:numPr>
                <w:ilvl w:val="0"/>
                <w:numId w:val="58"/>
              </w:numPr>
              <w:spacing w:before="120" w:after="0" w:line="240" w:lineRule="auto"/>
              <w:ind w:left="231" w:hanging="219"/>
              <w:jc w:val="both"/>
              <w:rPr>
                <w:noProof/>
                <w:color w:val="006100"/>
                <w:sz w:val="18"/>
                <w:szCs w:val="18"/>
              </w:rPr>
            </w:pPr>
            <w:r>
              <w:rPr>
                <w:noProof/>
                <w:color w:val="006100"/>
                <w:sz w:val="18"/>
                <w:szCs w:val="18"/>
              </w:rPr>
              <w:t>asiakirjojen tiedoksiantoa ja menettelyä koskevien asiakirjojen tiedoksiantoa;</w:t>
            </w:r>
          </w:p>
          <w:p w:rsidR="00B0093E" w:rsidRDefault="00762CA6">
            <w:pPr>
              <w:numPr>
                <w:ilvl w:val="0"/>
                <w:numId w:val="58"/>
              </w:numPr>
              <w:spacing w:before="120" w:after="0" w:line="240" w:lineRule="auto"/>
              <w:ind w:left="231" w:hanging="219"/>
              <w:jc w:val="both"/>
              <w:rPr>
                <w:noProof/>
                <w:color w:val="006100"/>
                <w:sz w:val="18"/>
                <w:szCs w:val="18"/>
              </w:rPr>
            </w:pPr>
            <w:r>
              <w:rPr>
                <w:noProof/>
                <w:color w:val="006100"/>
                <w:sz w:val="18"/>
                <w:szCs w:val="18"/>
              </w:rPr>
              <w:t>tuomioiden täytäntöönpano;</w:t>
            </w:r>
          </w:p>
          <w:p w:rsidR="00B0093E" w:rsidRDefault="00762CA6">
            <w:pPr>
              <w:numPr>
                <w:ilvl w:val="0"/>
                <w:numId w:val="58"/>
              </w:numPr>
              <w:spacing w:before="120" w:after="0" w:line="240" w:lineRule="auto"/>
              <w:ind w:left="231" w:hanging="219"/>
              <w:jc w:val="both"/>
              <w:rPr>
                <w:noProof/>
                <w:color w:val="006100"/>
                <w:sz w:val="18"/>
                <w:szCs w:val="18"/>
              </w:rPr>
            </w:pPr>
            <w:r>
              <w:rPr>
                <w:noProof/>
                <w:color w:val="006100"/>
                <w:sz w:val="18"/>
                <w:szCs w:val="18"/>
              </w:rPr>
              <w:t>määräyksen valvominen ja ylläpitäminen oikeustaloissa;</w:t>
            </w:r>
          </w:p>
          <w:p w:rsidR="00B0093E" w:rsidRDefault="00762CA6">
            <w:pPr>
              <w:numPr>
                <w:ilvl w:val="0"/>
                <w:numId w:val="58"/>
              </w:numPr>
              <w:spacing w:before="120" w:after="0" w:line="240" w:lineRule="auto"/>
              <w:ind w:left="231" w:hanging="219"/>
              <w:jc w:val="both"/>
              <w:rPr>
                <w:noProof/>
                <w:color w:val="006100"/>
                <w:sz w:val="18"/>
                <w:szCs w:val="18"/>
              </w:rPr>
            </w:pPr>
            <w:r>
              <w:rPr>
                <w:noProof/>
                <w:color w:val="006100"/>
                <w:sz w:val="18"/>
                <w:szCs w:val="18"/>
              </w:rPr>
              <w:t>muut toimivaltaisten t</w:t>
            </w:r>
            <w:r>
              <w:rPr>
                <w:noProof/>
                <w:color w:val="006100"/>
                <w:sz w:val="18"/>
                <w:szCs w:val="18"/>
              </w:rPr>
              <w:t>uomioistuinten ja syyttäjien sille antamat prosessuaaliset toimet</w:t>
            </w:r>
          </w:p>
          <w:p w:rsidR="00B0093E" w:rsidRDefault="00B0093E">
            <w:pPr>
              <w:spacing w:after="0" w:line="240" w:lineRule="auto"/>
              <w:rPr>
                <w:rFonts w:eastAsia="Times New Roman"/>
                <w:noProof/>
                <w:color w:val="006100"/>
                <w:sz w:val="18"/>
                <w:szCs w:val="18"/>
                <w:lang w:eastAsia="en-GB"/>
              </w:rPr>
            </w:pP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226</w:t>
            </w:r>
          </w:p>
        </w:tc>
        <w:tc>
          <w:tcPr>
            <w:tcW w:w="154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Oikeusjärjestelmän tehostaminen – 16575 oikeuslaitoksen nopeuttaminen</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Tuomioistuimen kartta – primaarioikeus – hallinto</w:t>
            </w:r>
          </w:p>
        </w:tc>
        <w:tc>
          <w:tcPr>
            <w:tcW w:w="15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Lainsäädännön voimaantulo</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2022</w:t>
            </w:r>
          </w:p>
        </w:tc>
        <w:tc>
          <w:tcPr>
            <w:tcW w:w="488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 xml:space="preserve">Hallinto-oikeutta koskevan tuomioistuinkartan tarkistamista koskevan primaarilainsäädännön voimaantulo. </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227</w:t>
            </w:r>
          </w:p>
        </w:tc>
        <w:tc>
          <w:tcPr>
            <w:tcW w:w="154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Oikeuslaitoksen tehokkuuden parantaminen – 16292_Uudet oikeuslaitoksen rakennukset</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Oikeudellisten rakennusten rakentaminen ja </w:t>
            </w:r>
            <w:r>
              <w:rPr>
                <w:noProof/>
                <w:color w:val="006100"/>
                <w:sz w:val="18"/>
                <w:szCs w:val="18"/>
              </w:rPr>
              <w:t>kunnostaminen – luettelon mukauttaminen – Tarjouskilpailujen käynnistäminen</w:t>
            </w:r>
          </w:p>
        </w:tc>
        <w:tc>
          <w:tcPr>
            <w:tcW w:w="15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Luettelo korjaushankkeista oikeusalan kartan tarkistamista koskevan lainsäädännön mukaisesti välitavoitteen 14 4.3/vuoden 2022 neljännen neljänneksen mukaisesti; tarjouskilpailujen</w:t>
            </w:r>
            <w:r>
              <w:rPr>
                <w:noProof/>
                <w:color w:val="006100"/>
                <w:sz w:val="18"/>
                <w:szCs w:val="18"/>
              </w:rPr>
              <w:t xml:space="preserve"> käynnistäminen</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2022</w:t>
            </w:r>
          </w:p>
        </w:tc>
        <w:tc>
          <w:tcPr>
            <w:tcW w:w="488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Hankeluettelon mukauttaminen vastaamaan laissa hyväksyttyä tuomioistuinverkoston tarkistusta.</w:t>
            </w:r>
          </w:p>
          <w:p w:rsidR="00B0093E" w:rsidRDefault="00762CA6">
            <w:pPr>
              <w:spacing w:after="0" w:line="240" w:lineRule="auto"/>
              <w:rPr>
                <w:rFonts w:eastAsia="Times New Roman"/>
                <w:noProof/>
                <w:color w:val="006100"/>
                <w:sz w:val="18"/>
                <w:szCs w:val="18"/>
              </w:rPr>
            </w:pPr>
            <w:r>
              <w:rPr>
                <w:noProof/>
                <w:color w:val="006100"/>
                <w:sz w:val="18"/>
                <w:szCs w:val="18"/>
              </w:rPr>
              <w:t>Hallintotuomioistuimia koskevien tarjouskilpailujen käynnistäminen. Tarjouskilpailuehdoissa on määrättävä, että uusien rakennusten on s</w:t>
            </w:r>
            <w:r>
              <w:rPr>
                <w:noProof/>
                <w:color w:val="006100"/>
                <w:sz w:val="18"/>
                <w:szCs w:val="18"/>
              </w:rPr>
              <w:t>aavutettava primäärienergiantarve, joka on vähintään 20 prosenttia pienempi kuin lähes nollaenergiarakennuksia koskeva vaatimus (lähes nollaenergiarakennus, kansalliset direktiivit).</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228</w:t>
            </w:r>
          </w:p>
        </w:tc>
        <w:tc>
          <w:tcPr>
            <w:tcW w:w="154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14 - 4.3. Oikeusjärjestelmän tehostaminen – 16733_Tuomareiden ja </w:t>
            </w:r>
            <w:r>
              <w:rPr>
                <w:noProof/>
                <w:color w:val="006100"/>
                <w:sz w:val="18"/>
                <w:szCs w:val="18"/>
              </w:rPr>
              <w:t>oikeuslaitoksen työntekijöiden (oikeushenkilökunnan) taidot ja digitaaliset taidot</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Koulutus – tuomarit ja kirjaajat</w:t>
            </w:r>
          </w:p>
        </w:tc>
        <w:tc>
          <w:tcPr>
            <w:tcW w:w="155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Kansalliseen tuomarikouluun ilmoittautuneiden tuomareiden lukumäärä</w:t>
            </w:r>
          </w:p>
        </w:tc>
        <w:tc>
          <w:tcPr>
            <w:tcW w:w="85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10</w:t>
            </w:r>
          </w:p>
        </w:tc>
        <w:tc>
          <w:tcPr>
            <w:tcW w:w="5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25</w:t>
            </w: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Q1</w:t>
            </w:r>
          </w:p>
        </w:tc>
        <w:tc>
          <w:tcPr>
            <w:tcW w:w="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2023</w:t>
            </w:r>
          </w:p>
        </w:tc>
        <w:tc>
          <w:tcPr>
            <w:tcW w:w="488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14 uutta tuomarituomaria, jotka ovat kirjoilla </w:t>
            </w:r>
            <w:r>
              <w:rPr>
                <w:noProof/>
                <w:color w:val="006100"/>
                <w:sz w:val="18"/>
                <w:szCs w:val="18"/>
              </w:rPr>
              <w:t>kansallisessa tuomarikoulussa, 1 tilintarkastustuomioistuimen tuomari, joka on kirjoilla kansallisessa tuomarikoulussa. Näin koulutukseen osallistuvien tuomareiden kokonaismäärä nousee 25:een.</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229</w:t>
            </w:r>
          </w:p>
        </w:tc>
        <w:tc>
          <w:tcPr>
            <w:tcW w:w="154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 14-4.3. Oikeusjärjestelmän tehokkuuden parantaminen — </w:t>
            </w:r>
          </w:p>
          <w:p w:rsidR="00B0093E" w:rsidRDefault="00762CA6">
            <w:pPr>
              <w:spacing w:after="0" w:line="240" w:lineRule="auto"/>
              <w:rPr>
                <w:rFonts w:eastAsia="Times New Roman"/>
                <w:noProof/>
                <w:color w:val="006100"/>
                <w:sz w:val="18"/>
                <w:szCs w:val="18"/>
              </w:rPr>
            </w:pPr>
            <w:r>
              <w:rPr>
                <w:noProof/>
                <w:color w:val="006100"/>
                <w:sz w:val="18"/>
                <w:szCs w:val="18"/>
              </w:rPr>
              <w:t>16727 oikeusalan digitaalisaatio (sähköinen oikeus)</w:t>
            </w:r>
          </w:p>
        </w:tc>
        <w:tc>
          <w:tcPr>
            <w:tcW w:w="14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Tietorekistereiden ja tietoteknisten oikeusjärjestelmien parantaminen</w:t>
            </w:r>
          </w:p>
        </w:tc>
        <w:tc>
          <w:tcPr>
            <w:tcW w:w="15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Hanketarkastusraportit, joilla vahvistetaan sopimusvelvoitteiden noudattaminen </w:t>
            </w: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Q2</w:t>
            </w:r>
          </w:p>
        </w:tc>
        <w:tc>
          <w:tcPr>
            <w:tcW w:w="62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2023</w:t>
            </w:r>
          </w:p>
        </w:tc>
        <w:tc>
          <w:tcPr>
            <w:tcW w:w="488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Virallisen todentavan aineiston</w:t>
            </w:r>
            <w:r>
              <w:rPr>
                <w:noProof/>
                <w:color w:val="006100"/>
                <w:sz w:val="18"/>
                <w:szCs w:val="18"/>
              </w:rPr>
              <w:t xml:space="preserve"> (täydentämistodistukset, laadulliset ja määrälliset hyväksymispöytäkirjat ja laskut) avulla asianmukaiset asiakirjat kaikkien kyseiseen päivämäärään mennessä erääntyneiden toimeksiantojen asianmukaisesta ja oikea-aikaisesta suorittamisesta hankeaikatauluj</w:t>
            </w:r>
            <w:r>
              <w:rPr>
                <w:noProof/>
                <w:color w:val="006100"/>
                <w:sz w:val="18"/>
                <w:szCs w:val="18"/>
              </w:rPr>
              <w:t>en mukaisesti, jotka kattavat kaikki osahankkeen osatekijät (tuomioistuinrekisterijärjestelmät ja oikeustietojärjestelmän (OSDDY-PP, OSDDY-DDY-DDY-DDY-DDY-DDY-DDY-DDY-DDY-DDY-DDY-DDY-DDY-DDY- ja kansallinen rikosrekisteri) ajan tasalle saatetut asiakirjat)</w:t>
            </w:r>
            <w:r>
              <w:rPr>
                <w:noProof/>
                <w:color w:val="006100"/>
                <w:sz w:val="18"/>
                <w:szCs w:val="18"/>
              </w:rPr>
              <w:t>, asianmukaisin keinoin (kuten laadulliset maksuraportit ja laadulliset maksuraportit) asianmukaisin keinoin (esim. laadulliset toimitustodistukset ja laadulliset maksutodistukset).</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230</w:t>
            </w:r>
          </w:p>
        </w:tc>
        <w:tc>
          <w:tcPr>
            <w:tcW w:w="154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xml:space="preserve"> 14-4.3. Oikeusjärjestelmän tehokkuuden parantaminen — </w:t>
            </w:r>
          </w:p>
          <w:p w:rsidR="00B0093E" w:rsidRDefault="00762CA6">
            <w:pPr>
              <w:spacing w:after="0" w:line="240" w:lineRule="auto"/>
              <w:rPr>
                <w:rFonts w:eastAsia="Times New Roman"/>
                <w:noProof/>
                <w:color w:val="006100"/>
                <w:sz w:val="18"/>
                <w:szCs w:val="18"/>
              </w:rPr>
            </w:pPr>
            <w:r>
              <w:rPr>
                <w:noProof/>
                <w:color w:val="006100"/>
                <w:sz w:val="18"/>
                <w:szCs w:val="18"/>
              </w:rPr>
              <w:t xml:space="preserve">16575 </w:t>
            </w:r>
            <w:r>
              <w:rPr>
                <w:noProof/>
                <w:color w:val="006100"/>
                <w:sz w:val="18"/>
                <w:szCs w:val="18"/>
              </w:rPr>
              <w:t>Oikeudenkäytön nopeuttaminen</w:t>
            </w:r>
          </w:p>
        </w:tc>
        <w:tc>
          <w:tcPr>
            <w:tcW w:w="142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Välitavoite</w:t>
            </w:r>
          </w:p>
        </w:tc>
        <w:tc>
          <w:tcPr>
            <w:tcW w:w="139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Adoptio – Oikeusvirkailijoiden tuloksellisuutta koskeva väline</w:t>
            </w:r>
          </w:p>
        </w:tc>
        <w:tc>
          <w:tcPr>
            <w:tcW w:w="155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Primaari- ja sekundaarilainsäädännön voimaantulo</w:t>
            </w:r>
          </w:p>
        </w:tc>
        <w:tc>
          <w:tcPr>
            <w:tcW w:w="99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w:t>
            </w:r>
          </w:p>
        </w:tc>
        <w:tc>
          <w:tcPr>
            <w:tcW w:w="58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w:t>
            </w:r>
          </w:p>
        </w:tc>
        <w:tc>
          <w:tcPr>
            <w:tcW w:w="84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Q2</w:t>
            </w:r>
          </w:p>
          <w:p w:rsidR="00B0093E" w:rsidRDefault="00B0093E">
            <w:pPr>
              <w:spacing w:after="0" w:line="240" w:lineRule="auto"/>
              <w:rPr>
                <w:rFonts w:eastAsia="Times New Roman"/>
                <w:noProof/>
                <w:color w:val="006100"/>
                <w:sz w:val="18"/>
                <w:szCs w:val="18"/>
                <w:lang w:eastAsia="en-GB"/>
              </w:rPr>
            </w:pPr>
          </w:p>
        </w:tc>
        <w:tc>
          <w:tcPr>
            <w:tcW w:w="62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2023 </w:t>
            </w:r>
          </w:p>
        </w:tc>
        <w:tc>
          <w:tcPr>
            <w:tcW w:w="4885"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Primaari- ja sekundaarilainsäädännön antaminen sellaisen tilapäisen bonusjärjestelmän</w:t>
            </w:r>
            <w:r>
              <w:rPr>
                <w:noProof/>
                <w:color w:val="006100"/>
                <w:sz w:val="18"/>
                <w:szCs w:val="18"/>
              </w:rPr>
              <w:t xml:space="preserve"> perustamiseksi, joka perustuu oikeudellisten virkailijoiden tulosvälineen kehittämiseen ja jossa asetetaan strategiset tavoitteet ja otetaan käyttöön objektiiviset keskeiset tulosindikaattorit (kuten tehtävien suorittamiselle varattu aika, yksilöllinen su</w:t>
            </w:r>
            <w:r>
              <w:rPr>
                <w:noProof/>
                <w:color w:val="006100"/>
                <w:sz w:val="18"/>
                <w:szCs w:val="18"/>
              </w:rPr>
              <w:t>oriutuminen ajan, viestinnän ja motivoinnin osalta) osastoittain ja/tai virkailijaryhmittäin ja tarjotaan täsmällistä ja objektiivista tietoa bonusten jakamisesta; bonukset, jotka on maksettava kyseisen vuoden lopun jälkeisenä ensimmäisenä vuosineljännekse</w:t>
            </w:r>
            <w:r>
              <w:rPr>
                <w:noProof/>
                <w:color w:val="006100"/>
                <w:sz w:val="18"/>
                <w:szCs w:val="18"/>
              </w:rPr>
              <w:t>nä kyseisen vuoden tulosten perusteella.</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231</w:t>
            </w:r>
          </w:p>
        </w:tc>
        <w:tc>
          <w:tcPr>
            <w:tcW w:w="154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14-4.3. Oikeuslaitoksen tehokkuuden parantaminen – 16292_Uudet oikeuslaitoksen rakennukset</w:t>
            </w:r>
          </w:p>
        </w:tc>
        <w:tc>
          <w:tcPr>
            <w:tcW w:w="142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Välitavoite</w:t>
            </w:r>
          </w:p>
        </w:tc>
        <w:tc>
          <w:tcPr>
            <w:tcW w:w="139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xml:space="preserve">Sopimukset </w:t>
            </w:r>
          </w:p>
        </w:tc>
        <w:tc>
          <w:tcPr>
            <w:tcW w:w="155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Sopimusten tekeminen</w:t>
            </w:r>
          </w:p>
        </w:tc>
        <w:tc>
          <w:tcPr>
            <w:tcW w:w="99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w:t>
            </w:r>
          </w:p>
        </w:tc>
        <w:tc>
          <w:tcPr>
            <w:tcW w:w="58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w:t>
            </w:r>
          </w:p>
        </w:tc>
        <w:tc>
          <w:tcPr>
            <w:tcW w:w="84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Q2</w:t>
            </w:r>
          </w:p>
        </w:tc>
        <w:tc>
          <w:tcPr>
            <w:tcW w:w="62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2023 </w:t>
            </w:r>
          </w:p>
        </w:tc>
        <w:tc>
          <w:tcPr>
            <w:tcW w:w="4885"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jc w:val="both"/>
              <w:rPr>
                <w:noProof/>
                <w:color w:val="006100"/>
                <w:sz w:val="18"/>
                <w:szCs w:val="18"/>
              </w:rPr>
            </w:pPr>
            <w:r>
              <w:rPr>
                <w:noProof/>
                <w:color w:val="006100"/>
                <w:sz w:val="18"/>
                <w:szCs w:val="18"/>
              </w:rPr>
              <w:t xml:space="preserve">Sellaisten rakennushankkeiden hankintasopimusten </w:t>
            </w:r>
            <w:r>
              <w:rPr>
                <w:noProof/>
                <w:color w:val="006100"/>
                <w:sz w:val="18"/>
                <w:szCs w:val="18"/>
              </w:rPr>
              <w:t>tekeminen, joihin tuomioistuinkartan tarkistaminen ei vaikuta.</w:t>
            </w:r>
          </w:p>
          <w:p w:rsidR="00B0093E" w:rsidRDefault="00762CA6">
            <w:pPr>
              <w:spacing w:after="0" w:line="240" w:lineRule="auto"/>
              <w:rPr>
                <w:rFonts w:eastAsia="Times New Roman" w:cs="Calibri"/>
                <w:noProof/>
                <w:color w:val="006100"/>
                <w:sz w:val="18"/>
                <w:szCs w:val="18"/>
              </w:rPr>
            </w:pPr>
            <w:r>
              <w:rPr>
                <w:noProof/>
                <w:color w:val="006100"/>
                <w:sz w:val="18"/>
                <w:szCs w:val="18"/>
              </w:rPr>
              <w:t>Myöntämisehdoissa on määrättävä, että rakennettavien uusien rakennusten on saavutettava primäärienergiantarve, joka on vähintään 20 prosenttia pienempi kuin lähes nollaenergiarakennuksia koskev</w:t>
            </w:r>
            <w:r>
              <w:rPr>
                <w:noProof/>
                <w:color w:val="006100"/>
                <w:sz w:val="18"/>
                <w:szCs w:val="18"/>
              </w:rPr>
              <w:t>a vaatimus (lähes nollaenergiarakennus, kansalliset direktiivit).</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232</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Oikeusjärjestelmän tehostaminen – 16575 oikeuslaitoksen nopeuttaminen</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Tuomioistuimen kartan tarkistaminen – primaarilainsäädäntö – Siviili- ja rikosasiat</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Lainsäädännön voimaantulo</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2023</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Siviili- ja rikosoikeutta koskevan oikeudellisen kartan tarkistamista koskevan primaarilainsäädännön voimaantulo.</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233</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Oikeuslaitoksen tehokkuuden parantaminen – 16292_Uudet oikeuslaitoksen rakennukset</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Oikeudellisten rakennusten rakentaminen ja kunnostaminen – tarjouskilpailujen käynnistäminen</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Tarjouskilpailujen käynnistäminen</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2023</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Hankeluettelon mukauttaminen tuomioistuimen kartan tarkistamista koskevaan lakiin.</w:t>
            </w:r>
          </w:p>
          <w:p w:rsidR="00B0093E" w:rsidRDefault="00762CA6">
            <w:pPr>
              <w:spacing w:after="0" w:line="240" w:lineRule="auto"/>
              <w:rPr>
                <w:noProof/>
                <w:color w:val="006100"/>
                <w:sz w:val="18"/>
                <w:szCs w:val="18"/>
              </w:rPr>
            </w:pPr>
            <w:r>
              <w:rPr>
                <w:noProof/>
                <w:color w:val="006100"/>
                <w:sz w:val="18"/>
                <w:szCs w:val="18"/>
              </w:rPr>
              <w:t xml:space="preserve">Tarjouskilpailun </w:t>
            </w:r>
            <w:r>
              <w:rPr>
                <w:noProof/>
                <w:color w:val="006100"/>
                <w:sz w:val="18"/>
                <w:szCs w:val="18"/>
              </w:rPr>
              <w:t>käynnistäminen tarkistetussa peruskorjausluettelossa mainituista siviili- ja rikostuomioistuimia koskevista hankkeista. Tarjousehdoissa on määrättävä, että rakennettavien uusien rakennusten on saavutettava primäärienergiantarve, joka on vähintään 20 prosen</w:t>
            </w:r>
            <w:r>
              <w:rPr>
                <w:noProof/>
                <w:color w:val="006100"/>
                <w:sz w:val="18"/>
                <w:szCs w:val="18"/>
              </w:rPr>
              <w:t>ttia pienempi kuin lähes nollaenergiarakennuksia koskeva vaatimus (lähes nollaenergiarakennus, kansalliset direktiivit).</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234</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Oikeusjärjestelmän tehostaminen – 16575 oikeuslaitoksen nopeuttaminen</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Oikeuspoliisin toimintakyky</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Oikeuspoliisi täysin toimintakykyinen ja toimintakykyinen sekä keskus- että aluetasolla</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2023</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jc w:val="both"/>
              <w:rPr>
                <w:rFonts w:eastAsia="Times New Roman"/>
                <w:noProof/>
                <w:color w:val="006100"/>
                <w:sz w:val="18"/>
                <w:szCs w:val="18"/>
              </w:rPr>
            </w:pPr>
            <w:r>
              <w:rPr>
                <w:noProof/>
                <w:color w:val="006100"/>
                <w:sz w:val="18"/>
                <w:szCs w:val="18"/>
              </w:rPr>
              <w:t>Oikeuspoliisin toimintavalmistuminen sen kaikkien toimivaltuuksien osalta sekä keskushallinnon tasolla että alueellisella tasolla tuomioistuimissa</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235</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Oikeusjärjestelmän tehostaminen – 16733_Tuomareiden ja oikeuslaitoksen työntekijöiden (oikeushenkilökunnan) taidot ja digitaaliset taidot</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Koulutus – tuomarit ja virkailijat</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 xml:space="preserve">Raportin oikeaksi todistaminen </w:t>
            </w:r>
          </w:p>
          <w:p w:rsidR="00B0093E" w:rsidRDefault="00762CA6">
            <w:pPr>
              <w:spacing w:after="0" w:line="240" w:lineRule="auto"/>
              <w:rPr>
                <w:noProof/>
                <w:color w:val="006100"/>
                <w:sz w:val="18"/>
                <w:szCs w:val="18"/>
              </w:rPr>
            </w:pPr>
            <w:r>
              <w:rPr>
                <w:noProof/>
                <w:color w:val="006100"/>
                <w:sz w:val="18"/>
                <w:szCs w:val="18"/>
              </w:rPr>
              <w:t xml:space="preserve">Kansallisen tuomarikoulun </w:t>
            </w:r>
            <w:r>
              <w:rPr>
                <w:noProof/>
                <w:color w:val="006100"/>
                <w:sz w:val="18"/>
                <w:szCs w:val="18"/>
              </w:rPr>
              <w:t>koulutusohjelman muutosten toteuttaminen ja 65 prosentin osallistuminen elinikäiseen oppimiseen</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2024</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Toteutetaan täysimääräisesti kaikki tuomareiden ja oikeuslaitoksen työntekijöiden taitoja ja digitaalisia taitoja koskevaan uudistukseen sisältyvät h</w:t>
            </w:r>
            <w:r>
              <w:rPr>
                <w:noProof/>
                <w:color w:val="006100"/>
                <w:sz w:val="18"/>
                <w:szCs w:val="18"/>
              </w:rPr>
              <w:t>ankkeet seuraavin toimin: </w:t>
            </w:r>
          </w:p>
          <w:p w:rsidR="00B0093E" w:rsidRDefault="00762CA6">
            <w:pPr>
              <w:numPr>
                <w:ilvl w:val="0"/>
                <w:numId w:val="22"/>
              </w:numPr>
              <w:spacing w:before="120" w:after="0" w:line="240" w:lineRule="auto"/>
              <w:jc w:val="both"/>
              <w:rPr>
                <w:noProof/>
                <w:color w:val="006100"/>
                <w:sz w:val="18"/>
                <w:szCs w:val="18"/>
              </w:rPr>
            </w:pPr>
            <w:r>
              <w:rPr>
                <w:noProof/>
                <w:color w:val="006100"/>
                <w:sz w:val="18"/>
                <w:szCs w:val="18"/>
              </w:rPr>
              <w:t>65 % tuomareista ja virkailijoista osallistui elinikäiseen koulutukseen ja oli osallistunut vähintään yhteen koulutustilaisuuteen (seminaari)</w:t>
            </w:r>
          </w:p>
          <w:p w:rsidR="00B0093E" w:rsidRDefault="00762CA6">
            <w:pPr>
              <w:numPr>
                <w:ilvl w:val="0"/>
                <w:numId w:val="23"/>
              </w:numPr>
              <w:spacing w:before="120" w:after="0" w:line="240" w:lineRule="auto"/>
              <w:jc w:val="both"/>
              <w:rPr>
                <w:noProof/>
                <w:color w:val="006100"/>
                <w:sz w:val="18"/>
                <w:szCs w:val="18"/>
              </w:rPr>
            </w:pPr>
            <w:r>
              <w:rPr>
                <w:noProof/>
                <w:color w:val="006100"/>
                <w:sz w:val="18"/>
                <w:szCs w:val="18"/>
              </w:rPr>
              <w:t>Oikeusvirkailijoiden kansallinen oppilaitos täydessä toimintavalmiudessa</w:t>
            </w:r>
          </w:p>
          <w:p w:rsidR="00B0093E" w:rsidRDefault="00762CA6">
            <w:pPr>
              <w:numPr>
                <w:ilvl w:val="0"/>
                <w:numId w:val="23"/>
              </w:numPr>
              <w:spacing w:before="120" w:after="0" w:line="240" w:lineRule="auto"/>
              <w:jc w:val="both"/>
              <w:rPr>
                <w:noProof/>
                <w:color w:val="006100"/>
                <w:sz w:val="18"/>
                <w:szCs w:val="18"/>
              </w:rPr>
            </w:pPr>
            <w:r>
              <w:rPr>
                <w:noProof/>
                <w:color w:val="006100"/>
                <w:sz w:val="18"/>
                <w:szCs w:val="18"/>
              </w:rPr>
              <w:t xml:space="preserve">Kaikki </w:t>
            </w:r>
            <w:r>
              <w:rPr>
                <w:noProof/>
                <w:color w:val="006100"/>
                <w:sz w:val="18"/>
                <w:szCs w:val="18"/>
              </w:rPr>
              <w:t>valintaperusteisiin ja koulutusohjelmaan tehdyt muutokset on toteutettu</w:t>
            </w:r>
          </w:p>
          <w:p w:rsidR="00B0093E" w:rsidRDefault="00762CA6">
            <w:pPr>
              <w:spacing w:before="120" w:after="0" w:line="240" w:lineRule="auto"/>
              <w:rPr>
                <w:b/>
                <w:bCs/>
                <w:noProof/>
                <w:color w:val="006100"/>
                <w:sz w:val="18"/>
                <w:szCs w:val="18"/>
              </w:rPr>
            </w:pPr>
            <w:r>
              <w:rPr>
                <w:noProof/>
                <w:color w:val="006100"/>
                <w:sz w:val="18"/>
                <w:szCs w:val="18"/>
              </w:rPr>
              <w:t>Kansallisen tuomarikoulun koulutusohjelman muutokset, joilla pyritään erityisesti lisäämään käytännön koulutusta ja tarjoamaan kursseja etiikasta, ajanhallinnasta, psykologiasta, talou</w:t>
            </w:r>
            <w:r>
              <w:rPr>
                <w:noProof/>
                <w:color w:val="006100"/>
                <w:sz w:val="18"/>
                <w:szCs w:val="18"/>
              </w:rPr>
              <w:t xml:space="preserve">steoriasta ja analyysista, tuomioistuinten hallinnosta ja uudesta teknologiasta. </w:t>
            </w:r>
            <w:r>
              <w:rPr>
                <w:rFonts w:ascii="Times New Roman" w:hAnsi="Times New Roman"/>
                <w:noProof/>
                <w:sz w:val="24"/>
              </w:rPr>
              <w:t xml:space="preserve">  </w:t>
            </w:r>
            <w:r>
              <w:rPr>
                <w:noProof/>
                <w:color w:val="006100"/>
                <w:sz w:val="18"/>
                <w:szCs w:val="18"/>
              </w:rPr>
              <w:t>Tuomareiden elinikäinen koulutus, joka ulottuu eri oikeudenaloille ja oikeudellisiin tehtäviin liittyviin hallinto- tai menettelynäkökohtiin (tuomioistuinten johtaminen, asi</w:t>
            </w:r>
            <w:r>
              <w:rPr>
                <w:noProof/>
                <w:color w:val="006100"/>
                <w:sz w:val="18"/>
                <w:szCs w:val="18"/>
              </w:rPr>
              <w:t>anhallinta, viestintä ja yhteistyö kansallisten ja ulkomaisten viranomaisten kanssa); tällainen koulutus on edellytys ammatilliselle etenemiselle.</w:t>
            </w:r>
            <w:r>
              <w:rPr>
                <w:rFonts w:ascii="Times New Roman" w:hAnsi="Times New Roman"/>
                <w:noProof/>
                <w:sz w:val="24"/>
              </w:rPr>
              <w:t xml:space="preserve">  </w:t>
            </w:r>
            <w:r>
              <w:rPr>
                <w:noProof/>
                <w:color w:val="006100"/>
                <w:sz w:val="18"/>
                <w:szCs w:val="18"/>
              </w:rPr>
              <w:t>Oikeuslaitoksen henkilöstön koulutus, jossa käsitellään heidän tehtäviensä kannalta keskeisiä aiheita, kuten</w:t>
            </w:r>
            <w:r>
              <w:rPr>
                <w:noProof/>
                <w:color w:val="006100"/>
                <w:sz w:val="18"/>
                <w:szCs w:val="18"/>
              </w:rPr>
              <w:t xml:space="preserve"> palvelujen hallinnointia ja organisointia, digitaalisia taitoja, prosessioikeutta ja aineellista oikeutta.</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236</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Oikeusjärjestelmän tehostaminen – 16575 oikeuslaitoksen nopeuttaminen</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Oikeusalan kartan tarkistaminen – edistyminen </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Edistymiskertomus, jossa tarkastellaan ja tarkistetaan prosenttiosuuksia, jotka ilmenevät asianomaisten tuomioistuinten hallintojen virallisista lausunnoista, joissa vahvistetaan uudistettujen yksiköiden toimintavalmius ja toimivuus.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2024</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Oikeudellisen kartan tarkistaminen</w:t>
            </w:r>
          </w:p>
          <w:p w:rsidR="00B0093E" w:rsidRDefault="00762CA6">
            <w:pPr>
              <w:spacing w:after="0" w:line="240" w:lineRule="auto"/>
              <w:rPr>
                <w:noProof/>
                <w:color w:val="006100"/>
                <w:sz w:val="18"/>
                <w:szCs w:val="18"/>
              </w:rPr>
            </w:pPr>
            <w:r>
              <w:rPr>
                <w:noProof/>
                <w:color w:val="006100"/>
                <w:sz w:val="18"/>
                <w:szCs w:val="18"/>
              </w:rPr>
              <w:t>Vähintään 70 prosenttia asianomaisista elimistä (tuomioistuimista) on täysin toimintakykyisiä ja toimivia hallinto-oikeuden alalla; vähintään 40 prosenttia asianomaisista elimistä (tuomioistuimista) on täysin toimintakyky</w:t>
            </w:r>
            <w:r>
              <w:rPr>
                <w:noProof/>
                <w:color w:val="006100"/>
                <w:sz w:val="18"/>
                <w:szCs w:val="18"/>
              </w:rPr>
              <w:t xml:space="preserve">isiä ja toimintakykyisiä siviili- ja rikosoikeuden alalla </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237</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Oikeuslaitoksen tehokkuuden parantaminen – 16292_Uudet oikeuslaitoksen rakennukset</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Rakennus- ja korjaustyöt – sähköinen identiteetti – viimeistely </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 xml:space="preserve">Raportti, jossa </w:t>
            </w:r>
            <w:r>
              <w:rPr>
                <w:noProof/>
                <w:color w:val="006100"/>
                <w:sz w:val="18"/>
                <w:szCs w:val="18"/>
              </w:rPr>
              <w:t>todennetaan, että kaikki rakennushankkeet on saatettu kokonaisuudessaan päätökseen ja luovutettu käyttäjille. </w:t>
            </w:r>
          </w:p>
          <w:p w:rsidR="00B0093E" w:rsidRDefault="00B0093E">
            <w:pPr>
              <w:spacing w:after="0" w:line="240" w:lineRule="auto"/>
              <w:rPr>
                <w:rFonts w:cs="Calibri"/>
                <w:noProof/>
                <w:color w:val="006100"/>
                <w:sz w:val="18"/>
                <w:szCs w:val="18"/>
              </w:rPr>
            </w:pPr>
          </w:p>
          <w:p w:rsidR="00B0093E" w:rsidRDefault="00762CA6">
            <w:pPr>
              <w:spacing w:after="0" w:line="240" w:lineRule="auto"/>
              <w:rPr>
                <w:noProof/>
                <w:color w:val="006100"/>
                <w:sz w:val="18"/>
                <w:szCs w:val="18"/>
              </w:rPr>
            </w:pPr>
            <w:r>
              <w:rPr>
                <w:noProof/>
                <w:color w:val="006100"/>
                <w:sz w:val="18"/>
                <w:szCs w:val="18"/>
              </w:rPr>
              <w:t>Ilmoitus sähköisen tunnistamisen alustan täydestä toimintavalmiudesta ja toimivuudesta.</w:t>
            </w:r>
          </w:p>
          <w:p w:rsidR="00B0093E" w:rsidRDefault="00B0093E">
            <w:pPr>
              <w:spacing w:after="0" w:line="240" w:lineRule="auto"/>
              <w:rPr>
                <w:rFonts w:cs="Calibri"/>
                <w:noProof/>
                <w:color w:val="006100"/>
                <w:sz w:val="18"/>
                <w:szCs w:val="18"/>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2025</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before="120" w:after="0" w:line="240" w:lineRule="auto"/>
              <w:jc w:val="both"/>
              <w:rPr>
                <w:noProof/>
                <w:color w:val="006100"/>
                <w:sz w:val="18"/>
                <w:szCs w:val="18"/>
              </w:rPr>
            </w:pPr>
            <w:r>
              <w:rPr>
                <w:noProof/>
                <w:color w:val="006100"/>
                <w:sz w:val="18"/>
                <w:szCs w:val="18"/>
              </w:rPr>
              <w:t xml:space="preserve">Kaikkien jäljellä olevien uusien rakennusten loppuun saattaminen ja vuoden 2023 ensimmäisellä neljänneksellä käynnistetyt korjaukset tarkistetun tuomioistuinkartan tarpeiden mukaisesti. </w:t>
            </w:r>
          </w:p>
          <w:p w:rsidR="00B0093E" w:rsidRDefault="00762CA6">
            <w:pPr>
              <w:spacing w:before="120" w:after="0" w:line="240" w:lineRule="auto"/>
              <w:jc w:val="both"/>
              <w:rPr>
                <w:b/>
                <w:bCs/>
                <w:noProof/>
                <w:color w:val="006100"/>
                <w:sz w:val="18"/>
                <w:szCs w:val="18"/>
              </w:rPr>
            </w:pPr>
            <w:r>
              <w:rPr>
                <w:noProof/>
                <w:color w:val="006100"/>
                <w:sz w:val="18"/>
                <w:szCs w:val="18"/>
              </w:rPr>
              <w:t xml:space="preserve">Oikeuslaitoksen rakennusten sähköisen henkilötunnusalustan valmiiksi </w:t>
            </w:r>
            <w:r>
              <w:rPr>
                <w:noProof/>
                <w:color w:val="006100"/>
                <w:sz w:val="18"/>
                <w:szCs w:val="18"/>
              </w:rPr>
              <w:t xml:space="preserve">saattaminen ja täysimääräinen toimintavalmius verkossa </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238</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Oikeusjärjestelmän tehostaminen – 16575 oikeuslaitoksen nopeuttaminen</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Oikeudellisen kartan tarkistaminen – täysimääräinen täytäntöönpano</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 xml:space="preserve">Edistymiskertomus, jossa vahvistetaan </w:t>
            </w:r>
            <w:r>
              <w:rPr>
                <w:noProof/>
                <w:color w:val="006100"/>
                <w:sz w:val="18"/>
                <w:szCs w:val="18"/>
              </w:rPr>
              <w:t>kaikkien uudistettujen yksiköiden toimintavalmius ja toimivuus virallisten asiakirjojen perusteella.</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2025</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Oikeudellisen kartan tarkistaminen</w:t>
            </w:r>
          </w:p>
          <w:p w:rsidR="00B0093E" w:rsidRDefault="00762CA6">
            <w:pPr>
              <w:spacing w:after="0" w:line="240" w:lineRule="auto"/>
              <w:rPr>
                <w:rFonts w:cs="Calibri"/>
                <w:b/>
                <w:noProof/>
                <w:color w:val="006100"/>
                <w:sz w:val="18"/>
                <w:szCs w:val="18"/>
              </w:rPr>
            </w:pPr>
            <w:r>
              <w:rPr>
                <w:noProof/>
                <w:color w:val="006100"/>
                <w:sz w:val="18"/>
                <w:szCs w:val="18"/>
              </w:rPr>
              <w:t>Kunkin hallinto-, siviili- ja rikoslainkäyttökartan täysimääräinen täytäntöönpano tai tarkistaminen, mikä käy ilmi asianomaisten tuomioistuinten hallintojen virallisista lausunnoista, joissa vahvistetaan uudistettujen yksiköiden toimintavalmius ja toimivuu</w:t>
            </w:r>
            <w:r>
              <w:rPr>
                <w:noProof/>
                <w:color w:val="006100"/>
                <w:sz w:val="18"/>
                <w:szCs w:val="18"/>
              </w:rPr>
              <w:t xml:space="preserve">s. </w:t>
            </w:r>
          </w:p>
        </w:tc>
      </w:tr>
      <w:tr w:rsidR="00B0093E">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239</w:t>
            </w:r>
          </w:p>
        </w:tc>
        <w:tc>
          <w:tcPr>
            <w:tcW w:w="15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14-4.3. Oikeusjärjestelmän tehostaminen – 16727_Oikeusalan digitalisaatio (sähköinen oikeus)</w:t>
            </w:r>
          </w:p>
        </w:tc>
        <w:tc>
          <w:tcPr>
            <w:tcW w:w="14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Tietojen säilyttäminen ja atk-päivitykset</w:t>
            </w:r>
          </w:p>
        </w:tc>
        <w:tc>
          <w:tcPr>
            <w:tcW w:w="15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 xml:space="preserve">Äänitietojen tallennusjärjestelmät ovat täysin toimintakykyisiä kaikissa siviili- ja </w:t>
            </w:r>
            <w:r>
              <w:rPr>
                <w:noProof/>
                <w:color w:val="006100"/>
                <w:sz w:val="18"/>
                <w:szCs w:val="18"/>
              </w:rPr>
              <w:t>rikostuomioistuimissa.</w:t>
            </w:r>
          </w:p>
          <w:p w:rsidR="00B0093E" w:rsidRDefault="00B0093E">
            <w:pPr>
              <w:spacing w:after="0" w:line="240" w:lineRule="auto"/>
              <w:rPr>
                <w:rFonts w:cs="Calibri"/>
                <w:noProof/>
                <w:color w:val="006100"/>
                <w:sz w:val="18"/>
                <w:szCs w:val="18"/>
              </w:rPr>
            </w:pPr>
          </w:p>
          <w:p w:rsidR="00B0093E" w:rsidRDefault="00762CA6">
            <w:pPr>
              <w:spacing w:after="0" w:line="240" w:lineRule="auto"/>
              <w:rPr>
                <w:rFonts w:cs="Calibri"/>
                <w:noProof/>
                <w:color w:val="006100"/>
                <w:sz w:val="18"/>
                <w:szCs w:val="18"/>
              </w:rPr>
            </w:pPr>
            <w:r>
              <w:rPr>
                <w:noProof/>
                <w:color w:val="006100"/>
                <w:sz w:val="18"/>
                <w:szCs w:val="18"/>
              </w:rPr>
              <w:t>OSDDY-PP, vaihe II, OSDDY-DDY-DD, tilintarkastustuomioistuin ja kansalliset rikosrekisterihankkeet on pantu täysimääräisesti täytäntöön, toimitettu ja toiminnassa.</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2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2025</w:t>
            </w:r>
          </w:p>
        </w:tc>
        <w:tc>
          <w:tcPr>
            <w:tcW w:w="488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 xml:space="preserve">Sähköinen oikeus: Oikeusalan tietojärjestelmien päivittämistä ja laajentamista koskevan asiakirjan ”Tutkimusalan tietojärjestelmien päivittäminen ja laajentaminen” hyväksyttävyys seuraavilta osin: </w:t>
            </w:r>
          </w:p>
          <w:p w:rsidR="00B0093E" w:rsidRDefault="00762CA6">
            <w:pPr>
              <w:numPr>
                <w:ilvl w:val="0"/>
                <w:numId w:val="24"/>
              </w:numPr>
              <w:spacing w:before="120" w:after="0" w:line="240" w:lineRule="auto"/>
              <w:ind w:left="314"/>
              <w:jc w:val="both"/>
              <w:rPr>
                <w:noProof/>
                <w:color w:val="006100"/>
                <w:sz w:val="18"/>
                <w:szCs w:val="18"/>
              </w:rPr>
            </w:pPr>
            <w:r>
              <w:rPr>
                <w:noProof/>
                <w:color w:val="006100"/>
                <w:sz w:val="18"/>
                <w:szCs w:val="18"/>
              </w:rPr>
              <w:t>Tuomioistuinten kirjanpitojärjestelmän parantaminen.</w:t>
            </w:r>
          </w:p>
          <w:p w:rsidR="00B0093E" w:rsidRDefault="00762CA6">
            <w:pPr>
              <w:numPr>
                <w:ilvl w:val="0"/>
                <w:numId w:val="24"/>
              </w:numPr>
              <w:spacing w:before="120" w:after="0" w:line="259" w:lineRule="auto"/>
              <w:ind w:left="314"/>
              <w:contextualSpacing/>
              <w:jc w:val="both"/>
              <w:rPr>
                <w:noProof/>
                <w:color w:val="006100"/>
                <w:sz w:val="18"/>
                <w:szCs w:val="18"/>
              </w:rPr>
            </w:pPr>
            <w:r>
              <w:rPr>
                <w:noProof/>
                <w:color w:val="006100"/>
                <w:sz w:val="18"/>
                <w:szCs w:val="18"/>
              </w:rPr>
              <w:t>Oikeu</w:t>
            </w:r>
            <w:r>
              <w:rPr>
                <w:noProof/>
                <w:color w:val="006100"/>
                <w:sz w:val="18"/>
                <w:szCs w:val="18"/>
              </w:rPr>
              <w:t>salan tietojärjestelmien parantaminen ja tukeminen siviili-, rikos- ja hallintotuomioistuimia, tilintarkastustuomioistuinta ja kansallista rikosrekisteriä varten.</w:t>
            </w:r>
          </w:p>
          <w:p w:rsidR="00B0093E" w:rsidRDefault="00762CA6">
            <w:pPr>
              <w:spacing w:after="0" w:line="240" w:lineRule="auto"/>
              <w:rPr>
                <w:rFonts w:eastAsia="Times New Roman"/>
                <w:noProof/>
                <w:color w:val="006100"/>
                <w:sz w:val="18"/>
                <w:szCs w:val="18"/>
              </w:rPr>
            </w:pPr>
            <w:r>
              <w:rPr>
                <w:noProof/>
                <w:color w:val="006100"/>
                <w:sz w:val="18"/>
                <w:szCs w:val="18"/>
              </w:rPr>
              <w:t>Alahankkeiden on sisällettävä seuraavat: – Tuomioistuinten kirjanpitojärjestelmän parantamine</w:t>
            </w:r>
            <w:r>
              <w:rPr>
                <w:noProof/>
                <w:color w:val="006100"/>
                <w:sz w:val="18"/>
                <w:szCs w:val="18"/>
              </w:rPr>
              <w:t>n – integroidun asianhallintajärjestelmän (OSDDY-PP A) päivitys- ja tukipalvelut ja järjestelmän käyttöönotto maan kaikissa siviili- ja rikostuomioistuimissa (OSDDY-PP B) – integroidun asianhallintajärjestelmän (OSDDY-PP A) päivitys- ja tukipalvelut ja jär</w:t>
            </w:r>
            <w:r>
              <w:rPr>
                <w:noProof/>
                <w:color w:val="006100"/>
                <w:sz w:val="18"/>
                <w:szCs w:val="18"/>
              </w:rPr>
              <w:t>jestelmän käyttöönotto maan kaikissa siviili- ja rikostuomioistuimissa (OSDDY-PP (www.adjustice.gr).   – Kansallisen rikosrekisteritietojärjestelmän (National Criminal Records Register System, NCRIs) päivitys- ja tukipalvelut – Kreikan tilintarkastustuomio</w:t>
            </w:r>
            <w:r>
              <w:rPr>
                <w:noProof/>
                <w:color w:val="006100"/>
                <w:sz w:val="18"/>
                <w:szCs w:val="18"/>
              </w:rPr>
              <w:t>istuimen (ELSYN) asianhallintajärjestelmän (CMS) päivitys- ja tukipalvelut</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21"/>
          <w:headerReference w:type="default" r:id="rId222"/>
          <w:footerReference w:type="even" r:id="rId223"/>
          <w:footerReference w:type="default" r:id="rId224"/>
          <w:headerReference w:type="first" r:id="rId225"/>
          <w:footerReference w:type="first" r:id="rId226"/>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O. KOMPONENTTI 4.4: RAHOITUSALAN JA PÄÄOMAMARKKINOIDEN VAHVISTAMINEN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Kreikan elpymis- ja palautumissuunnitelman tämän </w:t>
      </w:r>
      <w:r>
        <w:rPr>
          <w:rFonts w:ascii="Times New Roman" w:hAnsi="Times New Roman"/>
          <w:noProof/>
          <w:sz w:val="24"/>
        </w:rPr>
        <w:t>komponentin tavoitteena on vahvistaa rahoitusjärjestelmän valmiuksia tukea talouden kehitystä tarjoamalla yrityksille ja yksityishenkilöille rahoitusta uusien toimintojen kehittämiseen. Se tukee sitä, että Kreikan pankkisektorilla puututaan suuriin järjest</w:t>
      </w:r>
      <w:r>
        <w:rPr>
          <w:rFonts w:ascii="Times New Roman" w:hAnsi="Times New Roman"/>
          <w:noProof/>
          <w:sz w:val="24"/>
        </w:rPr>
        <w:t>ämättömiin vastuisiin ja järjestämättömiin lainoihin ja parannetaan samalla markkinoilla olevien yritysten ja yksityishenkilöiden luottoprofiileja koskevien tietojen saatavuutta.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Komponentista tuetaan myös yksityisen velkaantumisen torjuntaa ja vahvisteta</w:t>
      </w:r>
      <w:r>
        <w:rPr>
          <w:rFonts w:ascii="Times New Roman" w:hAnsi="Times New Roman"/>
          <w:noProof/>
          <w:sz w:val="24"/>
        </w:rPr>
        <w:t>an pääomamarkkinoita. Rakenteelliset muutokset näillä kahdella alalla edistävät kasvua ja parantavat Kreikan talouden häiriönsietokykyä tulevia häiriöitä silmällä pitäen.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Tämän komponentin uudistukset ovat seuraavat: </w:t>
      </w:r>
    </w:p>
    <w:p w:rsidR="00B0093E" w:rsidRDefault="00762CA6">
      <w:pPr>
        <w:numPr>
          <w:ilvl w:val="0"/>
          <w:numId w:val="62"/>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Pääomamarkkinoiden valvonnan ja luote</w:t>
      </w:r>
      <w:r>
        <w:rPr>
          <w:rFonts w:ascii="Times New Roman" w:hAnsi="Times New Roman"/>
          <w:noProof/>
          <w:sz w:val="24"/>
        </w:rPr>
        <w:t>ttavuuden parantaminen </w:t>
      </w:r>
    </w:p>
    <w:p w:rsidR="00B0093E" w:rsidRDefault="00762CA6">
      <w:pPr>
        <w:numPr>
          <w:ilvl w:val="0"/>
          <w:numId w:val="62"/>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Rahoitusjärjestelmän valmiuksien vahvistaminen vanhojen haasteiden voittamiseksi ja reaalitalouden rahoittamiseksi </w:t>
      </w:r>
    </w:p>
    <w:p w:rsidR="00B0093E" w:rsidRDefault="00762CA6">
      <w:pPr>
        <w:numPr>
          <w:ilvl w:val="0"/>
          <w:numId w:val="62"/>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Velan uudelleenjärjestelyä ja toista mahdollisuutta koskevan uuden yhtenäisen maksukyvyttömyyskehyksen täytäntöönpan</w:t>
      </w:r>
      <w:r>
        <w:rPr>
          <w:rFonts w:ascii="Times New Roman" w:hAnsi="Times New Roman"/>
          <w:noProof/>
          <w:sz w:val="24"/>
        </w:rPr>
        <w:t xml:space="preserve">on edellyttämän digitaalisen infrastruktuurin parantaminen </w:t>
      </w:r>
    </w:p>
    <w:p w:rsidR="00B0093E" w:rsidRDefault="00762CA6">
      <w:pPr>
        <w:numPr>
          <w:ilvl w:val="0"/>
          <w:numId w:val="62"/>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Uusien lainojen edistäminen – luottolaajennusten seurantakeskuksen perustaminen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Joihinkin uudistuksiin sisältyy toimia, joilla korjataan luottovirran onnistumisen estäviä tietopuutteita ja tehoka</w:t>
      </w:r>
      <w:r>
        <w:rPr>
          <w:rFonts w:ascii="Times New Roman" w:hAnsi="Times New Roman"/>
          <w:noProof/>
          <w:sz w:val="24"/>
        </w:rPr>
        <w:t>sta riskien seurantaa. Näitä ovat yksityisen velan seurantarekisterin kehittäminen, julkisen luottotoimiston, keskusluottorekisterin ja luottolaajennuksen seurantakeskuksen kehittäminen. Näillä toimilla edistetään myös Kreikan talouden digitaalista siirtym</w:t>
      </w:r>
      <w:r>
        <w:rPr>
          <w:rFonts w:ascii="Times New Roman" w:hAnsi="Times New Roman"/>
          <w:noProof/>
          <w:sz w:val="24"/>
        </w:rPr>
        <w:t xml:space="preserve">ää, sillä ne ovat riippuvaisia tietotekniikasta.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Tämän komponentin toimenpiteillä edistetään taloudellista ja institutionaalista palautumiskykyä, vahvistetaan kriisivalmiutta ja institutionaalisia valmiuksia ja edistetään näin ollen maakohtaisia suosituks</w:t>
      </w:r>
      <w:r>
        <w:rPr>
          <w:rFonts w:ascii="Times New Roman" w:hAnsi="Times New Roman"/>
          <w:noProof/>
          <w:sz w:val="24"/>
        </w:rPr>
        <w:t>ia ”Rakenneuudistukset talouden toiminnan parantamiseksi” (maakohtainen suositus 1 2019 ja maakohtainen suositus 4 2020). Minkään tähän osa-alueeseen kuuluvan toimenpiteen ei odoteta aiheuttavan merkittävää haittaa asetuksen (EU) 2020/852 17 artiklassa tar</w:t>
      </w:r>
      <w:r>
        <w:rPr>
          <w:rFonts w:ascii="Times New Roman" w:hAnsi="Times New Roman"/>
          <w:noProof/>
          <w:sz w:val="24"/>
        </w:rPr>
        <w:t>koitetuille ympäristötavoitteille, kun otetaan huomioon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O.1 </w:t>
      </w:r>
      <w:r>
        <w:rPr>
          <w:rFonts w:ascii="Times New Roman" w:hAnsi="Times New Roman"/>
          <w:b/>
          <w:noProof/>
          <w:sz w:val="24"/>
          <w:u w:val="single"/>
        </w:rPr>
        <w:tab/>
      </w:r>
      <w:r>
        <w:rPr>
          <w:rFonts w:ascii="Times New Roman" w:hAnsi="Times New Roman"/>
          <w:b/>
          <w:bCs/>
          <w:noProof/>
          <w:sz w:val="24"/>
          <w:u w:val="single"/>
        </w:rPr>
        <w:t>Kuvaus uudistuksist</w:t>
      </w:r>
      <w:r>
        <w:rPr>
          <w:rFonts w:ascii="Times New Roman" w:hAnsi="Times New Roman"/>
          <w:b/>
          <w:bCs/>
          <w:noProof/>
          <w:sz w:val="24"/>
          <w:u w:val="single"/>
        </w:rPr>
        <w: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Pääomamarkkinoiden valvonnan ja luotettavuuden parantaminen (toimenpidenumero 16581)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tehostamaan pääomamarkkinoiden valvontaa 1) investoimalla</w:t>
      </w:r>
      <w:r>
        <w:rPr>
          <w:rFonts w:ascii="Times New Roman" w:hAnsi="Times New Roman"/>
          <w:noProof/>
          <w:sz w:val="24"/>
        </w:rPr>
        <w:t xml:space="preserve"> Kreikan pääomamarkkinoiden komission (HCMC) digitaalisiin valmiuksiin ja digitalisoimalla sen sisäiset prosessit ja organisaatio sekä 2) kodifioimalla ja nykyaikaistamalla pääomamarkkinoiden sääntely- ja lainsäädäntökehystä pääomamarkkinoiden valvontavalm</w:t>
      </w:r>
      <w:r>
        <w:rPr>
          <w:rFonts w:ascii="Times New Roman" w:hAnsi="Times New Roman"/>
          <w:noProof/>
          <w:sz w:val="24"/>
        </w:rPr>
        <w:t>iuksien parantamiseksi. Uudistus tulee voimaan vuoden 2021 ensimmäisellä neljänneksellä ja investoinnit tietojärjestelmään viimeistään vuoden 2025 viimeisellä neljänneksellä.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Rahoitusjärjestelmän valmiuksien vahvistaminen vanhojen haasteiden voit</w:t>
      </w:r>
      <w:r>
        <w:rPr>
          <w:rFonts w:ascii="Times New Roman" w:hAnsi="Times New Roman"/>
          <w:noProof/>
          <w:sz w:val="24"/>
        </w:rPr>
        <w:t>tamiseksi ja reaalitalouden rahoittamiseksi (toimenpiteen tunniste 16957)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koostuu kolmesta osasta. Ensinnäkin se koskee julkisten luottojen toimiston perustamista ja toimintaa. Sen on annettava tuloksia velallisten luottokelpoisuudesta ja poistett</w:t>
      </w:r>
      <w:r>
        <w:rPr>
          <w:rFonts w:ascii="Times New Roman" w:hAnsi="Times New Roman"/>
          <w:noProof/>
          <w:sz w:val="24"/>
        </w:rPr>
        <w:t>ava julkisen sektorin yksiköiden ja pankkien välinen tiedon epäsymmetria julkisen sektorin tietojen perusteella. Siihen on sisällyttävä myös tietotekninen järjestelmä vakavaraisuuden arviointia varten. Toiseksi uudistus koskee yksityisen velan hoitoa koske</w:t>
      </w:r>
      <w:r>
        <w:rPr>
          <w:rFonts w:ascii="Times New Roman" w:hAnsi="Times New Roman"/>
          <w:noProof/>
          <w:sz w:val="24"/>
        </w:rPr>
        <w:t xml:space="preserve">van kansallisen strategian täytäntöönpanoa ja yksityisen velan seurantarekisterin kehittämistä, joka on saatava valmiiksi vuoden 2025 neljänteen neljännekseen mennessä. Kansalliseen strategiaan on sisällyttävä yhteensä 33 hanketta, jotka on jaettu kolmeen </w:t>
      </w:r>
      <w:r>
        <w:rPr>
          <w:rFonts w:ascii="Times New Roman" w:hAnsi="Times New Roman"/>
          <w:noProof/>
          <w:sz w:val="24"/>
        </w:rPr>
        <w:t>toimintalinjaan. Kunkin toimenpidekokonaisuuden tavoitteena on oltava yksityisen velanhoidon eri osa-alue ja kollektiivisesti kansallisen strategian mukaisesti. Ensimmäinen ja kolmas toimintalinja sisältävät toimia, joilla aktiivisesti vähennetään yksityis</w:t>
      </w:r>
      <w:r>
        <w:rPr>
          <w:rFonts w:ascii="Times New Roman" w:hAnsi="Times New Roman"/>
          <w:noProof/>
          <w:sz w:val="24"/>
        </w:rPr>
        <w:t>tä velkakantaa parantamalla maksukyvyttömyysprosessia ja vahvistamalla järjestämättömien lainojen markkinoita. Toinen toimintalinja koostuu toimista, joilla pyritään estämään yksityisen velan kertyminen tulevaisuudessa. Tämän osauudistuksen tärkein investo</w:t>
      </w:r>
      <w:r>
        <w:rPr>
          <w:rFonts w:ascii="Times New Roman" w:hAnsi="Times New Roman"/>
          <w:noProof/>
          <w:sz w:val="24"/>
        </w:rPr>
        <w:t xml:space="preserve">inti on tietoteknisen järjestelmän kehittäminen yksityisen velan seurantarekisteriä varten.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Kolmannessa alauudistuksessa viitataan sellaisen keskitetyn luottorekisterin perustamiseen, joka täydentäisi omaisuuserien Hercules-suojajärjestelmää ja vahvistais</w:t>
      </w:r>
      <w:r>
        <w:rPr>
          <w:rFonts w:ascii="Times New Roman" w:hAnsi="Times New Roman"/>
          <w:noProof/>
          <w:sz w:val="24"/>
        </w:rPr>
        <w:t>i järjestämättömien lainojen jälkimarkkinoita.</w:t>
      </w:r>
      <w:r>
        <w:rPr>
          <w:rFonts w:ascii="Times New Roman" w:hAnsi="Times New Roman"/>
          <w:noProof/>
          <w:color w:val="000000"/>
          <w:sz w:val="24"/>
        </w:rPr>
        <w:t xml:space="preserve"> </w:t>
      </w:r>
      <w:r>
        <w:rPr>
          <w:rFonts w:ascii="Times New Roman" w:hAnsi="Times New Roman" w:cs="Times New Roman"/>
          <w:noProof/>
          <w:sz w:val="24"/>
          <w:szCs w:val="24"/>
        </w:rPr>
        <w:t>Vastapuoliriskistä vastaa Kreikan keskuspankki, ja se kirjaa yksityiskohtaisesti kaikkien pankkien ja rahoituslaitosten asiakkaiden kunkin yksittäisen lainan maksuhistorian ja annettujen vakuuksien tyypit.</w:t>
      </w:r>
      <w:r>
        <w:rPr>
          <w:rFonts w:ascii="Times New Roman" w:hAnsi="Times New Roman"/>
          <w:noProof/>
          <w:color w:val="000000"/>
          <w:sz w:val="24"/>
        </w:rPr>
        <w:t xml:space="preserve"> Luo</w:t>
      </w:r>
      <w:r>
        <w:rPr>
          <w:rFonts w:ascii="Times New Roman" w:hAnsi="Times New Roman"/>
          <w:noProof/>
          <w:color w:val="000000"/>
          <w:sz w:val="24"/>
        </w:rPr>
        <w:t xml:space="preserve">ttojen keskusrekisteri täydentää nykyistä Tiresias-järjestelmää (yksityinen luottotoimisto) sekä ehdotettua julkisten luottojen toimistoa ja yksityisen velan seurantarekisteriä, ja se on täysin yhdenmukainen sen kanssa. </w:t>
      </w:r>
      <w:r>
        <w:rPr>
          <w:rFonts w:ascii="Times New Roman" w:hAnsi="Times New Roman"/>
          <w:noProof/>
          <w:sz w:val="24"/>
        </w:rPr>
        <w:t>Sen on mahdollistettava luottotietoj</w:t>
      </w:r>
      <w:r>
        <w:rPr>
          <w:rFonts w:ascii="Times New Roman" w:hAnsi="Times New Roman"/>
          <w:noProof/>
          <w:sz w:val="24"/>
        </w:rPr>
        <w:t>en saatavuus ja puututtava epäsymmetrisestä informaatiosta johtuviin markkinoiden toimintapuutteisiin ja helpotettava näin luotonsaantia. Lisäämällä mahdollisten velallisten luottotietoja koskevia tietoja vastapuoliriskin on puututtava kielteiseen valintao</w:t>
      </w:r>
      <w:r>
        <w:rPr>
          <w:rFonts w:ascii="Times New Roman" w:hAnsi="Times New Roman"/>
          <w:noProof/>
          <w:sz w:val="24"/>
        </w:rPr>
        <w:t>ngelmaan, jota rahoituslaitokset kohtaavat tarjotessaan mahdollisille lainanantajille uusia lainoja, joista niillä on puutteelliset tiedot. Tämä puolestaan vaikuttaa myönteisesti investointimenojen määrään ja laatuun. Vastapuoliriskillä on lisäksi oltava m</w:t>
      </w:r>
      <w:r>
        <w:rPr>
          <w:rFonts w:ascii="Times New Roman" w:hAnsi="Times New Roman"/>
          <w:noProof/>
          <w:sz w:val="24"/>
        </w:rPr>
        <w:t>yönteisiä vaikutuksia rahoituslaitosten väliseen kilpailuun, mikä alentaa kreikkalaisten yritysten ja yksittäisten asiakkaiden pääomakustannuksia. Antamalla tarkkoja ja oikea-aikaisia tietoja yksittäisistä lainoista vastapuoliriskin on helpotettava huomatt</w:t>
      </w:r>
      <w:r>
        <w:rPr>
          <w:rFonts w:ascii="Times New Roman" w:hAnsi="Times New Roman"/>
          <w:noProof/>
          <w:sz w:val="24"/>
        </w:rPr>
        <w:t>avasti sijoittajien kykyä hinnoitella riski järjestämättömien lainojen jälkimarkkinoilla. Tämä lisää järjestämättömien lainojen arvostusta, nostaa takaisinperintäastetta ja auttaa näin pankkeja ratkaisemaan vanhoja järjestämättömiin lainoihin liittyviä haa</w:t>
      </w:r>
      <w:r>
        <w:rPr>
          <w:rFonts w:ascii="Times New Roman" w:hAnsi="Times New Roman"/>
          <w:noProof/>
          <w:sz w:val="24"/>
        </w:rPr>
        <w:t>steita nopeammin ja tehokkaammin pääoman käytön osalta.</w:t>
      </w:r>
      <w:r>
        <w:rPr>
          <w:noProof/>
          <w:color w:val="000000"/>
          <w:bdr w:val="none" w:sz="0" w:space="0" w:color="auto" w:frame="1"/>
        </w:rPr>
        <w:t> </w:t>
      </w:r>
      <w:r>
        <w:rPr>
          <w:rFonts w:ascii="Times New Roman" w:hAnsi="Times New Roman"/>
          <w:noProof/>
          <w:sz w:val="24"/>
        </w:rPr>
        <w:t>Kaikki nämä olisi saatava päätökseen vuoden 2025 neljänteen neljännekseen mennessä.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Digitaalisen infrastruktuurin parantaminen, joka on tarpeen velan uudelleenjärjestelyä ja uutta mahdollisu</w:t>
      </w:r>
      <w:r>
        <w:rPr>
          <w:rFonts w:ascii="Times New Roman" w:hAnsi="Times New Roman"/>
          <w:noProof/>
          <w:sz w:val="24"/>
        </w:rPr>
        <w:t>utta koskevan uuden yhtenäisen maksukyvyttömyyskehyksen täytäntöönpanemiseksi (toimenpiteen tunniste 16580)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Uudistuksella pyritään parantamaan digitaalista infrastruktuuria, jota tarvitaan tukemaan ennakkovaroitus- ja ennaltaehkäiseviä velkojen </w:t>
      </w:r>
      <w:r>
        <w:rPr>
          <w:rFonts w:ascii="Times New Roman" w:hAnsi="Times New Roman"/>
          <w:noProof/>
          <w:sz w:val="24"/>
        </w:rPr>
        <w:t>uudelleenjärjestelymenettelyjä, joita tarjotaan yksityishenkilöiden ja oikeushenkilöiden velanhoitoa koskevassa uudessa yhtenäisessä/kodifioidussa oikeudellisessa kehyksessä.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saatettava päätökseen vuoden 2024 neljännekseen mennessä.</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U</w:t>
      </w:r>
      <w:r>
        <w:rPr>
          <w:rFonts w:ascii="Times New Roman" w:hAnsi="Times New Roman"/>
          <w:noProof/>
          <w:sz w:val="24"/>
        </w:rPr>
        <w:t>usien lainojen edistäminen – Luottolaajentumisen seurantakeskuksen perustaminen (toimenpiteen tunniste 16576)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Uudistus koskee Credit Expansion Observatory -seurantakeskuksen perustamista. Se kerää yksityiskohtaisia tietoja pankkien yksityishenkilöille ja </w:t>
      </w:r>
      <w:r>
        <w:rPr>
          <w:rFonts w:ascii="Times New Roman" w:hAnsi="Times New Roman"/>
          <w:noProof/>
          <w:sz w:val="24"/>
        </w:rPr>
        <w:t>oikeushenkilöille tarjoamasta likviditeetistä, jotta voidaan paremmin suunnitella ja toteuttaa kohdennettuja julkisia politiikkoja, joilla pyritään lisäämään rahoituksen saantia. Se seuraa markkinoiden likviditeettiä itsenäisesti ja luotonannon laajentamis</w:t>
      </w:r>
      <w:r>
        <w:rPr>
          <w:rFonts w:ascii="Times New Roman" w:hAnsi="Times New Roman"/>
          <w:noProof/>
          <w:sz w:val="24"/>
        </w:rPr>
        <w:t>en yhteydessä talouden tukemisen ja rahoitusvälineiden mahdollisimman tehokkaan hyödyntämisen yhteydessä, jotta voidaan vastata yksityishenkilöiden ja yritysten likviditeettitarpeisiin.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Tämän uudistuksen mukaisiin investointeihin sisältyy myös sellaisen ti</w:t>
      </w:r>
      <w:r>
        <w:rPr>
          <w:rFonts w:ascii="Times New Roman" w:hAnsi="Times New Roman"/>
          <w:noProof/>
          <w:sz w:val="24"/>
        </w:rPr>
        <w:t>etojenkeruutietojärjestelmän suunnittelu ja käyttöönotto, joka toimii luotonannon laajentamista valvovana välineenä ja parantaa valtion ja sen asiaankuuluvien politiikkojen valmiutta. Se on määrä saada valmiiksi vuoden 2024 neljännekseen mennessä.</w:t>
      </w:r>
    </w:p>
    <w:p w:rsidR="00B0093E" w:rsidRDefault="00B0093E">
      <w:pPr>
        <w:spacing w:before="120" w:after="120" w:line="240" w:lineRule="auto"/>
        <w:ind w:left="709"/>
        <w:jc w:val="both"/>
        <w:rPr>
          <w:rFonts w:ascii="Times New Roman" w:hAnsi="Times New Roman" w:cs="Times New Roman"/>
          <w:b/>
          <w:bCs/>
          <w:noProof/>
          <w:sz w:val="24"/>
          <w:u w:val="single"/>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27"/>
          <w:headerReference w:type="default" r:id="rId228"/>
          <w:footerReference w:type="even" r:id="rId229"/>
          <w:footerReference w:type="default" r:id="rId230"/>
          <w:headerReference w:type="first" r:id="rId231"/>
          <w:footerReference w:type="first" r:id="rId232"/>
          <w:pgSz w:w="11907" w:h="16839"/>
          <w:pgMar w:top="1134" w:right="1417" w:bottom="1134" w:left="1417"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O.2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22: Rahoitusalan ja pääomamarkkinoiden vahvistaminen</w:t>
      </w:r>
    </w:p>
    <w:p w:rsidR="00B0093E" w:rsidRDefault="00762CA6">
      <w:pPr>
        <w:numPr>
          <w:ilvl w:val="0"/>
          <w:numId w:val="34"/>
        </w:numPr>
        <w:spacing w:before="120" w:after="0" w:line="240" w:lineRule="auto"/>
        <w:jc w:val="both"/>
        <w:rPr>
          <w:rFonts w:ascii="Times New Roman" w:hAnsi="Times New Roman" w:cs="Times New Roman"/>
          <w:noProof/>
          <w:sz w:val="24"/>
        </w:rPr>
      </w:pPr>
      <w:r>
        <w:rPr>
          <w:rFonts w:ascii="Times New Roman" w:hAnsi="Times New Roman"/>
          <w:noProof/>
          <w:sz w:val="24"/>
        </w:rPr>
        <w:t>Pääomam</w:t>
      </w:r>
      <w:r>
        <w:rPr>
          <w:rFonts w:ascii="Times New Roman" w:hAnsi="Times New Roman"/>
          <w:noProof/>
          <w:sz w:val="24"/>
        </w:rPr>
        <w:t>arkkinoiden valvonnan ja luotettavuuden parantaminen (tunniste: 16581)</w:t>
      </w:r>
    </w:p>
    <w:p w:rsidR="00B0093E" w:rsidRDefault="00762CA6">
      <w:pPr>
        <w:numPr>
          <w:ilvl w:val="0"/>
          <w:numId w:val="34"/>
        </w:numPr>
        <w:spacing w:before="120" w:after="0" w:line="240" w:lineRule="auto"/>
        <w:jc w:val="both"/>
        <w:rPr>
          <w:rFonts w:ascii="Times New Roman" w:hAnsi="Times New Roman" w:cs="Times New Roman"/>
          <w:noProof/>
          <w:sz w:val="24"/>
        </w:rPr>
      </w:pPr>
      <w:r>
        <w:rPr>
          <w:rFonts w:ascii="Times New Roman" w:hAnsi="Times New Roman"/>
          <w:noProof/>
          <w:sz w:val="24"/>
        </w:rPr>
        <w:t>Vahvistetaan rahoitusjärjestelmän valmiuksia vastata heikkolaatuisiin omaisuuseriin liittyviin haasteisiin ja rahoittaa reaalitaloutta (tunniste: 16957)</w:t>
      </w:r>
    </w:p>
    <w:p w:rsidR="00B0093E" w:rsidRDefault="00762CA6">
      <w:pPr>
        <w:numPr>
          <w:ilvl w:val="0"/>
          <w:numId w:val="34"/>
        </w:numPr>
        <w:spacing w:before="120" w:after="0" w:line="240" w:lineRule="auto"/>
        <w:jc w:val="both"/>
        <w:rPr>
          <w:rFonts w:ascii="Times New Roman" w:hAnsi="Times New Roman" w:cs="Times New Roman"/>
          <w:noProof/>
          <w:sz w:val="24"/>
        </w:rPr>
      </w:pPr>
      <w:r>
        <w:rPr>
          <w:rFonts w:ascii="Times New Roman" w:hAnsi="Times New Roman"/>
          <w:noProof/>
          <w:sz w:val="24"/>
        </w:rPr>
        <w:t>Velan uudelleenjärjestelyä ja to</w:t>
      </w:r>
      <w:r>
        <w:rPr>
          <w:rFonts w:ascii="Times New Roman" w:hAnsi="Times New Roman"/>
          <w:noProof/>
          <w:sz w:val="24"/>
        </w:rPr>
        <w:t>ista mahdollisuutta koskevan uuden yhtenäisen maksukyvyttömyyskehyksen täytäntöönpano (tunniste: 16580)</w:t>
      </w:r>
    </w:p>
    <w:p w:rsidR="00B0093E" w:rsidRDefault="00762CA6">
      <w:pPr>
        <w:numPr>
          <w:ilvl w:val="0"/>
          <w:numId w:val="34"/>
        </w:numPr>
        <w:spacing w:before="120" w:after="120" w:line="240" w:lineRule="auto"/>
        <w:jc w:val="both"/>
        <w:rPr>
          <w:rFonts w:ascii="Times New Roman" w:hAnsi="Times New Roman" w:cs="Times New Roman"/>
          <w:noProof/>
          <w:sz w:val="24"/>
        </w:rPr>
      </w:pPr>
      <w:r>
        <w:rPr>
          <w:rFonts w:ascii="Times New Roman" w:hAnsi="Times New Roman"/>
          <w:noProof/>
          <w:sz w:val="24"/>
        </w:rPr>
        <w:t>Uusien lainojen edistäminen – luottolaajennusten seurantakeskuksen perustaminen (tunniste: 16576)</w:t>
      </w:r>
    </w:p>
    <w:tbl>
      <w:tblPr>
        <w:tblW w:w="15730" w:type="dxa"/>
        <w:jc w:val="center"/>
        <w:tblLook w:val="04A0" w:firstRow="1" w:lastRow="0" w:firstColumn="1" w:lastColumn="0" w:noHBand="0" w:noVBand="1"/>
      </w:tblPr>
      <w:tblGrid>
        <w:gridCol w:w="1027"/>
        <w:gridCol w:w="2360"/>
        <w:gridCol w:w="1626"/>
        <w:gridCol w:w="1993"/>
        <w:gridCol w:w="2132"/>
        <w:gridCol w:w="1247"/>
        <w:gridCol w:w="966"/>
        <w:gridCol w:w="1006"/>
        <w:gridCol w:w="1387"/>
        <w:gridCol w:w="657"/>
        <w:gridCol w:w="5194"/>
      </w:tblGrid>
      <w:tr w:rsidR="00B0093E">
        <w:trPr>
          <w:trHeight w:val="927"/>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171"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5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Laadulliset indikaattorit </w:t>
            </w:r>
            <w:r>
              <w:rPr>
                <w:rFonts w:ascii="Times New Roman" w:hAnsi="Times New Roman"/>
                <w:noProof/>
              </w:rPr>
              <w:t xml:space="preserve"> </w:t>
            </w:r>
            <w:r>
              <w:rPr>
                <w:rFonts w:ascii="Times New Roman" w:hAnsi="Times New Roman"/>
                <w:noProof/>
              </w:rPr>
              <w:br/>
            </w:r>
            <w:r>
              <w:rPr>
                <w:rFonts w:ascii="Times New Roman" w:hAnsi="Times New Roman"/>
                <w:b/>
                <w:bCs/>
                <w:noProof/>
                <w:sz w:val="18"/>
                <w:szCs w:val="18"/>
              </w:rPr>
              <w:t>(välitavoitteiden osalta)</w:t>
            </w:r>
          </w:p>
        </w:tc>
        <w:tc>
          <w:tcPr>
            <w:tcW w:w="2412"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Määrälliset indikaattorit </w:t>
            </w:r>
            <w:r>
              <w:rPr>
                <w:rFonts w:ascii="Times New Roman" w:hAnsi="Times New Roman"/>
                <w:noProof/>
                <w:sz w:val="24"/>
              </w:rPr>
              <w:br/>
            </w:r>
            <w:r>
              <w:rPr>
                <w:rFonts w:ascii="Times New Roman" w:hAnsi="Times New Roman"/>
                <w:b/>
                <w:bCs/>
                <w:noProof/>
                <w:sz w:val="18"/>
                <w:szCs w:val="18"/>
              </w:rPr>
              <w:t>(tavoitteiden osalta)</w:t>
            </w:r>
          </w:p>
        </w:tc>
        <w:tc>
          <w:tcPr>
            <w:tcW w:w="1442"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51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Kunkin välitavoitteen ja tavoitteen kuvaus</w:t>
            </w:r>
          </w:p>
        </w:tc>
      </w:tr>
      <w:tr w:rsidR="00B0093E">
        <w:trPr>
          <w:trHeight w:val="1013"/>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71"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7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58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84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59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519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240</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15 - 4.4. Rahoitusalan ja pääomamarkkinoiden lujittaminen – 16581_Pääomamarkkinoiden valvonnan ja luotettavuuden parantaminen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7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Pääomamarkkinat, valvonta, valvontaprosessien digitalisointi, pääomamarkkinaunioni</w:t>
            </w:r>
          </w:p>
        </w:tc>
        <w:tc>
          <w:tcPr>
            <w:tcW w:w="15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Lainsäädännön voimaantulo (vi</w:t>
            </w:r>
            <w:r>
              <w:rPr>
                <w:noProof/>
                <w:color w:val="006100"/>
                <w:sz w:val="18"/>
                <w:szCs w:val="18"/>
              </w:rPr>
              <w:t>ittaus viralliseen lehteen)</w:t>
            </w:r>
          </w:p>
        </w:tc>
        <w:tc>
          <w:tcPr>
            <w:tcW w:w="9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5194" w:type="dxa"/>
            <w:tcBorders>
              <w:top w:val="nil"/>
              <w:left w:val="nil"/>
              <w:bottom w:val="single" w:sz="4" w:space="0" w:color="auto"/>
              <w:right w:val="single" w:sz="4" w:space="0" w:color="auto"/>
            </w:tcBorders>
            <w:shd w:val="clear" w:color="auto" w:fill="C6EFCE"/>
            <w:noWrap/>
          </w:tcPr>
          <w:p w:rsidR="00B0093E" w:rsidRDefault="00762CA6">
            <w:pPr>
              <w:spacing w:before="120" w:after="120" w:line="240" w:lineRule="auto"/>
              <w:jc w:val="both"/>
              <w:rPr>
                <w:rFonts w:eastAsia="Times New Roman" w:cs="Calibri"/>
                <w:noProof/>
                <w:color w:val="006100"/>
                <w:sz w:val="18"/>
                <w:szCs w:val="18"/>
              </w:rPr>
            </w:pPr>
            <w:r>
              <w:rPr>
                <w:noProof/>
                <w:color w:val="006100"/>
                <w:sz w:val="18"/>
                <w:szCs w:val="18"/>
              </w:rPr>
              <w:t xml:space="preserve">Kreikan pääomamarkkinakomissiota koskeva uusi laki, jolla muutetaan sisäisiä menettelyjä ja organisaatiota, tulee voimaan. </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241</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15 - 4.4. Vahvistetaan rahoitusalaa ja pääomamarkkinoita – 16580_Velan </w:t>
            </w:r>
            <w:r>
              <w:rPr>
                <w:noProof/>
                <w:color w:val="006100"/>
                <w:sz w:val="18"/>
                <w:szCs w:val="18"/>
              </w:rPr>
              <w:t>uudelleenjärjestelyä ja toista mahdollisuutta koskevan uuden yhtenäisen maksukyvyttömyyskehyksen täytäntöönpano</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7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Valvonta, valvontaprosessien digitalisointi, pääomamarkkinaunioni, pääomamarkkinat, ennaltaehkäisevä velkojen uudelleenjärjestely</w:t>
            </w:r>
          </w:p>
        </w:tc>
        <w:tc>
          <w:tcPr>
            <w:tcW w:w="15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Raportit, joissa todistetaan edellä mainittujen järjestelmien toimintavalmius, mukaan lukien tarvittaessa linkit verkkosivustoille</w:t>
            </w:r>
          </w:p>
        </w:tc>
        <w:tc>
          <w:tcPr>
            <w:tcW w:w="9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51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cs="Calibri"/>
                <w:noProof/>
                <w:color w:val="006100"/>
                <w:sz w:val="18"/>
                <w:szCs w:val="18"/>
              </w:rPr>
            </w:pPr>
            <w:r>
              <w:rPr>
                <w:noProof/>
                <w:color w:val="006100"/>
                <w:sz w:val="18"/>
                <w:szCs w:val="18"/>
              </w:rPr>
              <w:t>Varhaisvaroituksen ja ennaltaehkäisevän velkojen uudelleenjärjestelymekanismin parantaminen, jotta yksityishenkilö</w:t>
            </w:r>
            <w:r>
              <w:rPr>
                <w:noProof/>
                <w:color w:val="006100"/>
                <w:sz w:val="18"/>
                <w:szCs w:val="18"/>
              </w:rPr>
              <w:t>t ja yritykset voivat välttää ylivelkaantumista ja puuttua velkojen selvittämiseen tuomioistuinten ulkopuolisten menettelyjen avulla.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Toimeksisaajan on parannettava valtiovarainministeriön/SecPD:n hallinnoimia ennakkovaroitusjärjestelmiä ja ennaltaehkäise</w:t>
            </w:r>
            <w:r>
              <w:rPr>
                <w:noProof/>
                <w:color w:val="006100"/>
                <w:sz w:val="18"/>
                <w:szCs w:val="18"/>
              </w:rPr>
              <w:t>viä velkojen uudelleenjärjestelyjä koskevia tietojärjestelmiä niiden toiminnan arvioinnin jälkeen.</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242</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ascii="Times New Roman" w:hAnsi="Times New Roman" w:cs="Times New Roman"/>
                <w:noProof/>
                <w:sz w:val="18"/>
                <w:szCs w:val="18"/>
              </w:rPr>
            </w:pPr>
            <w:r>
              <w:rPr>
                <w:noProof/>
                <w:color w:val="006100"/>
                <w:sz w:val="18"/>
                <w:szCs w:val="18"/>
              </w:rPr>
              <w:t xml:space="preserve">15 - 4.4. Rahoitusalan ja pääomamarkkinoiden lujittaminen – 16576_Uusi lainojen edistäminen – Luotollisten luottojen leviämisen seurantakeskuksen </w:t>
            </w:r>
            <w:r>
              <w:rPr>
                <w:noProof/>
                <w:color w:val="006100"/>
                <w:sz w:val="18"/>
                <w:szCs w:val="18"/>
              </w:rPr>
              <w:t>perustaminen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7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Pääomamarkkinat, valvonta, valvontaprosessien digitalisointi, pääomamarkkinaunioni</w:t>
            </w:r>
          </w:p>
        </w:tc>
        <w:tc>
          <w:tcPr>
            <w:tcW w:w="15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Raportit, joissa todistetaan järjestelmien toimintavalmius, mukaan lukien tarvittaessa linkit verkkosivustoille</w:t>
            </w:r>
          </w:p>
        </w:tc>
        <w:tc>
          <w:tcPr>
            <w:tcW w:w="9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51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Credit Expansion </w:t>
            </w:r>
            <w:r>
              <w:rPr>
                <w:noProof/>
                <w:color w:val="006100"/>
                <w:sz w:val="18"/>
                <w:szCs w:val="18"/>
              </w:rPr>
              <w:t>Observatory -tietojärjestelmä on saatettava valmiiksi ja otettava käyttöön. Järjestelmä muodostuu tietojenkeruujärjestelmästä, jolla seurataan luotonannon laajentamista ja parannetaan siten valtion poliittisten päätösten valmiutta.</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243</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15 - 4.4. </w:t>
            </w:r>
            <w:r>
              <w:rPr>
                <w:noProof/>
                <w:color w:val="006100"/>
                <w:sz w:val="18"/>
                <w:szCs w:val="18"/>
              </w:rPr>
              <w:t>Rahoitusalan ja pääomamarkkinoiden lujittaminen – 16581_Pääomamarkkinoiden valvonnan ja luotettavuuden parantaminen</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7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Pääomamarkkinat, valvonta, valvontaprosessien digitalisointi, pääomamarkkinaunioni</w:t>
            </w:r>
          </w:p>
        </w:tc>
        <w:tc>
          <w:tcPr>
            <w:tcW w:w="15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Pääomamarkkinaunionin </w:t>
            </w:r>
            <w:r>
              <w:rPr>
                <w:noProof/>
                <w:color w:val="006100"/>
                <w:sz w:val="18"/>
                <w:szCs w:val="18"/>
              </w:rPr>
              <w:t>tietotekniikkajärjestelmän toimintavalmius</w:t>
            </w:r>
          </w:p>
        </w:tc>
        <w:tc>
          <w:tcPr>
            <w:tcW w:w="9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94" w:type="dxa"/>
            <w:tcBorders>
              <w:top w:val="nil"/>
              <w:left w:val="nil"/>
              <w:bottom w:val="single" w:sz="4" w:space="0" w:color="auto"/>
              <w:right w:val="single" w:sz="4" w:space="0" w:color="auto"/>
            </w:tcBorders>
            <w:shd w:val="clear" w:color="auto" w:fill="C6EFCE"/>
            <w:noWrap/>
          </w:tcPr>
          <w:p w:rsidR="00B0093E" w:rsidRDefault="00762CA6">
            <w:pPr>
              <w:spacing w:before="120" w:after="0" w:line="240" w:lineRule="auto"/>
              <w:jc w:val="both"/>
              <w:rPr>
                <w:rFonts w:eastAsia="Times New Roman" w:cs="Calibri"/>
                <w:noProof/>
                <w:color w:val="006100"/>
                <w:sz w:val="18"/>
                <w:szCs w:val="18"/>
              </w:rPr>
            </w:pPr>
            <w:r>
              <w:rPr>
                <w:noProof/>
                <w:color w:val="006100"/>
                <w:sz w:val="18"/>
                <w:szCs w:val="18"/>
              </w:rPr>
              <w:t>1. Uuden organisaatiorakenteen, tiedonhallinnan ja henkilöstökoulutuksen uudelleensuunnittelun ja etenemissuunnitelman loppuun saattaminen, 2. Kehitetään ja/tai hankitaan tietoteknisiä infrastruktuureja</w:t>
            </w:r>
            <w:r>
              <w:rPr>
                <w:noProof/>
                <w:color w:val="006100"/>
                <w:sz w:val="18"/>
                <w:szCs w:val="18"/>
              </w:rPr>
              <w:t xml:space="preserve"> ja sovelluksia, jotka liittyvät pörssitietojen ja liitännäistietojen järjestelmälliseen vastaanottamiseen, tallentamiseen, hakemiseen ja hallinnointiin varoitusten ja tarkastusraporttien laatimista ja hallinnointia varten; 3. Otetaan käyttöön laaja-alaine</w:t>
            </w:r>
            <w:r>
              <w:rPr>
                <w:noProof/>
                <w:color w:val="006100"/>
                <w:sz w:val="18"/>
                <w:szCs w:val="18"/>
              </w:rPr>
              <w:t>n tietojärjestelmä ja integroidaan kaikki Kreikan pääomamarkkinakomission henkilöstön tällä hetkellä (ja tulevaisuudessa) keräämät tiedot, jotka mahdollistavat nykyisten markkinaolosuhteiden moniulotteisen analyysin, tarkastelun ja yleiskuvan, mikä mahdoll</w:t>
            </w:r>
            <w:r>
              <w:rPr>
                <w:noProof/>
                <w:color w:val="006100"/>
                <w:sz w:val="18"/>
                <w:szCs w:val="18"/>
              </w:rPr>
              <w:t>istaa menettelyjen ja toimenpiteiden hienosäätämisen</w:t>
            </w:r>
          </w:p>
        </w:tc>
      </w:tr>
      <w:tr w:rsidR="00B0093E">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244</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15 - 4.4. Vahvistetaan rahoitusalaa ja pääomamarkkinoita – 16957_rahoitusjärjestelmän valmiuksien vahvistaminen perinnöllisistä haasteista selviämiseksi ja reaalitalouden rahoittamiseksi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7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Velkojen kriisinratkaisu, järjestämättömien lainojen kriisinratkaisu, järjestämättömien lainojen myynti, rahoitusvakaus, Public Credit Bureau, vakavaraisuus,</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Järjestämättömien lainojen strategia, yksityisen velan seurantarekisteri. </w:t>
            </w:r>
          </w:p>
        </w:tc>
        <w:tc>
          <w:tcPr>
            <w:tcW w:w="15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Raportti strategian </w:t>
            </w:r>
            <w:r>
              <w:rPr>
                <w:noProof/>
                <w:color w:val="006100"/>
                <w:sz w:val="18"/>
                <w:szCs w:val="18"/>
              </w:rPr>
              <w:t>mukaisesti suunniteltujen 33 hankkeen loppuunsaattamisesta</w:t>
            </w:r>
          </w:p>
        </w:tc>
        <w:tc>
          <w:tcPr>
            <w:tcW w:w="9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5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Yksityistä velkaa koskeva kansallinen kriisinratkaisustrategia on otettu käyttöön ja se on pantu täysimääräisesti täytäntöön erityisesti perustamalla julkisten luottojen toimisto (Public</w:t>
            </w:r>
            <w:r>
              <w:rPr>
                <w:noProof/>
                <w:color w:val="006100"/>
                <w:sz w:val="18"/>
                <w:szCs w:val="18"/>
              </w:rPr>
              <w:t xml:space="preserve"> Credit Bureau) ja yksityisen velan seurantarekisteri (private debt monitoring Registry). Luottojen keskusrekisteri (edellä mainittuihin hankkeisiin läheisesti liittyvä vastapuoliriski) täydentää järjestämättömien lainojen vähentämistä, avoimuuden lisäämis</w:t>
            </w:r>
            <w:r>
              <w:rPr>
                <w:noProof/>
                <w:color w:val="006100"/>
                <w:sz w:val="18"/>
                <w:szCs w:val="18"/>
              </w:rPr>
              <w:t>tä ja sijoittajien luottamuksen palauttamista koskevaa kansallista strategiaa. Näillä toimilla pyritään estämään yksityisen velan kertyminen tulevaisuudessa ja lisäämään järjestämättömien lainojen markkinoiden vaikutusmahdollisuuksia muun muassa puuttumall</w:t>
            </w:r>
            <w:r>
              <w:rPr>
                <w:noProof/>
                <w:color w:val="006100"/>
                <w:sz w:val="18"/>
                <w:szCs w:val="18"/>
              </w:rPr>
              <w:t>a informaation epäsymmetriaan, mikä helpottaa luottopäätösten tekemistä ja lisää maksuhistorian ja annettujen vakuuksien tason avoimuutta.</w:t>
            </w:r>
          </w:p>
          <w:p w:rsidR="00B0093E" w:rsidRDefault="00762CA6">
            <w:pPr>
              <w:spacing w:after="0" w:line="240" w:lineRule="auto"/>
              <w:rPr>
                <w:rFonts w:eastAsia="Times New Roman" w:cs="Calibri"/>
                <w:noProof/>
                <w:color w:val="006100"/>
                <w:sz w:val="18"/>
                <w:szCs w:val="18"/>
              </w:rPr>
            </w:pPr>
            <w:r>
              <w:rPr>
                <w:noProof/>
                <w:color w:val="006100"/>
                <w:sz w:val="18"/>
                <w:szCs w:val="18"/>
              </w:rPr>
              <w:t>Public Credit Bureau: Vakavaraisuuden arvioinnin tietoteknisen järjestelmän kehittäminen ja sen pilottitoiminnan lopp</w:t>
            </w:r>
            <w:r>
              <w:rPr>
                <w:noProof/>
                <w:color w:val="006100"/>
                <w:sz w:val="18"/>
                <w:szCs w:val="18"/>
              </w:rPr>
              <w:t xml:space="preserve">uun saattaminen.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Yksityisen velan seurantarekisterin tietotekniikkajärjestelmän käyttöönotto.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Järjestämättömiä lainoja koskevan kansallisen strategian onnistunut loppuun saattaminen, mukaan lukien toimet, joilla helpotetaan järjestämättömiin lainoihin </w:t>
            </w:r>
            <w:r>
              <w:rPr>
                <w:noProof/>
                <w:color w:val="006100"/>
                <w:sz w:val="18"/>
                <w:szCs w:val="18"/>
              </w:rPr>
              <w:t xml:space="preserve">liittyviä transaktioita: I) Lainsäädännön laatiminen, kuuleminen ja käyttöönotto järjestämättömien lainojen siirtojen verotuksellisten esteiden poistamiseksi, ii) yhteisen tietomallin laatiminen järjestämättömiin lainoihin liittyville transaktioille, iii) </w:t>
            </w:r>
            <w:r>
              <w:rPr>
                <w:noProof/>
                <w:color w:val="006100"/>
                <w:sz w:val="18"/>
                <w:szCs w:val="18"/>
              </w:rPr>
              <w:t>yhteisen mallin laatiminen salkun seurantaa ja arviointia varten, iv) järjestämättömien lainojen salkuille tarkoitetun transaktioalustan suunnittelu, jotta myyjiä ja ostajia voidaan auttaa vaihtamaan tietoja ja tekemään tarjouksia tehokkaasti ja luottamuks</w:t>
            </w:r>
            <w:r>
              <w:rPr>
                <w:noProof/>
                <w:color w:val="006100"/>
                <w:sz w:val="18"/>
                <w:szCs w:val="18"/>
              </w:rPr>
              <w:t>ellisesti.</w:t>
            </w:r>
          </w:p>
          <w:p w:rsidR="00B0093E" w:rsidRDefault="00B0093E">
            <w:pPr>
              <w:spacing w:after="0" w:line="240" w:lineRule="auto"/>
              <w:rPr>
                <w:rFonts w:eastAsia="Times New Roman" w:cs="Calibri"/>
                <w:noProof/>
                <w:color w:val="006100"/>
                <w:sz w:val="18"/>
                <w:szCs w:val="18"/>
                <w:lang w:eastAsia="en-GB"/>
              </w:rPr>
            </w:pPr>
          </w:p>
          <w:p w:rsidR="00B0093E" w:rsidRDefault="00762CA6">
            <w:pPr>
              <w:widowControl w:val="0"/>
              <w:pBdr>
                <w:top w:val="nil"/>
                <w:left w:val="nil"/>
                <w:bottom w:val="nil"/>
                <w:right w:val="nil"/>
                <w:between w:val="nil"/>
              </w:pBdr>
              <w:spacing w:after="0" w:line="240" w:lineRule="auto"/>
              <w:rPr>
                <w:rFonts w:eastAsia="Times New Roman" w:cs="Calibri"/>
                <w:noProof/>
                <w:color w:val="006100"/>
                <w:sz w:val="18"/>
                <w:szCs w:val="18"/>
              </w:rPr>
            </w:pPr>
            <w:r>
              <w:rPr>
                <w:noProof/>
                <w:color w:val="006100"/>
                <w:sz w:val="18"/>
                <w:szCs w:val="18"/>
              </w:rPr>
              <w:t>CCR:n edellyttämän tietoteknisen infrastruktuurin perustaminen. Vastapuoliriski on kansallinen tietokanta, jota ylläpidetään Kreikan pankissa ja joka tukee siten sen velvoitteita ja tehtäviä rahoitusalan valvonnassa ja rahoitusvakauden varmista</w:t>
            </w:r>
            <w:r>
              <w:rPr>
                <w:noProof/>
                <w:color w:val="006100"/>
                <w:sz w:val="18"/>
                <w:szCs w:val="18"/>
              </w:rPr>
              <w:t>misessa. Kreikan keskuspankki toimii rekisterinpitäjänä ja varmistaa, että käytössä on tiukat turvallisuus- ja tietosuojakäytännöt, joilla suojataan lainanottajien tietoja, jotka lainanantajat toimittavat vastapuoliriskille. Valtiovarainministeriön muut yk</w:t>
            </w:r>
            <w:r>
              <w:rPr>
                <w:noProof/>
                <w:color w:val="006100"/>
                <w:sz w:val="18"/>
                <w:szCs w:val="18"/>
              </w:rPr>
              <w:t>siköt (yksityisvelan hallinnointia käsittelevä erityissihteeristö) hyötyvät myös järjestelmän mahdollisesta yhteentoimivuudesta (tarvittaessa) julkisten luottojen toimiston ja yksityisen velan seurantarekisterin kanssa. Tästä voisi olla hyötyä myös oikeusm</w:t>
            </w:r>
            <w:r>
              <w:rPr>
                <w:noProof/>
                <w:color w:val="006100"/>
                <w:sz w:val="18"/>
                <w:szCs w:val="18"/>
              </w:rPr>
              <w:t>inisteriölle (joka vastaa myös vakuusrekisteristä). Digitaalisesta hallinnosta vastaava ministeriö voisi olla keskeinen toimija CCR:n suunnittelussa ja toiminnassa.</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33"/>
          <w:headerReference w:type="default" r:id="rId234"/>
          <w:footerReference w:type="even" r:id="rId235"/>
          <w:footerReference w:type="default" r:id="rId236"/>
          <w:headerReference w:type="first" r:id="rId237"/>
          <w:footerReference w:type="first" r:id="rId238"/>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 xml:space="preserve">P. KOMPONENTTI 4.5: </w:t>
      </w:r>
      <w:r>
        <w:rPr>
          <w:rFonts w:ascii="Times New Roman" w:hAnsi="Times New Roman"/>
          <w:b/>
          <w:bCs/>
          <w:noProof/>
          <w:sz w:val="24"/>
        </w:rPr>
        <w:t>TUTKIMUKSEN JA INNOVOINNIN EDISTÄMINEN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Kreikan elpymis- ja palautumissuunnitelman tämän komponentin päätavoitteina on lisätä julkisia ja yksityisiä investointeja tutkimukseen ja kehitykseen (T&amp;K), vahvistaa tieteen ja yritysten välisiä yhteyksiä ja kehittä</w:t>
      </w:r>
      <w:r>
        <w:rPr>
          <w:rFonts w:ascii="Times New Roman" w:hAnsi="Times New Roman"/>
          <w:noProof/>
          <w:sz w:val="24"/>
        </w:rPr>
        <w:t>ä uraauurtava tutkimus- ja kehittämisinfrastruktuuri Kreikan tutkimus- ja innovointikyvyn parantamiseksi. Tämä on tarkoitus saavuttaa kohdennetuilla uudistuksilla ja investoinneilla, joilla lisätään julkisia ja yksityisiä tutkimus- ja kehitysmenoja, parann</w:t>
      </w:r>
      <w:r>
        <w:rPr>
          <w:rFonts w:ascii="Times New Roman" w:hAnsi="Times New Roman"/>
          <w:noProof/>
          <w:sz w:val="24"/>
        </w:rPr>
        <w:t>etaan maan tutkimusinfrastruktuureja, edistetään tutkimusrahoitusta, lisätään Kreikan tutkimusekosysteemin kansainvälistymistä ja kehitetään tutkimusyhteistyötä. Komponenttiin kuuluu myös pelastuspalvelua koskevan tietojärjestelmän kehittäminen. Järjestelm</w:t>
      </w:r>
      <w:r>
        <w:rPr>
          <w:rFonts w:ascii="Times New Roman" w:hAnsi="Times New Roman"/>
          <w:noProof/>
          <w:sz w:val="24"/>
        </w:rPr>
        <w:t>än avulla toimivaltaisille viranomaisille tiedotetaan reaaliajassa fyysisistä ilmiöistä ja luonnononnettomuuksista ja tuetaan niiden yhteistyötä. Tällä investoinnilla helpotetaan myös digitalisaatiota kehittämällä kehittyneitä digitaaliteknologioita ja dig</w:t>
      </w:r>
      <w:r>
        <w:rPr>
          <w:rFonts w:ascii="Times New Roman" w:hAnsi="Times New Roman"/>
          <w:noProof/>
          <w:sz w:val="24"/>
        </w:rPr>
        <w:t>italisoimalla pelastuspalvelumenetelmiä sekä edistetään vihreää siirtymää lieventämällä ilmastonmuutoksen vaikutuksia pelastuspalvelun varmistamiseksi. Komponentilla tuetaan julkisia ja yksityisiä investointeja koskevien maakohtaisten suositusten noudattam</w:t>
      </w:r>
      <w:r>
        <w:rPr>
          <w:rFonts w:ascii="Times New Roman" w:hAnsi="Times New Roman"/>
          <w:noProof/>
          <w:sz w:val="24"/>
        </w:rPr>
        <w:t>ista (maakohtainen suositus 2 2019 ja maakohtainen suositus 3 2020). Minkään tähän osa-alueeseen kuuluvan toimenpiteen ei odoteta aiheuttavan merkittävää haittaa asetuksen (EU) 2020/852 17 artiklassa tarkoitetuille ympäristötavoitteille, kun otetaan huomio</w:t>
      </w:r>
      <w:r>
        <w:rPr>
          <w:rFonts w:ascii="Times New Roman" w:hAnsi="Times New Roman"/>
          <w:noProof/>
          <w:sz w:val="24"/>
        </w:rPr>
        <w:t>on elpymis- ja palautumissuunnitelmassa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P.1 </w:t>
      </w:r>
      <w:r>
        <w:rPr>
          <w:rFonts w:ascii="Times New Roman" w:hAnsi="Times New Roman"/>
          <w:b/>
          <w:noProof/>
          <w:sz w:val="24"/>
          <w:u w:val="single"/>
        </w:rPr>
        <w:tab/>
      </w:r>
      <w:r>
        <w:rPr>
          <w:rFonts w:ascii="Times New Roman" w:hAnsi="Times New Roman"/>
          <w:b/>
          <w:bCs/>
          <w:noProof/>
          <w:sz w:val="24"/>
          <w:u w:val="single"/>
        </w:rPr>
        <w:t xml:space="preserve">Kuvaus uudistuksista ja investoinneista, joita rahoitetaan </w:t>
      </w:r>
      <w:r>
        <w:rPr>
          <w:rFonts w:ascii="Times New Roman" w:hAnsi="Times New Roman"/>
          <w:b/>
          <w:bCs/>
          <w:noProof/>
          <w:sz w:val="24"/>
          <w:u w:val="single"/>
        </w:rPr>
        <w:t>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Perustaminen – Laajennus – Tutkimus- ja innovaatiotoiminnan pääosaston (GSRI) valvomien tutkimuskeskusten infrastruktuurien parantaminen (toimenpiteen tunniste 16624)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13 tutkimuske</w:t>
      </w:r>
      <w:r>
        <w:rPr>
          <w:rFonts w:ascii="Times New Roman" w:hAnsi="Times New Roman"/>
          <w:noProof/>
          <w:sz w:val="24"/>
        </w:rPr>
        <w:t>skuksen infrastruktuurin parantamisen ja uuden tutkimuskeskuksen perustamisen Ioanninaan niiden tutkimuskapasiteetin ja -valmiuksien parantamiseksi tärkeillä tieteen ja teknologian aloilla. Investoinnit kohdistuvat erityisesti seuraaviin tutkimuskeskuksiin</w:t>
      </w:r>
      <w:r>
        <w:rPr>
          <w:rFonts w:ascii="Times New Roman" w:hAnsi="Times New Roman"/>
          <w:noProof/>
          <w:sz w:val="24"/>
        </w:rPr>
        <w:t>: Hellas tutkimus- ja teknologiakeskus; Athene tutkimus- ja innovaatiokeskus; BSRC-salaus; Hellas tutkimus- ja teknologiakeskus; Kreikan kansallinen säätiö; Ateenan biolääketieteen tutkimussäätiö Academy; Ateenan kansallinen seurantakeskus; Kreikan merentu</w:t>
      </w:r>
      <w:r>
        <w:rPr>
          <w:rFonts w:ascii="Times New Roman" w:hAnsi="Times New Roman"/>
          <w:noProof/>
          <w:sz w:val="24"/>
        </w:rPr>
        <w:t>tkimuslaitos; Kreikan Pasteur-instituutti; Kansallinen yhteiskuntatieteiden tutkimuskeskus, NOESIS – Thessalonikin tiedekeskus ja tekniikkamuseo Kreikan atomienergiakomissio; Patran teknologiakeskus; huipputeknologia- ja tutkimuspuiston perustaminen Epiruk</w:t>
      </w:r>
      <w:r>
        <w:rPr>
          <w:rFonts w:ascii="Times New Roman" w:hAnsi="Times New Roman"/>
          <w:noProof/>
          <w:sz w:val="24"/>
        </w:rPr>
        <w:t xml:space="preserve">sen alueelle.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Sen varmistamiseksi, että toimenpide on ”ei merkittävää haittaa” -periaatteen teknisten ohjeiden (2021/C58/01) mukainen, hanke-ehdotuspyyntöjä koskeviin 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i) fossiilis</w:t>
      </w:r>
      <w:r>
        <w:rPr>
          <w:rFonts w:ascii="Times New Roman" w:hAnsi="Times New Roman"/>
          <w:noProof/>
          <w:sz w:val="24"/>
        </w:rPr>
        <w:t>iin polttoaineisiin liittyvät toimet, mukaan lukien tuotantoketjun loppupään käyttö</w:t>
      </w:r>
      <w:r>
        <w:rPr>
          <w:rFonts w:ascii="Times New Roman" w:hAnsi="Times New Roman" w:cs="Times New Roman"/>
          <w:noProof/>
          <w:sz w:val="24"/>
          <w:vertAlign w:val="superscript"/>
        </w:rPr>
        <w:footnoteReference w:id="18"/>
      </w:r>
      <w:r>
        <w:rPr>
          <w:rFonts w:ascii="Times New Roman" w:hAnsi="Times New Roman"/>
          <w:noProof/>
          <w:sz w:val="24"/>
        </w:rPr>
        <w:t>; EU:n päästökauppajärjestelmän mukaiset toimet, joilla saavutetaan ennustetut kasvihuonekaasupäästöt, jotka eivät alita asiaankuuluvia vertailuarvoja</w:t>
      </w:r>
      <w:r>
        <w:rPr>
          <w:rFonts w:ascii="Times New Roman" w:hAnsi="Times New Roman" w:cs="Times New Roman"/>
          <w:noProof/>
          <w:sz w:val="24"/>
          <w:vertAlign w:val="superscript"/>
        </w:rPr>
        <w:footnoteReference w:id="19"/>
      </w:r>
      <w:r>
        <w:rPr>
          <w:rFonts w:ascii="Times New Roman" w:hAnsi="Times New Roman"/>
          <w:noProof/>
          <w:sz w:val="24"/>
        </w:rPr>
        <w:t>; iii) kaatopaikkoja,</w:t>
      </w:r>
      <w:r>
        <w:rPr>
          <w:rFonts w:ascii="Times New Roman" w:hAnsi="Times New Roman"/>
          <w:noProof/>
          <w:sz w:val="24"/>
        </w:rPr>
        <w:t xml:space="preserve"> polttolaitoksia</w:t>
      </w:r>
      <w:r>
        <w:rPr>
          <w:rFonts w:ascii="Times New Roman" w:hAnsi="Times New Roman" w:cs="Times New Roman"/>
          <w:noProof/>
          <w:sz w:val="24"/>
          <w:vertAlign w:val="superscript"/>
        </w:rPr>
        <w:footnoteReference w:id="20"/>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21"/>
      </w:r>
      <w:r>
        <w:rPr>
          <w:rFonts w:ascii="Times New Roman" w:hAnsi="Times New Roman"/>
          <w:noProof/>
          <w:sz w:val="24"/>
        </w:rPr>
        <w:t xml:space="preserve"> koskevat toimet; ja iv) toiminnot, joissa jätteiden pitkän aikavälin loppukäsittely voi aiheuttaa haittaa ympäristölle. Tehtävänkuvauksessa on lisäksi edellytettävä, että voidaan valita ainoast</w:t>
      </w:r>
      <w:r>
        <w:rPr>
          <w:rFonts w:ascii="Times New Roman" w:hAnsi="Times New Roman"/>
          <w:noProof/>
          <w:sz w:val="24"/>
        </w:rPr>
        <w:t>aan toimia, jotka ovat asiaa koskevan EU:n ja kansallisen ympäristölainsäädännön mukaisia.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Perus- ja soveltava tutkimus (toimenpidenumero 16618)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seitse</w:t>
      </w:r>
      <w:r>
        <w:rPr>
          <w:rFonts w:ascii="Times New Roman" w:hAnsi="Times New Roman"/>
          <w:noProof/>
          <w:sz w:val="24"/>
        </w:rPr>
        <w:t>mästä alahankkeesta: horisontaalisen rahoituksen tarjoaminen perustutkimusta varten; rahoitustuki tieteidenvälisten alojen lippulaivahankkeille, joilla on käytännön sovelluksia Kreikan talouteen; rahoitustuki täsmälääketieteen soveltavalle tutkimukselle, j</w:t>
      </w:r>
      <w:r>
        <w:rPr>
          <w:rFonts w:ascii="Times New Roman" w:hAnsi="Times New Roman"/>
          <w:noProof/>
          <w:sz w:val="24"/>
        </w:rPr>
        <w:t xml:space="preserve">onka toteuttaa kreikkalainen voittoa tavoittelematon täsmälääketieteeseen erikoistunut järjestö ”Hellenic Precision Medicine Network”; rahoituksen tarjoaminen miehittämättömien järjestelmien tutkimus- ja kehityskeskukselle, jolla tuetaan miehittämättömien </w:t>
      </w:r>
      <w:r>
        <w:rPr>
          <w:rFonts w:ascii="Times New Roman" w:hAnsi="Times New Roman"/>
          <w:noProof/>
          <w:sz w:val="24"/>
        </w:rPr>
        <w:t>ilma-alusten soveltavaa tutkimusta; v) tekoälyä, tietojenkäsittelyä ja algoritmien kehittämistä käsittelevän soveltavan T&amp;I-laitoksen perustaminen; taloudellinen tuki markkinoille käännettävissä olevan kestävän materiaaliteknologian toimittamiseen; taloude</w:t>
      </w:r>
      <w:r>
        <w:rPr>
          <w:rFonts w:ascii="Times New Roman" w:hAnsi="Times New Roman"/>
          <w:noProof/>
          <w:sz w:val="24"/>
        </w:rPr>
        <w:t>llinen tuki osallistumiselle eurooppalaisiin kumppanuuksiin eli suurteholaskentaan (EuroHPC) ja keskeisiin digitaaliteknologioihin. Investoinnin tavoitteena on luoda yksiköitä, jotka tukevat soveltavaa tutkimusta pitkällä aikavälillä ja edistävät ”syvän te</w:t>
      </w:r>
      <w:r>
        <w:rPr>
          <w:rFonts w:ascii="Times New Roman" w:hAnsi="Times New Roman"/>
          <w:noProof/>
          <w:sz w:val="24"/>
        </w:rPr>
        <w:t xml:space="preserve">knologian” innovaatioekosysteemiä rahoittamalla tieteidenvälisiä T&amp;K-toimia, joilla on vaikutusta teollisuuteen. Investointi on määrä toteuttaa viimeistään 31 päivänä joulukuuta 2025.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TH 2. ORAX: Trellis Holistic &amp; Hybrid Operational Ruggedi</w:t>
      </w:r>
      <w:r>
        <w:rPr>
          <w:rFonts w:ascii="Times New Roman" w:hAnsi="Times New Roman"/>
          <w:noProof/>
          <w:sz w:val="24"/>
        </w:rPr>
        <w:t>zed Autonomous eXemplary -järjestelmä (toimenpidenumero 16654)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color w:val="000000"/>
          <w:sz w:val="24"/>
        </w:rPr>
        <w:t>Investointi käsittää ”seuraavan sukupolven” tietojärjestelmän kehittämisen. Järjestelmän odotetaan yhdistelevän erilaisia yhteistyöinfrastruktuureja ja -muotoja, jotta laitosten päätöksenteko t</w:t>
      </w:r>
      <w:r>
        <w:rPr>
          <w:rFonts w:ascii="Times New Roman" w:hAnsi="Times New Roman"/>
          <w:noProof/>
          <w:color w:val="000000"/>
          <w:sz w:val="24"/>
        </w:rPr>
        <w:t xml:space="preserve">ehostuisi reaaliajassa. </w:t>
      </w:r>
      <w:r>
        <w:rPr>
          <w:rFonts w:ascii="Times New Roman" w:hAnsi="Times New Roman"/>
          <w:noProof/>
          <w:sz w:val="24"/>
        </w:rPr>
        <w:t>Järjestelmä koostuu uusimmista teknologioista, kuten tekoälystä, ja se on suunniteltava siten, että se täyttää pitkän aikavälin erilaisten loppukäyttäjien tarpeet. Sen odotetaan edistävän rajaturvallisuutta, rikollisuuden ja terrori</w:t>
      </w:r>
      <w:r>
        <w:rPr>
          <w:rFonts w:ascii="Times New Roman" w:hAnsi="Times New Roman"/>
          <w:noProof/>
          <w:sz w:val="24"/>
        </w:rPr>
        <w:t>smin torjuntaa, kyberturvallisuutta, elintärkeiden infrastruktuurien suojaamista ja selviytymiskykyä, etsintä- ja pelastustoimia sekä katastrofivalmiutta ja -palautuvuutta.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b/>
          <w:bCs/>
          <w:noProof/>
          <w:sz w:val="24"/>
        </w:rPr>
        <w:t>:</w:t>
      </w:r>
      <w:r>
        <w:rPr>
          <w:rFonts w:ascii="Times New Roman" w:hAnsi="Times New Roman"/>
          <w:noProof/>
          <w:sz w:val="24"/>
        </w:rPr>
        <w:t xml:space="preserve"> Tutkimus – Luominen – Innovointi (toimenpiteen tunniste 16971)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pyritään tukemaan 36 hanke-ehdotusta, jotka arvioidaan erittäin korkealla pistemäärällä ”huippuosaamisen” kriteeristä älykkään erikoistumisen aloilla (RIS3) mutta joita ei raho</w:t>
      </w:r>
      <w:r>
        <w:rPr>
          <w:rFonts w:ascii="Times New Roman" w:hAnsi="Times New Roman"/>
          <w:noProof/>
          <w:sz w:val="24"/>
        </w:rPr>
        <w:t>itettu Horisontti 2020 -ohjelmasta budjettirajoitusten vuoksi. Investoinnilla tuetaan valittuja ehdotuksia rahoituksella, ja sen odotetaan houkuttelevan yhteisrahoitusta yksityiseltä sektorilta vahvistamalla julkisen tiedealan ja yritysten välistä yhteyttä</w:t>
      </w:r>
      <w:r>
        <w:rPr>
          <w:rFonts w:ascii="Times New Roman" w:hAnsi="Times New Roman"/>
          <w:noProof/>
          <w:sz w:val="24"/>
        </w:rPr>
        <w:t>. Rahoitusta voidaan myöntää seuraaville aloille: ympäristö ja kestävä kehitys; energia; tieto- ja viestintätekniikka; terveys ja farmasia; kuljetus- ja toimitusketju; VI) Maatalous- ja elintarviketeollisuus; materiaalit ja rakenne; ja viii) matkailu, kult</w:t>
      </w:r>
      <w:r>
        <w:rPr>
          <w:rFonts w:ascii="Times New Roman" w:hAnsi="Times New Roman"/>
          <w:noProof/>
          <w:sz w:val="24"/>
        </w:rPr>
        <w:t>tuuri ja luovat alat.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Horisontti 2020 -puiteohjelma ”Huippuosaamismerkki”: huippuyritysten rahoittaminen (toimenpiteen tunniste 16622)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koskee 13 hanke-ehdotust</w:t>
      </w:r>
      <w:r>
        <w:rPr>
          <w:rFonts w:ascii="Times New Roman" w:hAnsi="Times New Roman"/>
          <w:noProof/>
          <w:sz w:val="24"/>
        </w:rPr>
        <w:t>a pk-yrityksiltä, jotka ovat saaneet Horisontti 2020 -laatumerkin ”huippuosaamismerkki” ja jotka voivat saada avustusta mutta joita ei budjettirajoitusten vuoksi rahoiteta Horisontti 2020 -ohjelmasta. Investoinnilla tuetaan näitä ehdotuksia ja lisätään tue</w:t>
      </w:r>
      <w:r>
        <w:rPr>
          <w:rFonts w:ascii="Times New Roman" w:hAnsi="Times New Roman"/>
          <w:noProof/>
          <w:sz w:val="24"/>
        </w:rPr>
        <w:t>nsaajien yksityistä rahoitusta. Rahoitusta voidaan myöntää seuraaville aloille: ympäristö ja kestävä kehitys; energia; tieto- ja viestintätekniikka; terveys ja farmasia; kuljetus- ja toimitusketju; VI) Maatalous- ja elintarviketeollisuus; materiaalit ja ra</w:t>
      </w:r>
      <w:r>
        <w:rPr>
          <w:rFonts w:ascii="Times New Roman" w:hAnsi="Times New Roman"/>
          <w:noProof/>
          <w:sz w:val="24"/>
        </w:rPr>
        <w:t>kenne; ja viii) matkailu, kulttuuri ja luovat alat.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Kreikan tutkimus- ja innovointiekosysteemin ulospäin suuntautuminen (toimenpiteen tunniste 16621)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Uudistukseen kuuluu erill</w:t>
      </w:r>
      <w:r>
        <w:rPr>
          <w:rFonts w:ascii="Times New Roman" w:hAnsi="Times New Roman"/>
          <w:noProof/>
          <w:sz w:val="24"/>
        </w:rPr>
        <w:t>isen organisaation ”ELEVATE Greece SA” perustaminen jatkokehittelyksi ”ELEVATE Greece” -alustalle, joka toimii tällä hetkellä tutkimuksen ja innovoinnin pääsihteeristössä. Korottaa Kreikkaa sen digitaalisen portaalin avulla, jotta kansalliset startup-yrity</w:t>
      </w:r>
      <w:r>
        <w:rPr>
          <w:rFonts w:ascii="Times New Roman" w:hAnsi="Times New Roman"/>
          <w:noProof/>
          <w:sz w:val="24"/>
        </w:rPr>
        <w:t>kset voivat rekisteröidä ja saada hallituksen akkreditoinnin startup-yrityksiksi, kunhan niillä on kaksi perusominaisuutta: i) innovointi ja ii) skaalattavuus. Uusi organisaatio tarjoaa akkreditoiduille startup-yrityksille maailmanlaajuisesti menekinedistä</w:t>
      </w:r>
      <w:r>
        <w:rPr>
          <w:rFonts w:ascii="Times New Roman" w:hAnsi="Times New Roman"/>
          <w:noProof/>
          <w:sz w:val="24"/>
        </w:rPr>
        <w:t xml:space="preserve">mispalveluja. Tavoitteena on laajentaa nämä palvelut koskemaan koko kansallista innovaatioekosysteemiä, mukaan lukien tutkimuskeskukset, innovaatioklusterit, osaamiskeskukset ja erittäin innovatiiviset yritykset. Uudistus on määrä toteuttaa viimeistään 31 </w:t>
      </w:r>
      <w:r>
        <w:rPr>
          <w:rFonts w:ascii="Times New Roman" w:hAnsi="Times New Roman"/>
          <w:noProof/>
          <w:sz w:val="24"/>
        </w:rPr>
        <w:t>päivänä joulukuuta 2025.</w:t>
      </w: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39"/>
          <w:headerReference w:type="default" r:id="rId240"/>
          <w:footerReference w:type="even" r:id="rId241"/>
          <w:footerReference w:type="default" r:id="rId242"/>
          <w:headerReference w:type="first" r:id="rId243"/>
          <w:footerReference w:type="first" r:id="rId244"/>
          <w:pgSz w:w="11907" w:h="16839"/>
          <w:pgMar w:top="1134" w:right="1417" w:bottom="1134" w:left="1417"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P.2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Ryhmä 23: Tutkimuksen ja </w:t>
      </w:r>
      <w:r>
        <w:rPr>
          <w:rFonts w:ascii="Cambria" w:hAnsi="Cambria"/>
          <w:noProof/>
          <w:color w:val="365F91"/>
          <w:sz w:val="24"/>
        </w:rPr>
        <w:t>innovoinnin edistäminen</w:t>
      </w:r>
    </w:p>
    <w:p w:rsidR="00B0093E" w:rsidRDefault="00762CA6">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Perustaminen – Laajennus – Tutkimus- ja teknologiapääsihteeristön (GSRT) valvomien tutkimuskeskusten infrastruktuurien parantaminen (tunniste: 16624)</w:t>
      </w:r>
    </w:p>
    <w:p w:rsidR="00B0093E" w:rsidRDefault="00762CA6">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Perus- ja soveltava tutkimus (tunniste: 16618)</w:t>
      </w:r>
    </w:p>
    <w:p w:rsidR="00B0093E" w:rsidRDefault="00762CA6">
      <w:pPr>
        <w:numPr>
          <w:ilvl w:val="0"/>
          <w:numId w:val="33"/>
        </w:numPr>
        <w:spacing w:before="120" w:after="0" w:line="240" w:lineRule="auto"/>
        <w:jc w:val="both"/>
        <w:rPr>
          <w:rFonts w:ascii="Times New Roman" w:hAnsi="Times New Roman" w:cs="Times New Roman"/>
          <w:noProof/>
          <w:sz w:val="24"/>
          <w:lang w:val="en-US"/>
        </w:rPr>
      </w:pPr>
      <w:r>
        <w:rPr>
          <w:rFonts w:ascii="Times New Roman" w:hAnsi="Times New Roman"/>
          <w:noProof/>
          <w:sz w:val="24"/>
          <w:lang w:val="en-US"/>
        </w:rPr>
        <w:t>TH 2. ORAX: Trellis Holistic &amp; Hybr</w:t>
      </w:r>
      <w:r>
        <w:rPr>
          <w:rFonts w:ascii="Times New Roman" w:hAnsi="Times New Roman"/>
          <w:noProof/>
          <w:sz w:val="24"/>
          <w:lang w:val="en-US"/>
        </w:rPr>
        <w:t>id Operational Ruggedized Autonomous eXemplary -järjestelmä (tunniste: 16654)</w:t>
      </w:r>
    </w:p>
    <w:p w:rsidR="00B0093E" w:rsidRDefault="00762CA6">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Tutkimus – Luominen – Innovointi (tunniste: 16971)</w:t>
      </w:r>
    </w:p>
    <w:p w:rsidR="00B0093E" w:rsidRDefault="00762CA6">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Horisontti 2020 -puiteohjelma ”Huippuosaamismerkki”: suurimpien innovatiivisten yritysten rahoittaminen (tunniste: 16622)</w:t>
      </w:r>
    </w:p>
    <w:p w:rsidR="00B0093E" w:rsidRDefault="00762CA6">
      <w:pPr>
        <w:numPr>
          <w:ilvl w:val="0"/>
          <w:numId w:val="33"/>
        </w:numPr>
        <w:spacing w:before="120" w:after="120" w:line="240" w:lineRule="auto"/>
        <w:jc w:val="both"/>
        <w:rPr>
          <w:rFonts w:ascii="Times New Roman" w:hAnsi="Times New Roman" w:cs="Times New Roman"/>
          <w:noProof/>
          <w:sz w:val="24"/>
        </w:rPr>
      </w:pPr>
      <w:r>
        <w:rPr>
          <w:rFonts w:ascii="Times New Roman" w:hAnsi="Times New Roman"/>
          <w:noProof/>
          <w:sz w:val="24"/>
        </w:rPr>
        <w:t>Kreik</w:t>
      </w:r>
      <w:r>
        <w:rPr>
          <w:rFonts w:ascii="Times New Roman" w:hAnsi="Times New Roman"/>
          <w:noProof/>
          <w:sz w:val="24"/>
        </w:rPr>
        <w:t>an tutkimus- ja innovointiekosysteemin ulospäin suuntautuminen (tunniste: 16621)</w:t>
      </w:r>
    </w:p>
    <w:tbl>
      <w:tblPr>
        <w:tblW w:w="18350" w:type="dxa"/>
        <w:tblInd w:w="113" w:type="dxa"/>
        <w:tblLayout w:type="fixed"/>
        <w:tblLook w:val="04A0" w:firstRow="1" w:lastRow="0" w:firstColumn="1" w:lastColumn="0" w:noHBand="0" w:noVBand="1"/>
      </w:tblPr>
      <w:tblGrid>
        <w:gridCol w:w="1027"/>
        <w:gridCol w:w="1681"/>
        <w:gridCol w:w="966"/>
        <w:gridCol w:w="1056"/>
        <w:gridCol w:w="1717"/>
        <w:gridCol w:w="2620"/>
        <w:gridCol w:w="919"/>
        <w:gridCol w:w="993"/>
        <w:gridCol w:w="708"/>
        <w:gridCol w:w="851"/>
        <w:gridCol w:w="709"/>
        <w:gridCol w:w="5103"/>
      </w:tblGrid>
      <w:tr w:rsidR="00B0093E">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0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620" w:type="dxa"/>
            <w:tcBorders>
              <w:top w:val="single" w:sz="4" w:space="0" w:color="auto"/>
              <w:left w:val="nil"/>
              <w:bottom w:val="single" w:sz="4" w:space="0" w:color="auto"/>
              <w:right w:val="nil"/>
            </w:tcBorders>
            <w:shd w:val="clear" w:color="auto" w:fill="BDD7EE"/>
          </w:tcPr>
          <w:p w:rsidR="00B0093E" w:rsidRDefault="00B0093E">
            <w:pPr>
              <w:spacing w:after="0" w:line="240" w:lineRule="auto"/>
              <w:jc w:val="center"/>
              <w:rPr>
                <w:rFonts w:ascii="Times New Roman" w:hAnsi="Times New Roman"/>
                <w:b/>
                <w:bCs/>
                <w:noProof/>
                <w:sz w:val="18"/>
                <w:szCs w:val="18"/>
              </w:rPr>
            </w:pPr>
          </w:p>
        </w:tc>
        <w:tc>
          <w:tcPr>
            <w:tcW w:w="2620"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Kunkin välitavoitteen ja tavoitteen kuvaus</w:t>
            </w:r>
          </w:p>
        </w:tc>
      </w:tr>
      <w:tr w:rsidR="00B0093E">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56"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2620" w:type="dxa"/>
            <w:tcBorders>
              <w:top w:val="nil"/>
              <w:left w:val="nil"/>
              <w:bottom w:val="single" w:sz="4" w:space="0" w:color="auto"/>
              <w:right w:val="nil"/>
            </w:tcBorders>
            <w:shd w:val="clear" w:color="auto" w:fill="BDD7EE"/>
          </w:tcPr>
          <w:p w:rsidR="00B0093E" w:rsidRDefault="00B0093E">
            <w:pPr>
              <w:spacing w:after="0" w:line="240" w:lineRule="auto"/>
              <w:jc w:val="center"/>
              <w:rPr>
                <w:rFonts w:ascii="Times New Roman" w:hAnsi="Times New Roman"/>
                <w:b/>
                <w:bCs/>
                <w:noProof/>
                <w:sz w:val="18"/>
                <w:szCs w:val="18"/>
              </w:rPr>
            </w:pPr>
          </w:p>
        </w:tc>
        <w:tc>
          <w:tcPr>
            <w:tcW w:w="91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993"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70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245</w:t>
            </w:r>
          </w:p>
        </w:tc>
        <w:tc>
          <w:tcPr>
            <w:tcW w:w="16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16 - 4.5. Tutkimuksen ja innovoinnin edistäminen – 16618_Perus- ja soveltava tutkimus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Perus- ja soveltavaa tutkimusta koskeva lainsäädäntö</w:t>
            </w:r>
          </w:p>
        </w:tc>
        <w:tc>
          <w:tcPr>
            <w:tcW w:w="17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Lainsäädännön voimaantulo (oikeussubjektien perustamista koskevat ensisijaiset ja </w:t>
            </w:r>
            <w:r>
              <w:rPr>
                <w:noProof/>
                <w:color w:val="006100"/>
                <w:sz w:val="18"/>
                <w:szCs w:val="18"/>
              </w:rPr>
              <w:t>johdetut säädökset)</w:t>
            </w:r>
          </w:p>
        </w:tc>
        <w:tc>
          <w:tcPr>
            <w:tcW w:w="2620" w:type="dxa"/>
            <w:tcBorders>
              <w:top w:val="nil"/>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10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Perus- ja soveltavaa tutkimusta koskevan tarkistetun oikeudellisen kehyksen voimaantulo ja oikeussubjektien perustamista koskevien toissijaisten säädösten antaminen.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Oikeudellisen kehyksen on määrä uudelleen tutkimusalueet, joilla voidaan rahoittaa ehdotuspyyntöjä päivitetyn älykkään erikoistumisen strategian (RIS3) puitteissa; perustaa uuden hallintorakenteen näiden hankkeiden hallinnoinnin ja koordinoinnin parantamis</w:t>
            </w:r>
            <w:r>
              <w:rPr>
                <w:noProof/>
                <w:color w:val="006100"/>
                <w:sz w:val="18"/>
                <w:szCs w:val="18"/>
              </w:rPr>
              <w:t xml:space="preserve">eksi; ja c) vahvistaa uusien tutkimusyksiköiden oikeudellinen asema.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Tutkimusalueet määritellään uudelleen kansallisessa tutkimus- ja innovointineuvostossa (NCRI) ja kehitysministeriön tutkimus- ja innovointipääosastossa (GSRI).</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246</w:t>
            </w:r>
          </w:p>
        </w:tc>
        <w:tc>
          <w:tcPr>
            <w:tcW w:w="16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16 - 4.5. </w:t>
            </w:r>
            <w:r>
              <w:rPr>
                <w:noProof/>
                <w:color w:val="006100"/>
                <w:sz w:val="18"/>
                <w:szCs w:val="18"/>
              </w:rPr>
              <w:t>Tutkimuksen ja innovoinnin edistäminen – 16624_Creation – Expansion – Tutkimuskeskusten infrastruktuurien parantaminen, jota valvoo tutkimuksen ja innovoinnin pääsihteeristö (GSRI)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Tutkimuskeskuksia koskeva ehdotuspyyntö</w:t>
            </w:r>
          </w:p>
        </w:tc>
        <w:tc>
          <w:tcPr>
            <w:tcW w:w="17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Julkaistu ehdotuspyyntö</w:t>
            </w:r>
            <w:r>
              <w:rPr>
                <w:noProof/>
                <w:color w:val="006100"/>
                <w:sz w:val="18"/>
                <w:szCs w:val="18"/>
              </w:rPr>
              <w:t xml:space="preserve"> ja tarjouseritelmä</w:t>
            </w:r>
          </w:p>
        </w:tc>
        <w:tc>
          <w:tcPr>
            <w:tcW w:w="2620" w:type="dxa"/>
            <w:tcBorders>
              <w:top w:val="nil"/>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10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Tutkimuskeskusten infrastruktuurien kehittämistä, laajentamista ja parantamista koskevan ehdotuspyynnön käynnistäminen, mukaan lukien tarjouspyyntöasiakirjojen julkaiseminen, jolla varmistetaan, että valitut sovellukset ovat</w:t>
            </w:r>
            <w:r>
              <w:rPr>
                <w:noProof/>
                <w:color w:val="006100"/>
                <w:sz w:val="18"/>
                <w:szCs w:val="18"/>
              </w:rPr>
              <w:t xml:space="preserve"> ”ei merkittävää haittaa” -periaatteen teknisten ohjeiden (2021/C58/01) mukaisia käyttämällä poissulkemisluetteloa ja vaatimusta asiaankuuluvan EU:n ja kansallisen ympäristölainsäädännön noudattamisesta.</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247</w:t>
            </w:r>
          </w:p>
        </w:tc>
        <w:tc>
          <w:tcPr>
            <w:tcW w:w="16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16 - 4.5. Tutkimuksen ja innovoinnin </w:t>
            </w:r>
            <w:r>
              <w:rPr>
                <w:noProof/>
                <w:color w:val="006100"/>
                <w:sz w:val="18"/>
                <w:szCs w:val="18"/>
              </w:rPr>
              <w:t>edistäminen – 16624_Creation – Expansion – Tutkimuskeskusten infrastruktuurien parantaminen, jota valvoo tutkimuksen ja innovoinnin pääsihteeristö (GSRI)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Tutkimuskeskusten hankintasopimukset</w:t>
            </w:r>
          </w:p>
        </w:tc>
        <w:tc>
          <w:tcPr>
            <w:tcW w:w="17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2620" w:type="dxa"/>
            <w:tcBorders>
              <w:top w:val="nil"/>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10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w:t>
            </w:r>
            <w:r>
              <w:rPr>
                <w:noProof/>
                <w:color w:val="006100"/>
                <w:sz w:val="18"/>
                <w:szCs w:val="18"/>
              </w:rPr>
              <w:t>hdotusten valinta ja hankintasopimusten tekeminen tutkimus- ja innovaatiopääsihteeristön (GSRI) valvomien tutkimuskeskusten infrastruktuurien parantamista koskevaa hanketta varten.</w:t>
            </w:r>
          </w:p>
        </w:tc>
      </w:tr>
      <w:tr w:rsidR="00B0093E">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248</w:t>
            </w:r>
          </w:p>
        </w:tc>
        <w:tc>
          <w:tcPr>
            <w:tcW w:w="16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16 - 4.5. Tutkimuksen ja innovoinnin edistäminen – 16654_TH 2 ORAX: </w:t>
            </w:r>
            <w:r>
              <w:rPr>
                <w:noProof/>
                <w:color w:val="006100"/>
                <w:sz w:val="18"/>
                <w:szCs w:val="18"/>
              </w:rPr>
              <w:t>Trellis Holistic &amp; Hybrid Operational Ruggedized Autonomous eXemplary -järjestelmä</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TH²ORAX:n hankintasopimukset</w:t>
            </w:r>
          </w:p>
        </w:tc>
        <w:tc>
          <w:tcPr>
            <w:tcW w:w="17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2620" w:type="dxa"/>
            <w:tcBorders>
              <w:top w:val="nil"/>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10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TH²ORAX-hanketta koskevien sopimusten tekeminen.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Kehityksestä ja innovoinnista </w:t>
            </w:r>
            <w:r>
              <w:rPr>
                <w:noProof/>
                <w:color w:val="006100"/>
                <w:sz w:val="18"/>
                <w:szCs w:val="18"/>
              </w:rPr>
              <w:t xml:space="preserve">sekä tutkimuksen ja innovoinnin pääsihteeristö (General Secretariat for Research &amp; Innovation, GSRI) vastaavat arviointiprosessin tehokkaasta täytäntöönpanosta. Sopimus tai sopimukset tehdään parhaan hinnan laatusuhteen perusteella. </w:t>
            </w:r>
          </w:p>
        </w:tc>
      </w:tr>
      <w:tr w:rsidR="00B0093E">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249</w:t>
            </w:r>
          </w:p>
        </w:tc>
        <w:tc>
          <w:tcPr>
            <w:tcW w:w="16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16 - 4.5. </w:t>
            </w:r>
            <w:r>
              <w:rPr>
                <w:noProof/>
                <w:color w:val="006100"/>
                <w:sz w:val="18"/>
                <w:szCs w:val="18"/>
              </w:rPr>
              <w:t>Tutkimuksen ja innovoinnin edistäminen – 16624_Creation – Expansion – Tutkimuskeskusten infrastruktuurien parantaminen, jota valvoo tutkimuksen ja innovoinnin pääsihteeristö (GSRI)</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Tutkimuskeskusten hankkeiden loppuun saattaminen</w:t>
            </w:r>
          </w:p>
        </w:tc>
        <w:tc>
          <w:tcPr>
            <w:tcW w:w="17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Tutkimuksen ja</w:t>
            </w:r>
            <w:r>
              <w:rPr>
                <w:noProof/>
                <w:color w:val="006100"/>
                <w:sz w:val="18"/>
                <w:szCs w:val="18"/>
              </w:rPr>
              <w:t xml:space="preserve"> innovoinnin pääsihteeristön (GSRI) raportti, jossa todistetaan, että hankkeet on saatettu päätökseen</w:t>
            </w:r>
          </w:p>
        </w:tc>
        <w:tc>
          <w:tcPr>
            <w:tcW w:w="2620" w:type="dxa"/>
            <w:tcBorders>
              <w:top w:val="single" w:sz="4" w:space="0" w:color="auto"/>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Kaikkien GSRI:n valvomien tutkimuskeskusten infrastruktuurien perustamista, laajentamista ja parantamista koskevien alahankkeiden loppuun saat</w:t>
            </w:r>
            <w:r>
              <w:rPr>
                <w:noProof/>
                <w:color w:val="006100"/>
                <w:sz w:val="18"/>
                <w:szCs w:val="18"/>
              </w:rPr>
              <w:t>taminen, mihin kuuluvat: Hellas tutkimus- ja teknologiakeskus; Athene tutkimus- ja innovaatiokeskus; BSRC-salaus; Hellas tutkimus- ja teknologiakeskus; Kreikan kansallinen säätiö; Ateenan biolääketieteen tutkimussäätiö Academy; Ateenan kansallinen seuranta</w:t>
            </w:r>
            <w:r>
              <w:rPr>
                <w:noProof/>
                <w:color w:val="006100"/>
                <w:sz w:val="18"/>
                <w:szCs w:val="18"/>
              </w:rPr>
              <w:t>keskus; Kreikan merentutkimuslaitos; Kreikan Pasteur-instituutti; Kansallinen yhteiskuntatieteiden tutkimuskeskus, NOESIS – Thessalonikin tiedekeskus ja tekniikkamuseo Kreikan atomienergiakomissio; Patran teknologiakeskus; Epiruksen alueen huipputeknologia</w:t>
            </w:r>
            <w:r>
              <w:rPr>
                <w:noProof/>
                <w:color w:val="006100"/>
                <w:sz w:val="18"/>
                <w:szCs w:val="18"/>
              </w:rPr>
              <w:t xml:space="preserve">- ja tutkimuspuisto. </w:t>
            </w:r>
          </w:p>
        </w:tc>
      </w:tr>
      <w:tr w:rsidR="00B0093E">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250</w:t>
            </w:r>
          </w:p>
        </w:tc>
        <w:tc>
          <w:tcPr>
            <w:tcW w:w="16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16 - 4.5. Tutkimuksen ja innovoinnin edistäminen – 16618_Perus- ja soveltava tutkimus</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Perus- ja soveltavan tutkimuksen hankkeiden loppuun saattaminen</w:t>
            </w:r>
          </w:p>
        </w:tc>
        <w:tc>
          <w:tcPr>
            <w:tcW w:w="17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Tutkimuksen ja innovoinnin pääsihteeristön (GSRI) raportti, jossa </w:t>
            </w:r>
            <w:r>
              <w:rPr>
                <w:noProof/>
                <w:color w:val="006100"/>
                <w:sz w:val="18"/>
                <w:szCs w:val="18"/>
              </w:rPr>
              <w:t>todistetaan, että hankkeet on saatettu päätökseen</w:t>
            </w:r>
          </w:p>
        </w:tc>
        <w:tc>
          <w:tcPr>
            <w:tcW w:w="2620" w:type="dxa"/>
            <w:tcBorders>
              <w:top w:val="single" w:sz="4" w:space="0" w:color="auto"/>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Seuraavien soveltavan tutkimuksen perustoimenpiteen alahankkeiden loppuun saattaminen: Tutkimuksen perusrahoitus; Tutkimuksen lippulaivahankkeet haastavilla tieteidenvälisillä aloilla; tekoäly</w:t>
            </w:r>
            <w:r>
              <w:rPr>
                <w:noProof/>
                <w:color w:val="006100"/>
                <w:sz w:val="18"/>
                <w:szCs w:val="18"/>
              </w:rPr>
              <w:t xml:space="preserve">ä, tietojenkäsittelyä ja algoritmien kehittämistä käsittelevän soveltavan tutkimuksen ja innovoinnin laitoksen perustaminen; markkinoille käännettävän kestävän materiaaliteknologian toimittaminen; osallistuminen suurteholaskentaa koskeviin eurooppalaisiin </w:t>
            </w:r>
            <w:r>
              <w:rPr>
                <w:noProof/>
                <w:color w:val="006100"/>
                <w:sz w:val="18"/>
                <w:szCs w:val="18"/>
              </w:rPr>
              <w:t>kumppanuuksiin (Euro-HPC) ja keskeisiin digitaaliteknologioihin; miehittämättömien ilma-alusten kehittämiseen tarkoitettu soveltava tutkimus (rahoitus miehittämättömien järjestelmien tutkimus- ja kehittämiskeskukselle); täsmälääketieteen soveltava tutkimus</w:t>
            </w:r>
            <w:r>
              <w:rPr>
                <w:noProof/>
                <w:color w:val="006100"/>
                <w:sz w:val="18"/>
                <w:szCs w:val="18"/>
              </w:rPr>
              <w:t xml:space="preserve"> kreikkalaisen voittoa tavoittelemattoman yksityisoikeudellisen järjestön (Hellenic Precision Medicine Network, ΗPMN) kautta.</w:t>
            </w:r>
          </w:p>
        </w:tc>
      </w:tr>
      <w:tr w:rsidR="00B0093E">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251</w:t>
            </w:r>
          </w:p>
        </w:tc>
        <w:tc>
          <w:tcPr>
            <w:tcW w:w="16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16 - 4.5. Tutkimuksen ja innovoinnin edistäminen – 16654_TH 2 ORAX: Trellis Holistic &amp; Hybrid Operational Ruggedized </w:t>
            </w:r>
            <w:r>
              <w:rPr>
                <w:noProof/>
                <w:color w:val="006100"/>
                <w:sz w:val="18"/>
                <w:szCs w:val="18"/>
              </w:rPr>
              <w:t>Autonomous eXemplary -järjestelmä</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TH²ORAX-hankkeen loppuun saattaminen</w:t>
            </w:r>
          </w:p>
        </w:tc>
        <w:tc>
          <w:tcPr>
            <w:tcW w:w="17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Tutkimuksen ja innovoinnin pääosaston (General Secretariat for Research &amp; Innovation, GSRI) raportti, jossa todistetaan, että hanke on saatettu päätökseen</w:t>
            </w:r>
          </w:p>
        </w:tc>
        <w:tc>
          <w:tcPr>
            <w:tcW w:w="2620" w:type="dxa"/>
            <w:tcBorders>
              <w:top w:val="single" w:sz="4" w:space="0" w:color="auto"/>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TH²ORA</w:t>
            </w:r>
            <w:r>
              <w:rPr>
                <w:noProof/>
                <w:color w:val="006100"/>
                <w:sz w:val="18"/>
                <w:szCs w:val="18"/>
              </w:rPr>
              <w:t>X-hankkeen loppuun saattaminen</w:t>
            </w:r>
          </w:p>
          <w:p w:rsidR="00B0093E" w:rsidRDefault="00762CA6">
            <w:pPr>
              <w:pBdr>
                <w:top w:val="nil"/>
                <w:left w:val="nil"/>
                <w:bottom w:val="nil"/>
                <w:right w:val="nil"/>
                <w:between w:val="nil"/>
              </w:pBdr>
              <w:spacing w:after="0" w:line="240" w:lineRule="auto"/>
              <w:rPr>
                <w:rFonts w:eastAsia="Times New Roman" w:cs="Calibri"/>
                <w:noProof/>
                <w:color w:val="006100"/>
                <w:sz w:val="18"/>
                <w:szCs w:val="18"/>
              </w:rPr>
            </w:pPr>
            <w:r>
              <w:rPr>
                <w:noProof/>
                <w:color w:val="006100"/>
                <w:sz w:val="18"/>
                <w:szCs w:val="18"/>
              </w:rPr>
              <w:t>Kehittämällä kokonaisvaltainen foorumi, joka tarjoaa tilannetietoisuutta, päätöksenteon valmiuksia parantaa kaikkien asiaankuuluvien toimivaltaisten viranomaisten koordinointia ja synkronointia reaaliaikaisesti ja ympärivuoro</w:t>
            </w:r>
            <w:r>
              <w:rPr>
                <w:noProof/>
                <w:color w:val="006100"/>
                <w:sz w:val="18"/>
                <w:szCs w:val="18"/>
              </w:rPr>
              <w:t>kautisesti koko Kreikan alueella monitieteisellä ja ministeriöiden välisellä tasolla, ja siihen liittyvän valmistumisraportin laatii GSRI.</w:t>
            </w:r>
          </w:p>
        </w:tc>
      </w:tr>
      <w:tr w:rsidR="00B0093E">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252</w:t>
            </w:r>
          </w:p>
        </w:tc>
        <w:tc>
          <w:tcPr>
            <w:tcW w:w="16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16 - 4.5. Tutkimuksen ja innovoinnin edistäminen – 16971_Tutkimus – Luominen – Innovointi</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Tutkimusta, luomista ja innovointia koskevien hankkeiden loppuun saattaminen</w:t>
            </w:r>
          </w:p>
        </w:tc>
        <w:tc>
          <w:tcPr>
            <w:tcW w:w="17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Tutkimuksen ja innovoinnin pääsihteeristön (GSRI) raportti, jossa todistetaan, että hankkeet on saatettu päätökseen</w:t>
            </w:r>
          </w:p>
        </w:tc>
        <w:tc>
          <w:tcPr>
            <w:tcW w:w="2620" w:type="dxa"/>
            <w:tcBorders>
              <w:top w:val="single" w:sz="4" w:space="0" w:color="auto"/>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Kaikkien tutkimusta, luomista ja innovointia koskev</w:t>
            </w:r>
            <w:r>
              <w:rPr>
                <w:noProof/>
                <w:color w:val="006100"/>
                <w:sz w:val="18"/>
                <w:szCs w:val="18"/>
              </w:rPr>
              <w:t>an toimenpiteen tukikelpoisten tukitoimien loppuun saattaminen seuraavissa luokissa: tutkimus ja kehitys yritysten hyväksi; yritysten ja tutkimusorganisaatioiden väliset kumppanuudet; tutkimustulosten hyödyntäminen; ja huippuosaamismerkki (Seal of Excellen</w:t>
            </w:r>
            <w:r>
              <w:rPr>
                <w:noProof/>
                <w:color w:val="006100"/>
                <w:sz w:val="18"/>
                <w:szCs w:val="18"/>
              </w:rPr>
              <w:t>ce), joka koskee huipputason ehdotuksia, joita ei kuitenkaan rahoiteta Horisontti 2020 -ehdotuspyynnöstä.</w:t>
            </w:r>
          </w:p>
        </w:tc>
      </w:tr>
      <w:tr w:rsidR="00B0093E">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253</w:t>
            </w:r>
          </w:p>
        </w:tc>
        <w:tc>
          <w:tcPr>
            <w:tcW w:w="16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16 - 4.5. Tutkimuksen ja innovoinnin edistäminen – 16621_Kreikan tutkimus- ja innovointiekosysteemin ulospäin suuntautuminen</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05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T&amp;I-ekosysteemien ulospäin suuntautumiseen tähtäävien hankkeiden loppuun saattaminen</w:t>
            </w:r>
          </w:p>
        </w:tc>
        <w:tc>
          <w:tcPr>
            <w:tcW w:w="17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Tutkimuksen ja innovoinnin pääsihteeristön (GSRI) raportti, jossa todistetaan, että hankkeet on saatettu päätökseen</w:t>
            </w:r>
          </w:p>
        </w:tc>
        <w:tc>
          <w:tcPr>
            <w:tcW w:w="2620" w:type="dxa"/>
            <w:tcBorders>
              <w:top w:val="single" w:sz="4" w:space="0" w:color="auto"/>
              <w:left w:val="nil"/>
              <w:bottom w:val="single" w:sz="4" w:space="0" w:color="auto"/>
              <w:right w:val="nil"/>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91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Tutkimuksen ja innovoinnin ekosysteemejä ko</w:t>
            </w:r>
            <w:r>
              <w:rPr>
                <w:noProof/>
                <w:color w:val="006100"/>
                <w:sz w:val="18"/>
                <w:szCs w:val="18"/>
              </w:rPr>
              <w:t>skevan toimenpiteen ulospäin suuntautumista koskevien seuraavien alahankkeiden loppuun saattaminen: kansallisen startup- ja innovointiekosysteemin edistäminen ja maailmanlaajuinen tunnetuksi tekeminen; ohjelmistojen kehittämis-, ylläpito- ja päivitysproses</w:t>
            </w:r>
            <w:r>
              <w:rPr>
                <w:noProof/>
                <w:color w:val="006100"/>
                <w:sz w:val="18"/>
                <w:szCs w:val="18"/>
              </w:rPr>
              <w:t>sin tuki.</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45"/>
          <w:headerReference w:type="default" r:id="rId246"/>
          <w:footerReference w:type="even" r:id="rId247"/>
          <w:footerReference w:type="default" r:id="rId248"/>
          <w:headerReference w:type="first" r:id="rId249"/>
          <w:footerReference w:type="first" r:id="rId250"/>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Q. KOMPONENTTI 4.6: KESKEISTEN TALOUDEN ALOJEN NYKYAIKAISTAMINEN JA NIIDEN HÄIRIÖNSIETOKYVYN PARANTAMINEN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 Kreikan elpymis- ja palautumissuunnitelman komponentti sisältää </w:t>
      </w:r>
      <w:r>
        <w:rPr>
          <w:rFonts w:ascii="Times New Roman" w:hAnsi="Times New Roman"/>
          <w:noProof/>
          <w:sz w:val="24"/>
        </w:rPr>
        <w:t>kohdennettuja uudistuksia ja investointeja Kreikan talouden keskeisten alojen eli matkailun ja kulttuurin, maatalouden, valmistusteollisuuden ja vesiviljelyn kilpailukyvyn parantamiseksi. Komponenttiin kuuluvat myös liikenneinfrastruktuuriin tehtävät inves</w:t>
      </w:r>
      <w:r>
        <w:rPr>
          <w:rFonts w:ascii="Times New Roman" w:hAnsi="Times New Roman"/>
          <w:noProof/>
          <w:sz w:val="24"/>
        </w:rPr>
        <w:t>toinnit, joilla pyritään parantamaan yhteyksiä ja liikenneturvallisuutta. Matkailua tuetaan investoimalla teemamatkailuun uusien matkailumarkkinoiden kartoittamiseksi. Lisäksi komponenttiin kuuluvat investoinnit kulttuuriin, jotta voidaan parantaa alan kil</w:t>
      </w:r>
      <w:r>
        <w:rPr>
          <w:rFonts w:ascii="Times New Roman" w:hAnsi="Times New Roman"/>
          <w:noProof/>
          <w:sz w:val="24"/>
        </w:rPr>
        <w:t>pailukykyä ja häiriönsietokykyä ja hyödyntää paremmin sen yhteyksiä matkailuun. Maatalouteen tehtävillä investoinneilla lisätään tuotantomenetelmien tehokkuutta, edistetään tuottajaorganisaatioita ja osuuskuntia ja kannustetaan suuntautumaan uudelleen tuot</w:t>
      </w:r>
      <w:r>
        <w:rPr>
          <w:rFonts w:ascii="Times New Roman" w:hAnsi="Times New Roman"/>
          <w:noProof/>
          <w:sz w:val="24"/>
        </w:rPr>
        <w:t>teisiin, joiden lisäarvo on suurempi. Komponenttiin kuuluu myös rautatiealan perusteellinen uudistaminen sen tehokkuuden lisäämiseksi sekä investoinnit nykyaikaiseen ja kilpailukykyiseen rautatieverkkoon. Näillä investoinneilla tuetaan sisämarkkinoiden moi</w:t>
      </w:r>
      <w:r>
        <w:rPr>
          <w:rFonts w:ascii="Times New Roman" w:hAnsi="Times New Roman"/>
          <w:noProof/>
          <w:sz w:val="24"/>
        </w:rPr>
        <w:t>tteetonta toimintaa ja kestävän liikennejärjestelmän kehittämistä. Komponentilla tuetaan julkisia ja yksityisiä investointeja koskevien maakohtaisten suositusten noudattamista (maakohtainen suositus 2 2019 ja maakohtainen suositus 3 2020). Minkään tähän os</w:t>
      </w:r>
      <w:r>
        <w:rPr>
          <w:rFonts w:ascii="Times New Roman" w:hAnsi="Times New Roman"/>
          <w:noProof/>
          <w:sz w:val="24"/>
        </w:rPr>
        <w:t>a-alueeseen kuuluvan toimenpiteen ei odoteta aiheuttavan merkittävää haittaa asetuksen (EU) 2020/852 17 artiklassa tarkoitetuille ympäristötavoitteille, kun otetaan huomioon elpymis- ja palautumissuunnitelmassa esitettyjen toimenpiteiden kuvaus ja lieventä</w:t>
      </w:r>
      <w:r>
        <w:rPr>
          <w:rFonts w:ascii="Times New Roman" w:hAnsi="Times New Roman"/>
          <w:noProof/>
          <w:sz w:val="24"/>
        </w:rPr>
        <w:t>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Q.1 </w:t>
      </w:r>
      <w:r>
        <w:rPr>
          <w:rFonts w:ascii="Times New Roman" w:hAnsi="Times New Roman"/>
          <w:b/>
          <w:bCs/>
          <w:noProof/>
          <w:sz w:val="24"/>
          <w:u w:val="single"/>
        </w:rPr>
        <w:tab/>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Investoinnit:</w:t>
      </w:r>
      <w:r>
        <w:rPr>
          <w:rFonts w:ascii="Times New Roman" w:hAnsi="Times New Roman"/>
          <w:noProof/>
          <w:sz w:val="24"/>
        </w:rPr>
        <w:t xml:space="preserve"> Liikenneturvallisuuden parantaminen (toimenpiteen tunniste 16631)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tieverkkojen turvallisuuden parantamisen koko maassa. Tavoitteena on vähentää liikenneonnettomuuksien määrää yli 7 000 vaarallisessa paikassa yli 2 500 kilometrin sätee</w:t>
      </w:r>
      <w:r>
        <w:rPr>
          <w:rFonts w:ascii="Times New Roman" w:hAnsi="Times New Roman"/>
          <w:noProof/>
          <w:sz w:val="24"/>
        </w:rPr>
        <w:t>llä. Minkään tähän osa-alueeseen kuuluvan toimenpiteen ei odoteta aiheuttavan merkittävää haittaa asetuksen (EU) 2020/852 17 artiklassa tarkoitetuille ympäristötavoitteille, kun otetaan huomioon elpymis- ja palautumissuunnitelmassa esitettyjen toimenpiteen</w:t>
      </w:r>
      <w:r>
        <w:rPr>
          <w:rFonts w:ascii="Times New Roman" w:hAnsi="Times New Roman"/>
          <w:noProof/>
          <w:sz w:val="24"/>
        </w:rPr>
        <w:t xml:space="preserve"> kuvaus ja lieventävät toimet ”ei merkittävää haittaa -periaatteen” teknisten ohjeiden (2021/C58/01) mukaisesti. Toimenpiteestä on tehtävä erityisesti direktiivin 2011/92/EU mukainen ympäristövaikutusten arviointi sen varmistamiseksi, että ”ei merkittävää </w:t>
      </w:r>
      <w:r>
        <w:rPr>
          <w:rFonts w:ascii="Times New Roman" w:hAnsi="Times New Roman"/>
          <w:noProof/>
          <w:sz w:val="24"/>
        </w:rPr>
        <w:t>haittaa” -periaatetta noudatetaan hankkeessa ja että sitä noudatetaan tiukasti infrastruktuurin rakennus-, käyttö- ja käytöstäpoistovaiheissa.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Keski-Kreikan valtatie E-65:</w:t>
      </w:r>
      <w:r>
        <w:rPr>
          <w:rFonts w:ascii="Times New Roman" w:hAnsi="Times New Roman"/>
          <w:noProof/>
          <w:sz w:val="24"/>
        </w:rPr>
        <w:t xml:space="preserve"> Trikala–Egnatia-osuus (toimenpidenumero 16628)</w:t>
      </w:r>
    </w:p>
    <w:p w:rsidR="00B0093E" w:rsidRDefault="00762CA6">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Investointi käsittää valtatien E65 pohjoisosan, erityisesti Trikala–Egnatia-osuuden, kokonaisuudessaan 70 kilometrin pituisen rakentamisen (päätie, huoltotiet/liitäntätiet ja lisätyöt). Moottoritie, jolla par</w:t>
      </w:r>
      <w:r>
        <w:rPr>
          <w:rFonts w:ascii="Times New Roman" w:hAnsi="Times New Roman"/>
          <w:noProof/>
          <w:sz w:val="24"/>
        </w:rPr>
        <w:t>annetaan yhteyksiä Etelä-Kreikan, Thessalian ja Länsi-Makedonian sekä Länsi-Balkanin ja muun Euroopan välillä (Igoumenitsan sataman kautta), on osa Euroopan laajuista liikenneverkkoa (TEN-T). Minkään tähän osa-alueeseen kuuluvan toimenpiteen ei odoteta aih</w:t>
      </w:r>
      <w:r>
        <w:rPr>
          <w:rFonts w:ascii="Times New Roman" w:hAnsi="Times New Roman"/>
          <w:noProof/>
          <w:sz w:val="24"/>
        </w:rPr>
        <w:t>euttavan merkittävää haittaa asetuksen (EU) 2020/852 17 artiklassa tarkoitetuille ympäristötavoitteille, kun otetaan huomioon elpymis- ja palautumissuunnitelmassa esitettyjen toimenpiteen kuvaus ja lieventävät toimet ”ei merkittävää haittaa -periaatteen” t</w:t>
      </w:r>
      <w:r>
        <w:rPr>
          <w:rFonts w:ascii="Times New Roman" w:hAnsi="Times New Roman"/>
          <w:noProof/>
          <w:sz w:val="24"/>
        </w:rPr>
        <w:t>eknisten ohjeiden (2021/C58/01) mukaisesti. Toimenpiteestä on tehtävä erityisesti direktiivin 2011/92/EU mukainen ympäristövaikutusten arviointi sen varmistamiseksi, että ”ei merkittävää haittaa” -periaatetta noudatetaan hankkeessa ja että sitä noudatetaan</w:t>
      </w:r>
      <w:r>
        <w:rPr>
          <w:rFonts w:ascii="Times New Roman" w:hAnsi="Times New Roman"/>
          <w:noProof/>
          <w:sz w:val="24"/>
        </w:rPr>
        <w:t xml:space="preserve"> tiukasti infrastruktuurin rakennus-, käyttö- ja käytöstäpoistovaiheissa. Investointi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Investoinnit:</w:t>
      </w:r>
      <w:r>
        <w:rPr>
          <w:rFonts w:ascii="Times New Roman" w:hAnsi="Times New Roman"/>
          <w:noProof/>
          <w:sz w:val="24"/>
        </w:rPr>
        <w:t xml:space="preserve"> Kreetan pohjoinen valtatie (Β.Ο.Α.Κ.) </w:t>
      </w:r>
    </w:p>
    <w:p w:rsidR="00B0093E" w:rsidRDefault="00762CA6">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Investointi koskee Kreetan pohjoisen valtatien rakentamista</w:t>
      </w:r>
      <w:r>
        <w:rPr>
          <w:rFonts w:ascii="Times New Roman" w:hAnsi="Times New Roman"/>
          <w:noProof/>
          <w:sz w:val="24"/>
        </w:rPr>
        <w:t xml:space="preserve"> (BOAK), joka yhdistää Kreetan neljä suurta kaupunkia (Chania, Rethymnon, Heraklion ja Agios Nikolaos) ja joka on osa Euroopan laajuista liikenneverkkoa (TEN-T). Investointi koostuu kolmesta alahankkeesta. Osahanke 1 käsittää Chaniasta Heraklioniin kulkeva</w:t>
      </w:r>
      <w:r>
        <w:rPr>
          <w:rFonts w:ascii="Times New Roman" w:hAnsi="Times New Roman"/>
          <w:noProof/>
          <w:sz w:val="24"/>
        </w:rPr>
        <w:t>n osan, joka on noin 163 kilometrin pituinen tiemaksullinen moottoritie, joka rakennetaan ja jota käytetään toimilupasopimuksen nojalla. Tästä toimenpiteestä rahoitetaan useita ennalta määriteltyjä töitä, kuten Chanian, Heraklionin ja Rethymnonin ohitustie</w:t>
      </w:r>
      <w:r>
        <w:rPr>
          <w:rFonts w:ascii="Times New Roman" w:hAnsi="Times New Roman"/>
          <w:noProof/>
          <w:sz w:val="24"/>
        </w:rPr>
        <w:t>t, sillat, siirtoverkot ja maanalaiset työt. Osahanke 2 käsittää noin 22,5 kilometrin pituisen Hersonissos–Neapolis-osuuden, joka rakennetaan julkisen ja yksityisen sektorin kumppanuussopimuksen mukaisesti, ja osahanke 3 käsittää Neapolis–Agios Nikolaos-os</w:t>
      </w:r>
      <w:r>
        <w:rPr>
          <w:rFonts w:ascii="Times New Roman" w:hAnsi="Times New Roman"/>
          <w:noProof/>
          <w:sz w:val="24"/>
        </w:rPr>
        <w:t>uuden, jonka pituus on noin 14 kilometriä ja joka rakennetaan julkisen rakennushankkeena. Moottoritiellä pyritään parantamaan kulkuyhteyksiä Kreetan suurimpien kaupunkien ja saaren kaikkien suurten satamien ja lentoasemien välillä, lyhentämään matkustusaik</w:t>
      </w:r>
      <w:r>
        <w:rPr>
          <w:rFonts w:ascii="Times New Roman" w:hAnsi="Times New Roman"/>
          <w:noProof/>
          <w:sz w:val="24"/>
        </w:rPr>
        <w:t>oja, parantamaan palvelu- ja liikenneturvallisuutta sekä parantamaan alueellista liikennettä sekä henkilö- että tavaraliikenteessä. Koko moottoritie otetaan käyttöön. Toimiluvan haltija kerää ja käyttää käyttöoikeussopimuksen osan tietullitulot hankkeen ra</w:t>
      </w:r>
      <w:r>
        <w:rPr>
          <w:rFonts w:ascii="Times New Roman" w:hAnsi="Times New Roman"/>
          <w:noProof/>
          <w:sz w:val="24"/>
        </w:rPr>
        <w:t>hoittamiseen, kun taas julkisen ja yksityisen sektorin kumppanuussopimuksen tietullit sekä julkisia rakennusurakoita koskeva osuus kerää ja käyttävät valtio. Minkään tähän osa-alueeseen kuuluvan toimenpiteen ei odoteta aiheuttavan merkittävää haittaa asetu</w:t>
      </w:r>
      <w:r>
        <w:rPr>
          <w:rFonts w:ascii="Times New Roman" w:hAnsi="Times New Roman"/>
          <w:noProof/>
          <w:sz w:val="24"/>
        </w:rPr>
        <w:t>ksen (EU) 2020/852 17 artiklassa tarkoitetuille ympäristötavoitteille, kun otetaan huomioon elpymis- ja palautumissuunnitelmassa esitettyjen toimenpiteen kuvaus ja lieventävät toimet ”ei merkittävää haittaa -periaatteen” teknisten ohjeiden (2021/C58/01) mu</w:t>
      </w:r>
      <w:r>
        <w:rPr>
          <w:rFonts w:ascii="Times New Roman" w:hAnsi="Times New Roman"/>
          <w:noProof/>
          <w:sz w:val="24"/>
        </w:rPr>
        <w:t>kaisesti. Toimenpiteestä on tehtävä erityisesti direktiivin 2011/92/EU mukainen ympäristövaikutusten arviointi sen varmistamiseksi, että ”ei merkittävää haittaa” -periaatetta noudatetaan hankkeessa ja että sitä noudatetaan tiukasti infrastruktuurin rakennu</w:t>
      </w:r>
      <w:r>
        <w:rPr>
          <w:rFonts w:ascii="Times New Roman" w:hAnsi="Times New Roman"/>
          <w:noProof/>
          <w:sz w:val="24"/>
        </w:rPr>
        <w:t>s-, käyttö- ja käytöstäpoistovaiheissa.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Investoinnit:</w:t>
      </w:r>
      <w:r>
        <w:rPr>
          <w:rFonts w:ascii="Times New Roman" w:hAnsi="Times New Roman"/>
          <w:noProof/>
          <w:sz w:val="24"/>
        </w:rPr>
        <w:t xml:space="preserve"> Älykäs infrastruktuuri, jossa keskitytään ympäristöön ja kulttuuriin (toimenpiteen tunniste 16960)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seuraavat d</w:t>
      </w:r>
      <w:r>
        <w:rPr>
          <w:rFonts w:ascii="Times New Roman" w:hAnsi="Times New Roman"/>
          <w:noProof/>
          <w:sz w:val="24"/>
        </w:rPr>
        <w:t>igitaaliset hankkeet ympäristö- ja kulttuurialalla: 1) perustetaan vesistöjen rajaamiseen tarkoitettu tietojärjestelmä, jolla edistetään luonnon ja biologisen monimuotoisuuden suojelua, 2) digitaalisen pankin perustaminen rakennuspaikkaa koskevia transakti</w:t>
      </w:r>
      <w:r>
        <w:rPr>
          <w:rFonts w:ascii="Times New Roman" w:hAnsi="Times New Roman"/>
          <w:noProof/>
          <w:sz w:val="24"/>
        </w:rPr>
        <w:t>oita varten, 3) yhtenäisen digitaalisen kartan laatiminen, 4) ilman epäpuhtauksien ja meren pilaantumisen mittaamiseen ja seurantaan tarkoitetun keskusjärjestelmän perustaminen ilmanlaadun parantamiseksi ja 5) vuorovaikutteisten digitaalisten palvelujen ja</w:t>
      </w:r>
      <w:r>
        <w:rPr>
          <w:rFonts w:ascii="Times New Roman" w:hAnsi="Times New Roman"/>
          <w:noProof/>
          <w:sz w:val="24"/>
        </w:rPr>
        <w:t xml:space="preserve"> digitaalisen sisällön tuottaminen sellaisten kulttuuriesineiden edistämiseksi, joihin liittyy laajennettu ja virtuaalinen todellisuus muistoja varten.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Kreikan rautatiever</w:t>
      </w:r>
      <w:r>
        <w:rPr>
          <w:rFonts w:ascii="Times New Roman" w:hAnsi="Times New Roman"/>
          <w:noProof/>
          <w:sz w:val="24"/>
        </w:rPr>
        <w:t>kon ja infrastruktuurin parannus- ja uudelleenjärjestelytoimet (toimenpiteen tunniste 16954)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toimista, joilla parannetaan Kreikan rautatieverkkojärjestelmää ja varmistetaan sen sujuva ja turvallinen toiminta, kuten nykyisen rautatieinfr</w:t>
      </w:r>
      <w:r>
        <w:rPr>
          <w:rFonts w:ascii="Times New Roman" w:hAnsi="Times New Roman"/>
          <w:noProof/>
          <w:sz w:val="24"/>
        </w:rPr>
        <w:t>astruktuurin ja ylärakenteiden, sähkömekaanisten järjestelmien, merkinantojärjestelmän, televiestinnän, sähköistämisen ja muun toiminnan parannustöitä. Investointi jakautuu kolmeen osahankkeeseen:</w:t>
      </w:r>
    </w:p>
    <w:p w:rsidR="00B0093E" w:rsidRDefault="00762CA6">
      <w:pPr>
        <w:numPr>
          <w:ilvl w:val="0"/>
          <w:numId w:val="63"/>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Yhteyspisteiden pääverkosto (Keski-Kreikka Pireus – Ateena </w:t>
      </w:r>
      <w:r>
        <w:rPr>
          <w:rFonts w:ascii="Times New Roman" w:hAnsi="Times New Roman"/>
          <w:noProof/>
          <w:sz w:val="24"/>
        </w:rPr>
        <w:t>– Thessaloniki – pohjoisrajat)</w:t>
      </w:r>
    </w:p>
    <w:p w:rsidR="00B0093E" w:rsidRDefault="00762CA6">
      <w:pPr>
        <w:numPr>
          <w:ilvl w:val="0"/>
          <w:numId w:val="63"/>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Yhteyspisteiden verkosto Makedonia–Traakia (Pohjois-Kreikka)</w:t>
      </w:r>
    </w:p>
    <w:p w:rsidR="00B0093E" w:rsidRDefault="00762CA6">
      <w:pPr>
        <w:numPr>
          <w:ilvl w:val="0"/>
          <w:numId w:val="63"/>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Yhteyspisteiden verkosto Ateenan lentoasema – Kiato (Attika ja Peloponnesos)</w:t>
      </w:r>
    </w:p>
    <w:p w:rsidR="00B0093E" w:rsidRDefault="00762CA6">
      <w:pPr>
        <w:spacing w:before="120" w:after="120" w:line="240" w:lineRule="auto"/>
        <w:jc w:val="both"/>
        <w:rPr>
          <w:rFonts w:ascii="Times New Roman" w:hAnsi="Times New Roman" w:cs="Times New Roman"/>
          <w:b/>
          <w:bCs/>
          <w:noProof/>
          <w:sz w:val="24"/>
        </w:rPr>
      </w:pPr>
      <w:r>
        <w:rPr>
          <w:rFonts w:ascii="Times New Roman" w:hAnsi="Times New Roman"/>
          <w:noProof/>
          <w:sz w:val="24"/>
        </w:rPr>
        <w:t xml:space="preserve">Kaikki osuudet, jotka saivat rahoitusta Euroopan rakenne- ja investointirahastoista ja </w:t>
      </w:r>
      <w:r>
        <w:rPr>
          <w:rFonts w:ascii="Times New Roman" w:hAnsi="Times New Roman"/>
          <w:noProof/>
          <w:sz w:val="24"/>
        </w:rPr>
        <w:t>Verkkojen Eurooppa -välineestä, eivät kuulu näiden tukitoimien soveltamisalaan. Minkään tähän osa-alueeseen kuuluvan toimenpiteen ei odoteta aiheuttavan merkittävää haittaa asetuksen (EU) 2020/852 17 artiklassa tarkoitetuille ympäristötavoitteille, kun ote</w:t>
      </w:r>
      <w:r>
        <w:rPr>
          <w:rFonts w:ascii="Times New Roman" w:hAnsi="Times New Roman"/>
          <w:noProof/>
          <w:sz w:val="24"/>
        </w:rPr>
        <w:t>taan huomioon elpymis- ja palautumissuunnitelmassa esitettyjen toimenpiteen kuvaus ja lieventävät toimet ”ei merkittävää haittaa -periaatteen” teknisten ohjeiden (2021/C58/01) mukaisesti. Toimenpiteestä on tehtävä erityisesti direktiivin 2011/92/EU mukaine</w:t>
      </w:r>
      <w:r>
        <w:rPr>
          <w:rFonts w:ascii="Times New Roman" w:hAnsi="Times New Roman"/>
          <w:noProof/>
          <w:sz w:val="24"/>
        </w:rPr>
        <w:t>n ympäristövaikutusten arviointi sen varmistamiseksi, että ”ei merkittävää haittaa” -periaatetta noudatetaan hankkeessa ja että sitä noudatetaan tiukasti infrastruktuurin rakennus-, käyttö- ja käytöstäpoistovaiheissa. Investointi on määrä toteuttaa viimeis</w:t>
      </w:r>
      <w:r>
        <w:rPr>
          <w:rFonts w:ascii="Times New Roman" w:hAnsi="Times New Roman"/>
          <w:noProof/>
          <w:sz w:val="24"/>
        </w:rPr>
        <w:t>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Länsi-Attikan esikaupunkiradan parantaminen (toimenpiteen tunniste 16892)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edellyttää Ateenan länsipuolella sijaitsevan uuden 36 kilometrin pituisen esikaupunkirataosuuden rakentamista Ano Liossiast</w:t>
      </w:r>
      <w:r>
        <w:rPr>
          <w:rFonts w:ascii="Times New Roman" w:hAnsi="Times New Roman"/>
          <w:noProof/>
          <w:sz w:val="24"/>
        </w:rPr>
        <w:t>a Megaraan. Rautateiden laajentamisen on edistettävä taloudellista, sosiaalista ja alueellista yhteenkuuluvuutta ja edistettävä yhteyksiä alueella, jolla logistiikka-alalla on merkittäviä mahdollisuuksia. Minkään tähän osa-alueeseen kuuluvan toimenpiteen e</w:t>
      </w:r>
      <w:r>
        <w:rPr>
          <w:rFonts w:ascii="Times New Roman" w:hAnsi="Times New Roman"/>
          <w:noProof/>
          <w:sz w:val="24"/>
        </w:rPr>
        <w:t>i odoteta aiheuttavan merkittävää haittaa asetuksen (EU) 2020/852 17 artiklassa tarkoitetuille ympäristötavoitteille, kun otetaan huomioon elpymis- ja palautumissuunnitelmassa esitettyjen toimenpiteen kuvaus ja lieventävät toimet ”ei merkittävää haittaa -p</w:t>
      </w:r>
      <w:r>
        <w:rPr>
          <w:rFonts w:ascii="Times New Roman" w:hAnsi="Times New Roman"/>
          <w:noProof/>
          <w:sz w:val="24"/>
        </w:rPr>
        <w:t>eriaatteen” teknisten ohjeiden (2021/C58/01) mukaisesti. Toimenpiteestä on tehtävä erityisesti direktiivin 2011/92/EU mukainen ympäristövaikutusten arviointi sen varmistamiseksi, että ”ei merkittävää haittaa” -periaatetta noudatetaan hankkeessa ja että sit</w:t>
      </w:r>
      <w:r>
        <w:rPr>
          <w:rFonts w:ascii="Times New Roman" w:hAnsi="Times New Roman"/>
          <w:noProof/>
          <w:sz w:val="24"/>
        </w:rPr>
        <w:t>ä noudatetaan tiukasti infrastruktuurin rakennus-, käyttö- ja käytöstäpoistovaiheissa.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EASAn vaatimustenmukaisuutta korjaavien toimien toteuttaminen (toimenpiteen tunniste</w:t>
      </w:r>
      <w:r>
        <w:rPr>
          <w:rFonts w:ascii="Times New Roman" w:hAnsi="Times New Roman"/>
          <w:noProof/>
          <w:sz w:val="24"/>
        </w:rPr>
        <w:t xml:space="preserve"> 16833)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Investointiin sisältyy 13 alueellisen lentoaseman parantaminen, jotta voidaan puuttua poikkeamiin ja/tai vaatimusten noudattamatta jättämiseen Euroopan lentoturvallisuusviraston (EASA) uusien sertifiointieritelmien mukaisesti, jotka muodostavat val</w:t>
      </w:r>
      <w:r>
        <w:rPr>
          <w:rFonts w:ascii="Times New Roman" w:hAnsi="Times New Roman"/>
          <w:noProof/>
          <w:sz w:val="24"/>
        </w:rPr>
        <w:t>tion sopimusvelvoitteen. Investoinnin on saatettava nämä lentoasemat täysin yhteisistä siviili-ilmailua koskevista säännöistä ja Euroopan unionin lentoturvallisuusviraston perustamisesta 4 päivänä heinäkuuta 2018 annetun Euroopan parlamentin ja neuvoston a</w:t>
      </w:r>
      <w:r>
        <w:rPr>
          <w:rFonts w:ascii="Times New Roman" w:hAnsi="Times New Roman"/>
          <w:noProof/>
          <w:sz w:val="24"/>
        </w:rPr>
        <w:t>setuksen (EU) 2018/1139 mukaisiksi. Minkään tähän osa-alueeseen kuuluvan toimenpiteen ei odoteta aiheuttavan merkittävää haittaa asetuksen (EU) 2020/852 17 artiklassa tarkoitetuille ympäristötavoitteille, kun otetaan huomioon elpymis- ja palautumissuunnite</w:t>
      </w:r>
      <w:r>
        <w:rPr>
          <w:rFonts w:ascii="Times New Roman" w:hAnsi="Times New Roman"/>
          <w:noProof/>
          <w:sz w:val="24"/>
        </w:rPr>
        <w:t>lmassa esitettyjen toimenpiteen kuvaus ja lieventävät toimet ”ei merkittävää haittaa -periaatteen” teknisten ohjeiden (2021/C58/01) mukaisesti. Toimenpiteessä edellytetään erityisesti, että rakennustyöt suorittavien talouden toimijoiden on varmistettava, e</w:t>
      </w:r>
      <w:r>
        <w:rPr>
          <w:rFonts w:ascii="Times New Roman" w:hAnsi="Times New Roman"/>
          <w:noProof/>
          <w:sz w:val="24"/>
        </w:rPr>
        <w:t>ttä vähintään 70 prosenttia (painoprosentteina) rakennustyömaalla tuotetusta vaarattomasta rakennus- ja purkujätteestä (lukuun ottamatta luokkaan 17 05 04 kuuluvaa luonnosta peräisin olevaa ainesta, joka sisältyy Euroopan jäteluetteloon, joka on perustettu</w:t>
      </w:r>
      <w:r>
        <w:rPr>
          <w:rFonts w:ascii="Times New Roman" w:hAnsi="Times New Roman"/>
          <w:noProof/>
          <w:sz w:val="24"/>
        </w:rPr>
        <w:t xml:space="preserve"> 3 päivänä toukokuuta 2000 tehdyllä päätöksellä 2000/532/EY jätteistä annetun neuvoston direktiivin 75/442/ETY 1 artiklan a alakohdan mukaisen jäteluettelon laatimisesta tehdyn komission päätöksen 94/3/EY ja vaarallisista jätteistä annetun neuvoston direkt</w:t>
      </w:r>
      <w:r>
        <w:rPr>
          <w:rFonts w:ascii="Times New Roman" w:hAnsi="Times New Roman"/>
          <w:noProof/>
          <w:sz w:val="24"/>
        </w:rPr>
        <w:t>iivin 91/689/ETY 1 artiklan 4 kohdan mukaisen vaarallisten jätteiden luettelon laatimisesta tehdyn neuvoston päätöksen 94/904/EY korvaamisesta (tiedoksiannettu numerolla K(2000) 1147)) valmistellaan uudelleenkäyttöön, kierrätykseen ja muuhun materiaalien h</w:t>
      </w:r>
      <w:r>
        <w:rPr>
          <w:rFonts w:ascii="Times New Roman" w:hAnsi="Times New Roman"/>
          <w:noProof/>
          <w:sz w:val="24"/>
        </w:rPr>
        <w:t>yödyntämiseen, mukaan lukien maantäyttötoimet, joissa käytetään jätettä korvaamaan muita materiaaleja, jätehierarkian ja EU:n rakennus- ja purkujätteen käsittely- ja kierrätysmallin mukaisesti. Investointi on määrä toteuttaa viimeistään 30 päivänä kesäkuut</w:t>
      </w:r>
      <w:r>
        <w:rPr>
          <w:rFonts w:ascii="Times New Roman" w:hAnsi="Times New Roman"/>
          <w:noProof/>
          <w:sz w:val="24"/>
        </w:rPr>
        <w: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Älykkäät sillat (toimenpiteen tunniste 16949)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varustaa sillat erityisillä kuormanmittausjärjestelmillä ja antureilla tai optisilla kuiduilla, jotka mittaavat siltojen siirtymistä reaaliaikaisesti. Nämä tiedot on tallennett</w:t>
      </w:r>
      <w:r>
        <w:rPr>
          <w:rFonts w:ascii="Times New Roman" w:hAnsi="Times New Roman"/>
          <w:noProof/>
          <w:sz w:val="24"/>
        </w:rPr>
        <w:t>ava ja käsiteltävä erityisalgoritmeilla siltojen rakenteellisen haavoittuvuuden arvioimiseksi. Tämän investoinnin tavoitteena on parantaa siltojen turvallisuustasoa ja ehkäistä onnettomuuksia, jotka johtuvat joko raskaiden ajoneuvojen läpikulusta tai ilmas</w:t>
      </w:r>
      <w:r>
        <w:rPr>
          <w:rFonts w:ascii="Times New Roman" w:hAnsi="Times New Roman"/>
          <w:noProof/>
          <w:sz w:val="24"/>
        </w:rPr>
        <w:t>tonmuutosriskeistä.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Elektroniset tietullit (toimenpidenumero 16950)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kehitetään luotettava, käyttäjäystävällinen ja kustannustehokas sähköinen tiemaksujärjes</w:t>
      </w:r>
      <w:r>
        <w:rPr>
          <w:rFonts w:ascii="Times New Roman" w:hAnsi="Times New Roman"/>
          <w:noProof/>
          <w:sz w:val="24"/>
        </w:rPr>
        <w:t xml:space="preserve">telmä Kreikassa. Sillä varmistetaan, että käytettävissä on erilaisia vaihtoehtoja automaattisille sähköisille maksuille, oikeudenmukainen ja avoin tietullien laskutusmekanismi, ajoneuvojen virtauksen parantaminen, ja luodaan perusta paremmille palveluille </w:t>
      </w:r>
      <w:r>
        <w:rPr>
          <w:rFonts w:ascii="Times New Roman" w:hAnsi="Times New Roman"/>
          <w:noProof/>
          <w:sz w:val="24"/>
        </w:rPr>
        <w:t>ja yhteentoimivuudelle muiden Euroopan maiden kanssa.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Kreikan rautatiejärjestön digitalisaatio (toimenpiteen tunniste 16959)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Kreikan rautatiejärjestön</w:t>
      </w:r>
      <w:r>
        <w:rPr>
          <w:rFonts w:ascii="Times New Roman" w:hAnsi="Times New Roman"/>
          <w:noProof/>
          <w:sz w:val="24"/>
        </w:rPr>
        <w:t xml:space="preserve"> (OSE) infrastruktuurien ja palvelujen päivittämisen julkisen ja yksityisen sektorin kumppanuuden avulla kehittämällä seuraavia järjestelmiä ja palveluja: a) lipunhallinta- ja telematiikkajärjestelmät, b) älykkäiden asemien infrastruktuuri, c) asiakaskokem</w:t>
      </w:r>
      <w:r>
        <w:rPr>
          <w:rFonts w:ascii="Times New Roman" w:hAnsi="Times New Roman"/>
          <w:noProof/>
          <w:sz w:val="24"/>
        </w:rPr>
        <w:t>uspalvelut, d) nopea internet junissa ja asemilla ja e) ajoneuvon telemaattinen järjestelmä.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Infrastruktuuri- ja liikenneministeriön teknisten töiden ja rakenneresurssien hall</w:t>
      </w:r>
      <w:r>
        <w:rPr>
          <w:rFonts w:ascii="Times New Roman" w:hAnsi="Times New Roman"/>
          <w:noProof/>
          <w:sz w:val="24"/>
        </w:rPr>
        <w:t>innointiin tarkoitettu integroitu digitaalinen ohjelmahallintajärjestelmä (toimenpiteen tunniste 16937)</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otetaan käyttöön viimeisin salkunhoidon tietojärjestelmä, jonka tarkoituksena on tarjota infrastruktuuri- ja liikenneministeriölle väline,</w:t>
      </w:r>
      <w:r>
        <w:rPr>
          <w:rFonts w:ascii="Times New Roman" w:hAnsi="Times New Roman"/>
          <w:noProof/>
          <w:sz w:val="24"/>
        </w:rPr>
        <w:t xml:space="preserve"> jonka avulla se voi seurata, hallinnoida ja hallinnoida teknisten töiden ja omaisuuserien salkkua. Järjestelmän on annettava täsmällistä reaaliaikaista tietoa suoritteista, kustannuksista ja aikataulusta tehtyjen töiden koko elinkaaren ajan. Investointi o</w:t>
      </w:r>
      <w:r>
        <w:rPr>
          <w:rFonts w:ascii="Times New Roman" w:hAnsi="Times New Roman"/>
          <w:noProof/>
          <w:sz w:val="24"/>
        </w:rPr>
        <w:t>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Infrastruktuuri- ja liikenneministeriön menettelyjen yksinkertaistaminen (toimenpiteen tunniste 16786)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Uudistukseen sisältyy infrastruktuuri- ja liikenneministeriön tarjoamien palvelujen d</w:t>
      </w:r>
      <w:r>
        <w:rPr>
          <w:rFonts w:ascii="Times New Roman" w:hAnsi="Times New Roman"/>
          <w:noProof/>
          <w:sz w:val="24"/>
        </w:rPr>
        <w:t>igitalisointi hallinnollisen rasituksen keventämisen ja julkisen sektorin prosessien yksinkertaistamisen yhteydessä. Siihen kuuluvat a) ajokorttien myöntäminen, korvaaminen ja uusiminen, b) ajoneuvojen siirtämiseen liittyvät menettelyt, c) liikennerekister</w:t>
      </w:r>
      <w:r>
        <w:rPr>
          <w:rFonts w:ascii="Times New Roman" w:hAnsi="Times New Roman"/>
          <w:noProof/>
          <w:sz w:val="24"/>
        </w:rPr>
        <w:t>itodistusten ja rekisterikilpien myöntäminen ja d) ajokorttitutkinnot.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Kulttuurialan työvoimauudistus (toimenpiteen tunniste 16715)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otetaan käyttöön kulttuurialan j</w:t>
      </w:r>
      <w:r>
        <w:rPr>
          <w:rFonts w:ascii="Times New Roman" w:hAnsi="Times New Roman"/>
          <w:noProof/>
          <w:sz w:val="24"/>
        </w:rPr>
        <w:t>a luovien toimialojen työ- ja sosiaaliturvalainsäädäntö, jotta voidaan lisätä ilmoitetun työn osuutta alalla, tukea alan ammattilaisia ja suojella heidän teollis- ja tekijänoikeuksiaan. Uudistuksen tavoitteena on parantaa kulttuurialan ja luovien toimialoj</w:t>
      </w:r>
      <w:r>
        <w:rPr>
          <w:rFonts w:ascii="Times New Roman" w:hAnsi="Times New Roman"/>
          <w:noProof/>
          <w:sz w:val="24"/>
        </w:rPr>
        <w:t>en häiriönsietokykyä. Uudistus on määrä toteuttaa viimeistään 30 päivänä syyskuuta 2022.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Viljely kasvun edistäjänä (metrinen tunniste 16293)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Investoinnin yleisenä tavoitteena on edistää kulttuurin vaikutusta älykkääseen ja kestävään kasvuun s</w:t>
      </w:r>
      <w:r>
        <w:rPr>
          <w:rFonts w:ascii="Times New Roman" w:hAnsi="Times New Roman"/>
          <w:noProof/>
          <w:sz w:val="24"/>
        </w:rPr>
        <w:t>ekä taloudelliseen, sosiaaliseen ja alueelliseen yhteenkuuluvuuteen. Se koostuu kuudesta alahankkeesta:</w:t>
      </w:r>
    </w:p>
    <w:p w:rsidR="00B0093E" w:rsidRDefault="00762CA6">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tuetaan kulttuurialan ja luovien alojen alueellisia strategioita, tuetaan paikallisia käsityöekosysteemejä, luodaan kulttuurikeskeistä alueellista kasvu</w:t>
      </w:r>
      <w:r>
        <w:rPr>
          <w:rFonts w:ascii="Times New Roman" w:hAnsi="Times New Roman"/>
          <w:noProof/>
          <w:sz w:val="24"/>
        </w:rPr>
        <w:t>ekosysteemiä, korostetaan kulttuurialan ja luovien alojen välistä toiminnallista ja orgaanista lisäarvoa, luodaan työpaikkoja, otetaan käyttöön kestäviä rahoitustoimia, kehitetään ”kokemustaloutta” jne. Tuki sisältää kulttuuripaikkojen, palvelujen ja kokem</w:t>
      </w:r>
      <w:r>
        <w:rPr>
          <w:rFonts w:ascii="Times New Roman" w:hAnsi="Times New Roman"/>
          <w:noProof/>
          <w:sz w:val="24"/>
        </w:rPr>
        <w:t>usten kehittämisen, työvoiman ammattitaidon parantamisen, paikallisten kulttuurireittien kehittämisen, luovuuden ja innovoinnin edistämisen, energiatehokkaiden peruskorjausten rahoituksen ja julkisen infrastruktuurin jne.</w:t>
      </w:r>
    </w:p>
    <w:p w:rsidR="00B0093E" w:rsidRDefault="00762CA6">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arkeologisten kohteiden ja </w:t>
      </w:r>
      <w:r>
        <w:rPr>
          <w:rFonts w:ascii="Times New Roman" w:hAnsi="Times New Roman"/>
          <w:noProof/>
          <w:sz w:val="24"/>
        </w:rPr>
        <w:t>muistomerkkien käytön laajentaminen tapahtumapaikkoina ja tapahtumapaikkoina,</w:t>
      </w:r>
    </w:p>
    <w:p w:rsidR="00B0093E" w:rsidRDefault="00762CA6">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tuetaan kulttuuriteollisuuden ja luovan teollisuuden digitalisaatiota ja kulttuurituotannon ja -jakelun digitaalisten mallien kehittämistä,</w:t>
      </w:r>
    </w:p>
    <w:p w:rsidR="00B0093E" w:rsidRDefault="00762CA6">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elokuvateollisuuden edistäminen kasvun</w:t>
      </w:r>
      <w:r>
        <w:rPr>
          <w:rFonts w:ascii="Times New Roman" w:hAnsi="Times New Roman"/>
          <w:noProof/>
          <w:sz w:val="24"/>
        </w:rPr>
        <w:t xml:space="preserve"> ja luovuuden edistäjänä, ja</w:t>
      </w:r>
    </w:p>
    <w:p w:rsidR="00B0093E" w:rsidRDefault="00762CA6">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Kreikan kulttuurimerkin ja kaupan edistäminen.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Minkään tähän osa-alueeseen kuuluvan toimenpiteen ei odoteta aiheuttavan merkittävää haittaa asetuksen (EU) 2020/852 17 artiklassa tarkoitetuille ympäristötavoitteille, kun otetaa</w:t>
      </w:r>
      <w:r>
        <w:rPr>
          <w:rFonts w:ascii="Times New Roman" w:hAnsi="Times New Roman"/>
          <w:noProof/>
          <w:sz w:val="24"/>
        </w:rPr>
        <w:t>n huomioon elpymis- ja palautumissuunnitelmassa esitettyjen toimenpiteen kuvaus ja lieventävät toimet ”ei merkittävää haittaa -periaatteen” teknisten ohjeiden (2021/C58/01) mukaisesti. Liittymäteiden rakentamiseen liittyvästä alahankkeesta on tehtävä erity</w:t>
      </w:r>
      <w:r>
        <w:rPr>
          <w:rFonts w:ascii="Times New Roman" w:hAnsi="Times New Roman"/>
          <w:noProof/>
          <w:sz w:val="24"/>
        </w:rPr>
        <w:t>isesti direktiivin 2011/92/EU mukainen ympäristövaikutusten arviointi sen varmistamiseksi, että ”ei merkittävää haittaa” -periaatetta noudatetaan hankkeessa ja että sitä noudatetaan tiukasti infrastruktuurin rakennus-, käyttö- ja käytöstäpoistovaiheissa. I</w:t>
      </w:r>
      <w:r>
        <w:rPr>
          <w:rFonts w:ascii="Times New Roman" w:hAnsi="Times New Roman"/>
          <w:noProof/>
          <w:sz w:val="24"/>
        </w:rPr>
        <w:t>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Vedenalaisten antiikkiesineiden museo (toimenpiteen tunniste 16486)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Investoinnilla palautetaan energiatehokkaalla peruskorjauksella Pireuksen symbolinen teollisuusrakennus </w:t>
      </w:r>
      <w:r>
        <w:rPr>
          <w:rFonts w:ascii="Times New Roman" w:hAnsi="Times New Roman"/>
          <w:noProof/>
          <w:sz w:val="24"/>
        </w:rPr>
        <w:t>ja avataan se uudelleen vedenalaisten antiikkien museoksi. Investoinnin tavoitteena on luoda lisäarvoa kulttuurin ja matkailun näkökulmasta Pireuksen satamakaupungeille ja laajemmalle Ateenan alueelle. Minkään tähän osa-alueeseen kuuluvan toimenpiteen ei o</w:t>
      </w:r>
      <w:r>
        <w:rPr>
          <w:rFonts w:ascii="Times New Roman" w:hAnsi="Times New Roman"/>
          <w:noProof/>
          <w:sz w:val="24"/>
        </w:rPr>
        <w:t>doteta aiheuttavan merkittävää haittaa asetuksen (EU) 2020/852 17 artiklassa tarkoitetuille ympäristötavoitteille, kun otetaan huomioon elpymis- ja palautumissuunnitelmassa esitettyjen toimenpiteen kuvaus ja lieventävät toimet ”ei merkittävää haittaa -peri</w:t>
      </w:r>
      <w:r>
        <w:rPr>
          <w:rFonts w:ascii="Times New Roman" w:hAnsi="Times New Roman"/>
          <w:noProof/>
          <w:sz w:val="24"/>
        </w:rPr>
        <w:t>aatteen” teknisten ohjeiden (2021/C58/01) mukaisesti. Toimenpiteessä edellytetään erityisesti, että rakennustyöt suorittavien talouden toimijoiden on varmistettava, että vähintään 70 prosenttia (painoprosentteina) rakennustyömaalla tuotetusta vaarattomasta</w:t>
      </w:r>
      <w:r>
        <w:rPr>
          <w:rFonts w:ascii="Times New Roman" w:hAnsi="Times New Roman"/>
          <w:noProof/>
          <w:sz w:val="24"/>
        </w:rPr>
        <w:t xml:space="preserve"> rakennus- ja purkujätteestä (lukuun ottamatta luokkaan 17 05 04 kuuluvaa luonnosta peräisin olevaa ainesta, joka sisältyy Euroopan jäteluetteloon, joka on perustettu 3 päivänä toukokuuta 2000 tehdyllä päätöksellä 2000/532/EY jätteistä annetun neuvoston di</w:t>
      </w:r>
      <w:r>
        <w:rPr>
          <w:rFonts w:ascii="Times New Roman" w:hAnsi="Times New Roman"/>
          <w:noProof/>
          <w:sz w:val="24"/>
        </w:rPr>
        <w:t>rektiivin 75/442/ETY 1 artiklan a alakohdan mukaisen jäteluettelon laatimisesta tehdyn komission päätöksen 94/3/EY ja vaarallisista jätteistä annetun neuvoston direktiivin 91/689/ETY 1 artiklan 4 kohdan mukaisen vaarallisten jätteiden luettelon laatimisest</w:t>
      </w:r>
      <w:r>
        <w:rPr>
          <w:rFonts w:ascii="Times New Roman" w:hAnsi="Times New Roman"/>
          <w:noProof/>
          <w:sz w:val="24"/>
        </w:rPr>
        <w:t>a tehdyn neuvoston päätöksen 94/904/EY korvaamisesta (tiedoksiannettu numerolla K(2000) 1147)) valmistellaan uudelleenkäyttöön, kierrätykseen ja muuhun materiaalien hyödyntämiseen, mukaan lukien maantäyttötoimet, joissa käytetään jätettä korvaamaan muita m</w:t>
      </w:r>
      <w:r>
        <w:rPr>
          <w:rFonts w:ascii="Times New Roman" w:hAnsi="Times New Roman"/>
          <w:noProof/>
          <w:sz w:val="24"/>
        </w:rPr>
        <w:t>ateriaaleja, jätehierarkian ja EU:n rakennus- ja purkujätteen käsittely- ja kierrätysmallin mukaisesti.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”Lääkemääräystä koskevien artikkeleiden” käyttö, sosiaalisen yhteen</w:t>
      </w:r>
      <w:r>
        <w:rPr>
          <w:rFonts w:ascii="Times New Roman" w:hAnsi="Times New Roman"/>
          <w:noProof/>
          <w:sz w:val="24"/>
        </w:rPr>
        <w:t>kuuluvuuden edistäminen ja hopeatalouden hyödyntäminen (toimenpiteen tunniste 16735)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pyritään houkuttelemaan vähintään 65-vuotiaita vierailijoita sekä vammaisia vierailijoita kulttuuripaikkoihin, kuten museoihin, teattereihin, festivaaleihin</w:t>
      </w:r>
      <w:r>
        <w:rPr>
          <w:rFonts w:ascii="Times New Roman" w:hAnsi="Times New Roman"/>
          <w:noProof/>
          <w:sz w:val="24"/>
        </w:rPr>
        <w:t>, arkeologisiin kohteisiin ja muistomerkkeihin, parantamalla fyysistä pääsyä näihin tiloihin ja kehittämällä opastettuja kierroksia, joissa on kuulo- ja näköapuvälineitä. Investoinnin on oltava täysin jo käynnissä olevan Kreikan vammaisstrategian mukainen.</w:t>
      </w:r>
      <w:r>
        <w:rPr>
          <w:rFonts w:ascii="Times New Roman" w:hAnsi="Times New Roman"/>
          <w:noProof/>
          <w:sz w:val="24"/>
        </w:rPr>
        <w:t xml:space="preserve"> Lisäksi investoinnilla edistetään Maailman terveysjärjestön kuvaamia taidemääräystä hyödyntäviä taideohjelmia, joissa taidetta ja kulttuuria käytetään erottamattomana osana lääketieteellistä tukea erityisesti mielenterveyden alalla. Investointi on määrä t</w:t>
      </w:r>
      <w:r>
        <w:rPr>
          <w:rFonts w:ascii="Times New Roman" w:hAnsi="Times New Roman"/>
          <w:noProof/>
          <w:sz w:val="24"/>
        </w:rPr>
        <w: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Infrastruktuurin parantaminen, laitteiden uudistaminen ja HOCRED Storesin tarjoamien palvelujen laadun parantaminen – entiset ARF Stores (paikalla ja sähköisesti) (toimenpiteen tunniste 16536)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kattaa energiatehokkuustoimenpiteet, peruskorjaukset, kauppojen ja työpajojen rakentamisen sekä laitteiston fyysiseen ja verkkokauppaan sekä Kreikan kulttuuriresurssien kehittämisjärjestön (HOCRED) tarjoamien palvelujen laadun parantamisen. Jär</w:t>
      </w:r>
      <w:r>
        <w:rPr>
          <w:rFonts w:ascii="Times New Roman" w:hAnsi="Times New Roman"/>
          <w:noProof/>
          <w:sz w:val="24"/>
        </w:rPr>
        <w:t>jestelmä kerää tuloja Kreikan arkeologisilta kohteilta, historiallisilta kohteilta, muistomerkeiltä ja arkeologisilta museoilta ja hallinnoi näitä resursseja Kreikan kulttuuriperinnön tukemiseksi. Minkään tähän osa-alueeseen kuuluvan toimenpiteen ei odotet</w:t>
      </w:r>
      <w:r>
        <w:rPr>
          <w:rFonts w:ascii="Times New Roman" w:hAnsi="Times New Roman"/>
          <w:noProof/>
          <w:sz w:val="24"/>
        </w:rPr>
        <w:t>a aiheuttavan merkittävää haittaa asetuksen (EU) 2020/852 17 artiklassa tarkoitetuille ympäristötavoitteille, kun otetaan huomioon elpymis- ja palautumissuunnitelmassa esitettyjen toimenpiteen kuvaus ja lieventävät toimet ”ei merkittävää haittaa -periaatte</w:t>
      </w:r>
      <w:r>
        <w:rPr>
          <w:rFonts w:ascii="Times New Roman" w:hAnsi="Times New Roman"/>
          <w:noProof/>
          <w:sz w:val="24"/>
        </w:rPr>
        <w:t>en” teknisten ohjeiden (2021/C58/01) mukaisesti. Toimenpiteessä edellytetään erityisesti, että rakennustyöt suorittavien talouden toimijoiden on varmistettava, että vähintään 70 prosenttia (painoprosentteina) rakennustyömaalla tuotetusta vaarattomasta rake</w:t>
      </w:r>
      <w:r>
        <w:rPr>
          <w:rFonts w:ascii="Times New Roman" w:hAnsi="Times New Roman"/>
          <w:noProof/>
          <w:sz w:val="24"/>
        </w:rPr>
        <w:t>nnus- ja purkujätteestä (lukuun ottamatta luokkaan 17 05 04 kuuluvaa luonnosta peräisin olevaa ainesta, joka sisältyy Euroopan jäteluetteloon, joka on perustettu 3 päivänä toukokuuta 2000 tehdyllä päätöksellä 2000/532/EY jätteistä annetun neuvoston direkti</w:t>
      </w:r>
      <w:r>
        <w:rPr>
          <w:rFonts w:ascii="Times New Roman" w:hAnsi="Times New Roman"/>
          <w:noProof/>
          <w:sz w:val="24"/>
        </w:rPr>
        <w:t>ivin 75/442/ETY 1 artiklan a alakohdan mukaisen jäteluettelon laatimisesta tehdyn komission päätöksen 94/3/EY ja vaarallisista jätteistä annetun neuvoston direktiivin 91/689/ETY 1 artiklan 4 kohdan mukaisen vaarallisten jätteiden luettelon laatimisesta teh</w:t>
      </w:r>
      <w:r>
        <w:rPr>
          <w:rFonts w:ascii="Times New Roman" w:hAnsi="Times New Roman"/>
          <w:noProof/>
          <w:sz w:val="24"/>
        </w:rPr>
        <w:t>dyn neuvoston päätöksen 94/904/EY korvaamisesta (tiedoksiannettu numerolla K(2000) 1147)) valmistellaan uudelleenkäyttöön, kierrätykseen ja muuhun materiaalien hyödyntämiseen, mukaan lukien maantäyttötoimet, joissa käytetään jätettä korvaamaan muita materi</w:t>
      </w:r>
      <w:r>
        <w:rPr>
          <w:rFonts w:ascii="Times New Roman" w:hAnsi="Times New Roman"/>
          <w:noProof/>
          <w:sz w:val="24"/>
        </w:rPr>
        <w:t>aaleja, jätehierarkian ja EU:n rakennus- ja purkujätteen käsittely- ja kierrätysmallin mukaisesti.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Luonnon ja kulttuurin moottoritiet (toimenpiteen tunniste 16970)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w:t>
      </w:r>
      <w:r>
        <w:rPr>
          <w:rFonts w:ascii="Times New Roman" w:hAnsi="Times New Roman"/>
          <w:noProof/>
          <w:sz w:val="24"/>
        </w:rPr>
        <w:t>inti koostuu noin 30 merkittävän kulttuuriperinnön ja/tai luonnonkauniiden kohteiden saavutettavuuden parantamisesta parantamalla kohteiden yhteysyhteyksiä lähimpään moottoritieverkkoon ja parantamalla maisemaa ja virkistysalueita porttien edessä, kehittäm</w:t>
      </w:r>
      <w:r>
        <w:rPr>
          <w:rFonts w:ascii="Times New Roman" w:hAnsi="Times New Roman"/>
          <w:noProof/>
          <w:sz w:val="24"/>
        </w:rPr>
        <w:t>ällä digitaalista infrastruktuuria, joka tarjoaa kulttuuriperintöä ja luontokohteita koskevaa tietoa ja palveluja, sekä koulutus- ja valmiuksien kehittämistoimia pk-yrityksille alueilla, joilla hanketta kehitetään. Näitä tukitoimia täydennetään kehittämäll</w:t>
      </w:r>
      <w:r>
        <w:rPr>
          <w:rFonts w:ascii="Times New Roman" w:hAnsi="Times New Roman"/>
          <w:noProof/>
          <w:sz w:val="24"/>
        </w:rPr>
        <w:t>ä digitaaliset palvelut, b) sähköisen kaupankäynnin palvelut ja c) paikallisten tavaroiden ja palvelujen tarjoajien sertifiointi. Minkään tähän osa-alueeseen kuuluvan toimenpiteen ei odoteta aiheuttavan merkittävää haittaa asetuksen (EU) 2020/852 17 artikl</w:t>
      </w:r>
      <w:r>
        <w:rPr>
          <w:rFonts w:ascii="Times New Roman" w:hAnsi="Times New Roman"/>
          <w:noProof/>
          <w:sz w:val="24"/>
        </w:rPr>
        <w:t>assa tarkoitetuille ympäristötavoitteille, kun otetaan huomioon elpymis- ja palautumissuunnitelmassa esitettyjen toimenpiteen kuvaus ja lieventävät toimet ”ei merkittävää haittaa -periaatteen” teknisten ohjeiden (2021/C58/01) mukaisesti. Toimenpiteessä ede</w:t>
      </w:r>
      <w:r>
        <w:rPr>
          <w:rFonts w:ascii="Times New Roman" w:hAnsi="Times New Roman"/>
          <w:noProof/>
          <w:sz w:val="24"/>
        </w:rPr>
        <w:t>llytetään erityisesti, että rakennustyöt suorittavien talouden toimijoiden on varmistettava, että vähintään 70 prosenttia (painoprosentteina) rakennustyömaalla tuotetusta vaarattomasta rakennus- ja purkujätteestä (lukuun ottamatta luokkaan 17 05 04 kuuluva</w:t>
      </w:r>
      <w:r>
        <w:rPr>
          <w:rFonts w:ascii="Times New Roman" w:hAnsi="Times New Roman"/>
          <w:noProof/>
          <w:sz w:val="24"/>
        </w:rPr>
        <w:t>a luonnosta peräisin olevaa ainesta, joka sisältyy Euroopan jäteluetteloon, joka on perustettu 3 päivänä toukokuuta 2000 tehdyllä päätöksellä 2000/532/EY jätteistä annetun neuvoston direktiivin 75/442/ETY 1 artiklan a alakohdan mukaisen jäteluettelon laati</w:t>
      </w:r>
      <w:r>
        <w:rPr>
          <w:rFonts w:ascii="Times New Roman" w:hAnsi="Times New Roman"/>
          <w:noProof/>
          <w:sz w:val="24"/>
        </w:rPr>
        <w:t>misesta tehdyn komission päätöksen 94/3/EY ja vaarallisista jätteistä annetun neuvoston direktiivin 91/689/ETY 1 artiklan 4 kohdan mukaisen vaarallisten jätteiden luettelon laatimisesta tehdyn neuvoston päätöksen 94/904/EY korvaamisesta (tiedoksiannettu nu</w:t>
      </w:r>
      <w:r>
        <w:rPr>
          <w:rFonts w:ascii="Times New Roman" w:hAnsi="Times New Roman"/>
          <w:noProof/>
          <w:sz w:val="24"/>
        </w:rPr>
        <w:t>merolla K(2000) 1147)) valmistellaan uudelleenkäyttöön, kierrätykseen ja muuhun materiaalien hyödyntämiseen, mukaan lukien maantäyttötoimet, joissa käytetään jätettä korvaamaan muita materiaaleja, jätehierarkian ja EU:n rakennus- ja purkujätteen käsittely-</w:t>
      </w:r>
      <w:r>
        <w:rPr>
          <w:rFonts w:ascii="Times New Roman" w:hAnsi="Times New Roman"/>
          <w:noProof/>
          <w:sz w:val="24"/>
        </w:rPr>
        <w:t xml:space="preserve"> ja kierrätysmallin mukaisesti.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Kulttuurimuistomerkkien ja arkeologisten kohteiden suojelu ilmastonmuutokselta (toimenpiteen tunniste 16433)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ilmastonm</w:t>
      </w:r>
      <w:r>
        <w:rPr>
          <w:rFonts w:ascii="Times New Roman" w:hAnsi="Times New Roman"/>
          <w:noProof/>
          <w:sz w:val="24"/>
        </w:rPr>
        <w:t>uutokseen sopeutumista koskevien suunnitelmien laatimisen kulttuuriperintökohteita varten. Tavoitteena on suojella Kreikan kulttuuriperintöä, parantaa sen kykyä sietää ilmastonmuutosta ja siten säilyttää kulttuuriperintökohteiden osuus taloudellisessa toim</w:t>
      </w:r>
      <w:r>
        <w:rPr>
          <w:rFonts w:ascii="Times New Roman" w:hAnsi="Times New Roman"/>
          <w:noProof/>
          <w:sz w:val="24"/>
        </w:rPr>
        <w:t>innassa. Investointiin on sisällyttävä alueellisten ja ajallisten ilmastoriskien arviointi ja kulttuuriperintökohteisiin kohdistuvien haavoittuvuuksien tunnistaminen.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Kork</w:t>
      </w:r>
      <w:r>
        <w:rPr>
          <w:rFonts w:ascii="Times New Roman" w:hAnsi="Times New Roman"/>
          <w:noProof/>
          <w:sz w:val="24"/>
        </w:rPr>
        <w:t>ea-asteen taidekoulutuksen parantaminen (toimenpiteen tunniste 16725)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parantaa korkea-asteen taidekoulutusta Kreikassa poistamalla oikeudellisia, akateemisia, institutionaalisia ja muita esteitä. Siihen on liitettävä kaikkien opetussuunnitelmie</w:t>
      </w:r>
      <w:r>
        <w:rPr>
          <w:rFonts w:ascii="Times New Roman" w:hAnsi="Times New Roman"/>
          <w:noProof/>
          <w:sz w:val="24"/>
        </w:rPr>
        <w:t>n tarkistaminen ja päivittäminen, jotta myös ulkomaalaiset opiskelijat voivat houkutella kreikkalaisiin taidekasvatuksiin. Lisäksi investointien odotetaan tukevan taidekasvatuksen kouluja parantamalla niiden fyysistä ja teknistä infrastruktuuria ja tukemal</w:t>
      </w:r>
      <w:r>
        <w:rPr>
          <w:rFonts w:ascii="Times New Roman" w:hAnsi="Times New Roman"/>
          <w:noProof/>
          <w:sz w:val="24"/>
        </w:rPr>
        <w:t>la niiden siirtymistä nykyaikaiseen digitaaliseen infrastruktuuriin. Lisäksi se tarkastelee uudelleen toimintamalliaan, jotta voidaan parantaa opintoja ja varmistaa kunnallisten yksiköiden tarjoaman taidekasvatuksen laatu.</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seuraavista o</w:t>
      </w:r>
      <w:r>
        <w:rPr>
          <w:rFonts w:ascii="Times New Roman" w:hAnsi="Times New Roman"/>
          <w:noProof/>
          <w:sz w:val="24"/>
        </w:rPr>
        <w:t>sista:</w:t>
      </w:r>
    </w:p>
    <w:p w:rsidR="00B0093E" w:rsidRDefault="00762CA6">
      <w:pPr>
        <w:numPr>
          <w:ilvl w:val="0"/>
          <w:numId w:val="64"/>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opetussuunnitelmien päivittäminen eurooppalaisen alakohtaisen tutkintojen viitekehyksen puitteissa myös ulkomaisten opiskelijoiden houkuttelemiseksi kreikkalaisiin taidekasvatuksiin,</w:t>
      </w:r>
    </w:p>
    <w:p w:rsidR="00B0093E" w:rsidRDefault="00762CA6">
      <w:pPr>
        <w:numPr>
          <w:ilvl w:val="0"/>
          <w:numId w:val="64"/>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kansallisen audiovisuaalialan koulun perustaminen ja</w:t>
      </w:r>
    </w:p>
    <w:p w:rsidR="00B0093E" w:rsidRDefault="00762CA6">
      <w:pPr>
        <w:numPr>
          <w:ilvl w:val="0"/>
          <w:numId w:val="64"/>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tärkeimpien v</w:t>
      </w:r>
      <w:r>
        <w:rPr>
          <w:rFonts w:ascii="Times New Roman" w:hAnsi="Times New Roman"/>
          <w:noProof/>
          <w:sz w:val="24"/>
        </w:rPr>
        <w:t>altiotieteellisten oppilaitosten fyysisten ja digitaalisten infrastruktuurien parantaminen.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varmistetaan myös taidekasvatuksen vastaavuus Kreikassa muiden EU-maiden tarjoamien korkeakoulututkintojen kanssa.  Investointi on määrä toteuttaa vi</w:t>
      </w:r>
      <w:r>
        <w:rPr>
          <w:rFonts w:ascii="Times New Roman" w:hAnsi="Times New Roman"/>
          <w:noProof/>
          <w:sz w:val="24"/>
        </w:rPr>
        <w:t>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Kulttuurireitit tunnusomaisissa arkeologisissa paikoissa ja muistomerkeissä (toimenpidenumero 16485)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Tässä investoinnissa suunnitellaan viisi symbolista kulttuurireittiä, joissa on temaattinen narratiivi,</w:t>
      </w:r>
      <w:r>
        <w:rPr>
          <w:rFonts w:ascii="Times New Roman" w:hAnsi="Times New Roman"/>
          <w:noProof/>
          <w:sz w:val="24"/>
        </w:rPr>
        <w:t xml:space="preserve"> joka kattaa Kreikan historian kaikki vaiheet. Reittien odotetaan jakautuvan maantieteellisesti koko maahan. Investointi käsittää myös valikoitujen muistomerkkien säilyttämisen ja restauroinnin, palvelujen ja infrastruktuurin päivittämisen, vuorovaikutteis</w:t>
      </w:r>
      <w:r>
        <w:rPr>
          <w:rFonts w:ascii="Times New Roman" w:hAnsi="Times New Roman"/>
          <w:noProof/>
          <w:sz w:val="24"/>
        </w:rPr>
        <w:t>ten digitaalisten sovellusten kehittämisen sekä taiteiden ja kulttuuritapahtumien sisällyttämisen. Reitteihin sisältyvien muistomerkkien ja kohteiden on luotava synergioita matkailukohteiden kanssa ja siten edistettävä kestävää kasvua sekä taloudellista, s</w:t>
      </w:r>
      <w:r>
        <w:rPr>
          <w:rFonts w:ascii="Times New Roman" w:hAnsi="Times New Roman"/>
          <w:noProof/>
          <w:sz w:val="24"/>
        </w:rPr>
        <w:t>osiaalista ja alueellista yhteenkuuluvuutta.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Ennallistaminen – suojelu – Akropoliin muistomerkkien kunnon parantaminen (toimenpiteen tunniste 16435)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kattaa Ate</w:t>
      </w:r>
      <w:r>
        <w:rPr>
          <w:rFonts w:ascii="Times New Roman" w:hAnsi="Times New Roman"/>
          <w:noProof/>
          <w:sz w:val="24"/>
        </w:rPr>
        <w:t>enan muistomerkkien suojelemisen ilmastonmuutokselta, Parthenonin ja muurien kunnostustyöt, kaikkien Akropoliin muistomerkkien tiettyjen osien suojelun, kivimassojen vahvistamisen ja vakauttamisen sekä vierailijoiden saavutettavuuden parantamisen. Investoi</w:t>
      </w:r>
      <w:r>
        <w:rPr>
          <w:rFonts w:ascii="Times New Roman" w:hAnsi="Times New Roman"/>
          <w:noProof/>
          <w:sz w:val="24"/>
        </w:rPr>
        <w:t>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Investoinnit: </w:t>
      </w:r>
      <w:r>
        <w:rPr>
          <w:rFonts w:ascii="Times New Roman" w:hAnsi="Times New Roman"/>
          <w:noProof/>
          <w:sz w:val="24"/>
        </w:rPr>
        <w:t>Kulttuurialan ja luovien alojen ammattilaisten taitojen kehittäminen (toimenpiteen tunniste 16723)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Tällä investoinnilla kehitetään koulutusohjelmia, joilla lisätään kulttuurialan </w:t>
      </w:r>
      <w:r>
        <w:rPr>
          <w:rFonts w:ascii="Times New Roman" w:hAnsi="Times New Roman"/>
          <w:noProof/>
          <w:sz w:val="24"/>
        </w:rPr>
        <w:t xml:space="preserve">ja luovien toimialojen organisaatioiden valmiuksia ja selviytymiskykyä ja parannetaan näillä aloilla toimivien ammattilaisten taitoja, myös alan digitalisaation valossa. Koulutusohjelmien on oltava Kreikan kansallisen osaamisstrategian mukaisia, ja niissä </w:t>
      </w:r>
      <w:r>
        <w:rPr>
          <w:rFonts w:ascii="Times New Roman" w:hAnsi="Times New Roman"/>
          <w:noProof/>
          <w:sz w:val="24"/>
        </w:rPr>
        <w:t xml:space="preserve">on käsiteltävä yrityshallintoa, varainhoitoa, henkilöstöhallintoa, markkinointia, digitaalisia taitoja, teollis- ja tekijänoikeuksien suojelua ja muita aiheita, jotka on suunnattu nimenomaan tälle kohdeyleisölle. Investointi on määrä toteuttaa viimeistään </w:t>
      </w:r>
      <w:r>
        <w:rPr>
          <w:rFonts w:ascii="Times New Roman" w:hAnsi="Times New Roman"/>
          <w:noProof/>
          <w:sz w:val="24"/>
        </w:rPr>
        <w:t>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Matkailun kehittäminen (toimenpiteen tunniste 16931)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Tämän investoinnin tavoitteena on pidentää Kreikan matkailukautta kesäkuukausien jälkeen ja edistää vaihtoehtoisia matkailumuotoja, jotka edistävät talouden </w:t>
      </w:r>
      <w:r>
        <w:rPr>
          <w:rFonts w:ascii="Times New Roman" w:hAnsi="Times New Roman"/>
          <w:noProof/>
          <w:sz w:val="24"/>
        </w:rPr>
        <w:t>häiriönsietokykyä, kestävää kasvua sekä sosiaalista ja alueellista yhteenkuuluvuutta. Investointi koostuu kahdesta osasta:</w:t>
      </w:r>
    </w:p>
    <w:p w:rsidR="00B0093E" w:rsidRDefault="00762CA6">
      <w:pPr>
        <w:numPr>
          <w:ilvl w:val="0"/>
          <w:numId w:val="65"/>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Vihreä kehitys: vuoristomatkailun kehittäminen, joka kattaa julkisen infrastruktuurin energiatehokkaat peruskorjaukset ja uusien uusi</w:t>
      </w:r>
      <w:r>
        <w:rPr>
          <w:rFonts w:ascii="Times New Roman" w:hAnsi="Times New Roman"/>
          <w:noProof/>
          <w:sz w:val="24"/>
        </w:rPr>
        <w:t>utuvien energialähteiden kapasiteetin käyttöönoton, terveys- ja hyvinvointimatkailun, maatalousmatkailun ja gastronomian.</w:t>
      </w:r>
    </w:p>
    <w:p w:rsidR="00B0093E" w:rsidRDefault="00762CA6">
      <w:pPr>
        <w:numPr>
          <w:ilvl w:val="0"/>
          <w:numId w:val="65"/>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Sininen kehitys: matkailusatamien infrastruktuurin parantaminen olemassa olevien rakennusten ja infrastruktuurirakennusten energiateho</w:t>
      </w:r>
      <w:r>
        <w:rPr>
          <w:rFonts w:ascii="Times New Roman" w:hAnsi="Times New Roman"/>
          <w:noProof/>
          <w:sz w:val="24"/>
        </w:rPr>
        <w:t>kkuutta parantavilla toimenpiteillä, toimenpiteillä, joilla parannetaan huvivenesatamien hallintoa, infrastruktuuria ja palveluja, rantojen esteettömyyttä ikääntyneille ja vammaisille henkilöille sekä sukellus- ja vedenalaisen matkailun kehittämistä.</w:t>
      </w:r>
    </w:p>
    <w:p w:rsidR="00B0093E" w:rsidRDefault="00762CA6">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Sen v</w:t>
      </w:r>
      <w:r>
        <w:rPr>
          <w:rFonts w:ascii="Times New Roman" w:hAnsi="Times New Roman"/>
          <w:noProof/>
          <w:sz w:val="24"/>
        </w:rPr>
        <w:t>armistamiseksi, että toimenpide on ”ei merkittävää haittaa” -periaatteen teknisten ohjeiden (2021/C58/01) mukainen, hanke-ehdotuspyyntöjä koskeviin 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 xml:space="preserve">i) fossiilisiin polttoaineisiin </w:t>
      </w:r>
      <w:r>
        <w:rPr>
          <w:rFonts w:ascii="Times New Roman" w:hAnsi="Times New Roman"/>
          <w:noProof/>
          <w:sz w:val="24"/>
        </w:rPr>
        <w:t>liittyvät toimet, mukaan lukien tuotantoketjun loppupään käyttö</w:t>
      </w:r>
      <w:r>
        <w:rPr>
          <w:rFonts w:ascii="Times New Roman" w:hAnsi="Times New Roman" w:cs="Times New Roman"/>
          <w:noProof/>
          <w:sz w:val="24"/>
          <w:vertAlign w:val="superscript"/>
        </w:rPr>
        <w:footnoteReference w:id="22"/>
      </w:r>
      <w:r>
        <w:rPr>
          <w:rFonts w:ascii="Times New Roman" w:hAnsi="Times New Roman"/>
          <w:noProof/>
          <w:sz w:val="24"/>
        </w:rPr>
        <w:t>; EU:n päästökauppajärjestelmän mukaiset toimet, joilla saavutetaan ennustetut kasvihuonekaasupäästöt, jotka eivät alita asiaankuuluvia vertailuarvoja</w:t>
      </w:r>
      <w:r>
        <w:rPr>
          <w:rFonts w:ascii="Times New Roman" w:hAnsi="Times New Roman" w:cs="Times New Roman"/>
          <w:noProof/>
          <w:sz w:val="24"/>
          <w:vertAlign w:val="superscript"/>
        </w:rPr>
        <w:footnoteReference w:id="23"/>
      </w:r>
      <w:r>
        <w:rPr>
          <w:rFonts w:ascii="Times New Roman" w:hAnsi="Times New Roman"/>
          <w:noProof/>
          <w:sz w:val="24"/>
        </w:rPr>
        <w:t>; iii) kaatopaikkoja, polttolaitoksia</w:t>
      </w:r>
      <w:r>
        <w:rPr>
          <w:rFonts w:ascii="Times New Roman" w:hAnsi="Times New Roman" w:cs="Times New Roman"/>
          <w:noProof/>
          <w:sz w:val="24"/>
          <w:vertAlign w:val="superscript"/>
        </w:rPr>
        <w:footnoteReference w:id="24"/>
      </w:r>
      <w:r>
        <w:rPr>
          <w:rFonts w:ascii="Times New Roman" w:hAnsi="Times New Roman"/>
          <w:noProof/>
          <w:sz w:val="24"/>
        </w:rPr>
        <w:t xml:space="preserve"> ja</w:t>
      </w:r>
      <w:r>
        <w:rPr>
          <w:rFonts w:ascii="Times New Roman" w:hAnsi="Times New Roman"/>
          <w:noProof/>
          <w:sz w:val="24"/>
        </w:rPr>
        <w:t xml:space="preserve"> mekaanisia biologisia käsittelylaitoksia</w:t>
      </w:r>
      <w:r>
        <w:rPr>
          <w:rFonts w:ascii="Times New Roman" w:hAnsi="Times New Roman" w:cs="Times New Roman"/>
          <w:noProof/>
          <w:sz w:val="24"/>
          <w:vertAlign w:val="superscript"/>
        </w:rPr>
        <w:footnoteReference w:id="25"/>
      </w:r>
      <w:r>
        <w:rPr>
          <w:rFonts w:ascii="Times New Roman" w:hAnsi="Times New Roman"/>
          <w:noProof/>
          <w:sz w:val="24"/>
        </w:rPr>
        <w:t xml:space="preserve"> koskevat toimet; ja iv) toiminnot, joissa jätteiden pitkän aikavälin loppukäsittely voi aiheuttaa haittaa ympäristölle. Tehtävänkuvauksessa on lisäksi edellytettävä, että voidaan valita ainoastaan toimia, jotka ov</w:t>
      </w:r>
      <w:r>
        <w:rPr>
          <w:rFonts w:ascii="Times New Roman" w:hAnsi="Times New Roman"/>
          <w:noProof/>
          <w:sz w:val="24"/>
        </w:rPr>
        <w:t>at asiaa koskevan EU:n ja kansallisen ympäristölainsäädännön mukaisia.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Matkailualan uudelleen- ja täydennyskoulutus (toimenpiteen tunniste 16921)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Investointiin sisältyy ka</w:t>
      </w:r>
      <w:r>
        <w:rPr>
          <w:rFonts w:ascii="Times New Roman" w:hAnsi="Times New Roman"/>
          <w:noProof/>
          <w:sz w:val="24"/>
        </w:rPr>
        <w:t>usityöntekijöiden, pitkäaikaistyöttömien sekä matkailualan työntekijöiden, joiden työsopimus on keskeytetty pandemian aikana, täydennys- ja uudelleenkoulutus. Uudelleenkoulutusohjelmien on katettava useita erikoistumisaloja ja vastattava alan tuleviin tarp</w:t>
      </w:r>
      <w:r>
        <w:rPr>
          <w:rFonts w:ascii="Times New Roman" w:hAnsi="Times New Roman"/>
          <w:noProof/>
          <w:sz w:val="24"/>
        </w:rPr>
        <w:t>eisiin covid-19-pandemian jälkeisellä kaudella. Investointi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Uudet teollisuusalueet (toimenpiteen tunniste 16634)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rahoitustuen myöntämisen a) uusien seuraavan sukup</w:t>
      </w:r>
      <w:r>
        <w:rPr>
          <w:rFonts w:ascii="Times New Roman" w:hAnsi="Times New Roman"/>
          <w:noProof/>
          <w:sz w:val="24"/>
        </w:rPr>
        <w:t>olven teollisuusalueiden perustamiseen, b) olemassa olevien teollisuusalueiden laajentamiseen, jotta voidaan lisätä niiden valmiutta siirtyä 5G- ja ultranopean kaistanleveyden verkkoinfrastruktuuriin ja uusiutuvien energialähteiden käyttöön, älykkääseen en</w:t>
      </w:r>
      <w:r>
        <w:rPr>
          <w:rFonts w:ascii="Times New Roman" w:hAnsi="Times New Roman"/>
          <w:noProof/>
          <w:sz w:val="24"/>
        </w:rPr>
        <w:t>ergianhallintaan ja -säästöön sekä kiertotalouden infrastruktuuriin ja c) teollisuuden voimakkaasti keskittyneiden alueiden muuttamiseen vihreiksi ja digitalisoituneiksi teollisuusalueiksi. Toimenpiteeseen sisältyy myös teollisuusalueita koskevan sääntelyk</w:t>
      </w:r>
      <w:r>
        <w:rPr>
          <w:rFonts w:ascii="Times New Roman" w:hAnsi="Times New Roman"/>
          <w:noProof/>
          <w:sz w:val="24"/>
        </w:rPr>
        <w:t>ehyksen uudistus, johon sisältyy oikeudellisen epävarmuuden korjaaminen, hallintoon liittyvien kysymysten ratkaiseminen ja tehokkaiden kannustimien tarjoaminen epävirallisten teollisuuskeskittymien purkamiseksi. Investointi on määrä toteuttaa viimeistään 3</w:t>
      </w:r>
      <w:r>
        <w:rPr>
          <w:rFonts w:ascii="Times New Roman" w:hAnsi="Times New Roman"/>
          <w:noProof/>
          <w:sz w:val="24"/>
        </w:rPr>
        <w:t>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Rahoitustukeen sisältyvät investoinnit a) uuden sukupolven alueiden perustamiseen (myös maan hankintaan), joilla on erityiset energiatehokkuuskriteerit uusien rakennusten rakentamiselle ja energiatehokkuushankkeille ja esittelyha</w:t>
      </w:r>
      <w:r>
        <w:rPr>
          <w:rFonts w:ascii="Times New Roman" w:hAnsi="Times New Roman"/>
          <w:noProof/>
          <w:sz w:val="24"/>
        </w:rPr>
        <w:t>nkkeille suurissa yrityksissä, b) infrastruktuuri älykkäiden teollisuusalueiden digitalisoimiseksi ja luomiseksi, c) aurinkoenergia, d) vesihuolto ja vesivarojen suojelu (investoinneilla on oltava keskimääräinen infrastruktuurin päästöindeksi (ILI) &lt;= 1,5)</w:t>
      </w:r>
      <w:r>
        <w:rPr>
          <w:rFonts w:ascii="Times New Roman" w:hAnsi="Times New Roman"/>
          <w:noProof/>
          <w:sz w:val="24"/>
        </w:rPr>
        <w:t xml:space="preserve"> sähkökäyttöisiä energiankeräysjärjestelmiä ja sähkökäyttöisiä energiankäsittelyjärjestelmiä koskevat infrastruktuurit, e) energiatehokkuuskriteerien mukaiset yhdyskuntajätevesien keräys- ja käsittelyjärjestelmät, f) sähköinen liikkuvuus (tankkausverkostoj</w:t>
      </w:r>
      <w:r>
        <w:rPr>
          <w:rFonts w:ascii="Times New Roman" w:hAnsi="Times New Roman"/>
          <w:noProof/>
          <w:sz w:val="24"/>
        </w:rPr>
        <w:t>en kehittäminen sähkö- tai vetyajoneuvoja varten tai liikenteessä käytettävän biometaanin tankkauspisteiden kehittäminen), g) hankkeet teollisuusalueiden ja pilaantuneiden alueiden ennallistamiseksi. Uuden rakennuksen rakentamisen on täytettävä primääriene</w:t>
      </w:r>
      <w:r>
        <w:rPr>
          <w:rFonts w:ascii="Times New Roman" w:hAnsi="Times New Roman"/>
          <w:noProof/>
          <w:sz w:val="24"/>
        </w:rPr>
        <w:t>rgiantarve, joka on vähintään 20 prosenttia pienempi kuin lähes nollaenergiarakennuksia koskeva vaatimus (lähes nollaenergiarakennus, kansalliset direktiivit). Kun kyseessä on jätevesijärjestelmien rakentaminen kokonaisuudessaan, toimenpiteellä on oltava n</w:t>
      </w:r>
      <w:r>
        <w:rPr>
          <w:rFonts w:ascii="Times New Roman" w:hAnsi="Times New Roman"/>
          <w:noProof/>
          <w:sz w:val="24"/>
        </w:rPr>
        <w:t>ollanettoenergiakäyttö, ja jos kyseessä on koko jätevesijärjestelmän uusiminen, sen on johdettava keskimääräisen energiankulutuksen vähenemiseen vähintään 10 prosentilla (ainoastaan energiatehokkuustoimenpiteillä eikä materiaalimuutoksilla tai kuormituksen</w:t>
      </w:r>
      <w:r>
        <w:rPr>
          <w:rFonts w:ascii="Times New Roman" w:hAnsi="Times New Roman"/>
          <w:noProof/>
          <w:sz w:val="24"/>
        </w:rPr>
        <w:t xml:space="preserve"> muutoksilla). Sähköiseen liikkuvuuteen tehtävien investointien on oltava direktiivin (EU) 2018/2001 mukaisia, ja niiden on liityttävä liikenteen vaihtoehtoisiin polttoaineisiin.</w:t>
      </w:r>
    </w:p>
    <w:p w:rsidR="00B0093E" w:rsidRDefault="00762CA6">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Sen varmistamiseksi, että toimenpide on ”ei merkittävää haittaa” -periaatteen</w:t>
      </w:r>
      <w:r>
        <w:rPr>
          <w:rFonts w:ascii="Times New Roman" w:hAnsi="Times New Roman"/>
          <w:noProof/>
          <w:sz w:val="24"/>
        </w:rPr>
        <w:t xml:space="preserve"> teknisten ohjeiden (2021/C58/01) mukainen, hanke-ehdotuspyyntöjä koskeviin 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i) fossiilisiin polttoaineisiin liittyvät toimet, mukaan lukien tuotantoketjun loppupään käyttö</w:t>
      </w:r>
      <w:r>
        <w:rPr>
          <w:rFonts w:ascii="Times New Roman" w:hAnsi="Times New Roman" w:cs="Times New Roman"/>
          <w:noProof/>
          <w:sz w:val="24"/>
          <w:vertAlign w:val="superscript"/>
        </w:rPr>
        <w:footnoteReference w:id="26"/>
      </w:r>
      <w:r>
        <w:rPr>
          <w:rFonts w:ascii="Times New Roman" w:hAnsi="Times New Roman"/>
          <w:noProof/>
          <w:sz w:val="24"/>
        </w:rPr>
        <w:t>; EU:n p</w:t>
      </w:r>
      <w:r>
        <w:rPr>
          <w:rFonts w:ascii="Times New Roman" w:hAnsi="Times New Roman"/>
          <w:noProof/>
          <w:sz w:val="24"/>
        </w:rPr>
        <w:t>äästökauppajärjestelmän mukaiset toimet, joilla saavutetaan ennustetut kasvihuonekaasupäästöt, jotka eivät alita asiaankuuluvia vertailuarvoja</w:t>
      </w:r>
      <w:r>
        <w:rPr>
          <w:rFonts w:ascii="Times New Roman" w:hAnsi="Times New Roman" w:cs="Times New Roman"/>
          <w:noProof/>
          <w:sz w:val="24"/>
          <w:vertAlign w:val="superscript"/>
        </w:rPr>
        <w:footnoteReference w:id="27"/>
      </w:r>
      <w:r>
        <w:rPr>
          <w:rFonts w:ascii="Times New Roman" w:hAnsi="Times New Roman"/>
          <w:noProof/>
          <w:sz w:val="24"/>
        </w:rPr>
        <w:t>; iii) kaatopaikkoja, polttolaitoksia</w:t>
      </w:r>
      <w:r>
        <w:rPr>
          <w:rFonts w:ascii="Times New Roman" w:hAnsi="Times New Roman" w:cs="Times New Roman"/>
          <w:noProof/>
          <w:sz w:val="24"/>
          <w:vertAlign w:val="superscript"/>
        </w:rPr>
        <w:footnoteReference w:id="28"/>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29"/>
      </w:r>
      <w:r>
        <w:rPr>
          <w:rFonts w:ascii="Times New Roman" w:hAnsi="Times New Roman"/>
          <w:noProof/>
          <w:sz w:val="24"/>
        </w:rPr>
        <w:t xml:space="preserve"> koskevat toimet; ja iv) toimi</w:t>
      </w:r>
      <w:r>
        <w:rPr>
          <w:rFonts w:ascii="Times New Roman" w:hAnsi="Times New Roman"/>
          <w:noProof/>
          <w:sz w:val="24"/>
        </w:rPr>
        <w:t>nnot, joissa jätteiden pitkän aikavälin loppukäsittely voi aiheuttaa haittaa ympäristölle. Tehtävänkuvauksessa on lisäksi edellytettävä, että voidaan valita ainoastaan toimia, jotka ovat asiaa koskevan EU:n ja kansallisen ympäristölainsäädännön mukaisia.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w:t>
      </w:r>
      <w:r>
        <w:rPr>
          <w:rFonts w:ascii="Times New Roman" w:hAnsi="Times New Roman"/>
          <w:b/>
          <w:bCs/>
          <w:noProof/>
          <w:sz w:val="24"/>
        </w:rPr>
        <w:t>nvestoinnit:</w:t>
      </w:r>
      <w:r>
        <w:rPr>
          <w:rFonts w:ascii="Times New Roman" w:hAnsi="Times New Roman"/>
          <w:noProof/>
          <w:sz w:val="24"/>
        </w:rPr>
        <w:t xml:space="preserve"> Älykkään valmistuksen nopeuttaminen (toimenpiteen tunniste 16721)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taloudellisen tuen teollisuuden pienille ja keskisuurille yrityksille niiden valmistuslaitteiden ja infrastruktuurin parantamiseksi uusimman teknologian avu</w:t>
      </w:r>
      <w:r>
        <w:rPr>
          <w:rFonts w:ascii="Times New Roman" w:hAnsi="Times New Roman"/>
          <w:noProof/>
          <w:sz w:val="24"/>
        </w:rPr>
        <w:t>lla, jonka ympäristövaikutukset ovat vähäiset. Toimenpiteellä tuetaan myös teollisuusjärjestelmiä ja yritysten klustereita tärkeissä teollisuuden arvoketjuissa, jotka edistävät Kreikan teollisuuden kilpailukykyä ja sen siirtymistä neljänteen teolliseen val</w:t>
      </w:r>
      <w:r>
        <w:rPr>
          <w:rFonts w:ascii="Times New Roman" w:hAnsi="Times New Roman"/>
          <w:noProof/>
          <w:sz w:val="24"/>
        </w:rPr>
        <w:t>lankumoukseen. Rahoitustukeen sisältyvät investoinnit, jotka liittyvät tuotantolinjojen digitalisointiin, toimitusketjujen automatisointiin ja yhteenliittämiseen, älykkäiden tuotteiden ja palvelujen suunnitteluun ja tuotantoon, älykkäiden valmistusteknolog</w:t>
      </w:r>
      <w:r>
        <w:rPr>
          <w:rFonts w:ascii="Times New Roman" w:hAnsi="Times New Roman"/>
          <w:noProof/>
          <w:sz w:val="24"/>
        </w:rPr>
        <w:t>ioiden käyttöönottoon ultranopean tai 5G-verkon mekaanisiin, laboratorio- ja valmistuslaitteisiin, laadunvalvontalaitteisiin, tieto- ja viestintäteknologiaan ja ohjelmistoihin, pilvilupiin, uuden tietoteknisen infrastruktuurin ja ohjelmistoihin, tietoturva</w:t>
      </w:r>
      <w:r>
        <w:rPr>
          <w:rFonts w:ascii="Times New Roman" w:hAnsi="Times New Roman"/>
          <w:noProof/>
          <w:sz w:val="24"/>
        </w:rPr>
        <w:t>llisuuspalveluihin, tuotesuunnitteluun, teollis- ja tekijänoikeuksiin sekä patentti- ja sertifiointikustannuksiin.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Sen varmistamiseksi, että toimenpide on ”ei merkittävää haittaa” -peri</w:t>
      </w:r>
      <w:r>
        <w:rPr>
          <w:rFonts w:ascii="Times New Roman" w:hAnsi="Times New Roman"/>
          <w:noProof/>
          <w:sz w:val="24"/>
        </w:rPr>
        <w:t>aatteen teknisten ohjeiden (2021/C58/01) mukainen, hanke-ehdotuspyyntöjä koskeviin 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i) fossiilisiin polttoaineisiin liittyvät toimet, mukaan lukien tuotantoketjun loppupään käyttö</w:t>
      </w:r>
      <w:r>
        <w:rPr>
          <w:rFonts w:ascii="Times New Roman" w:hAnsi="Times New Roman" w:cs="Times New Roman"/>
          <w:noProof/>
          <w:sz w:val="24"/>
          <w:vertAlign w:val="superscript"/>
        </w:rPr>
        <w:footnoteReference w:id="30"/>
      </w:r>
      <w:r>
        <w:rPr>
          <w:rFonts w:ascii="Times New Roman" w:hAnsi="Times New Roman"/>
          <w:noProof/>
          <w:sz w:val="24"/>
        </w:rPr>
        <w:t>;</w:t>
      </w:r>
      <w:r>
        <w:rPr>
          <w:rFonts w:ascii="Times New Roman" w:hAnsi="Times New Roman"/>
          <w:noProof/>
          <w:sz w:val="24"/>
        </w:rPr>
        <w:t xml:space="preserve"> EU:n päästökauppajärjestelmän mukaiset toimet, joilla saavutetaan ennustetut kasvihuonekaasupäästöt, jotka eivät alita asiaankuuluvia vertailuarvoja</w:t>
      </w:r>
      <w:r>
        <w:rPr>
          <w:rFonts w:ascii="Times New Roman" w:hAnsi="Times New Roman" w:cs="Times New Roman"/>
          <w:noProof/>
          <w:sz w:val="24"/>
          <w:vertAlign w:val="superscript"/>
        </w:rPr>
        <w:footnoteReference w:id="31"/>
      </w:r>
      <w:r>
        <w:rPr>
          <w:rFonts w:ascii="Times New Roman" w:hAnsi="Times New Roman"/>
          <w:noProof/>
          <w:sz w:val="24"/>
        </w:rPr>
        <w:t>; iii) kaatopaikkoja, polttolaitoksia</w:t>
      </w:r>
      <w:r>
        <w:rPr>
          <w:rFonts w:ascii="Times New Roman" w:hAnsi="Times New Roman" w:cs="Times New Roman"/>
          <w:noProof/>
          <w:sz w:val="24"/>
          <w:vertAlign w:val="superscript"/>
        </w:rPr>
        <w:footnoteReference w:id="32"/>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33"/>
      </w:r>
      <w:r>
        <w:rPr>
          <w:rFonts w:ascii="Times New Roman" w:hAnsi="Times New Roman"/>
          <w:noProof/>
          <w:sz w:val="24"/>
        </w:rPr>
        <w:t xml:space="preserve"> koskevat toimet; ja iv</w:t>
      </w:r>
      <w:r>
        <w:rPr>
          <w:rFonts w:ascii="Times New Roman" w:hAnsi="Times New Roman"/>
          <w:noProof/>
          <w:sz w:val="24"/>
        </w:rPr>
        <w:t>) toiminnot, joissa jätteiden pitkän aikavälin loppukäsittely voi aiheuttaa haittaa ympäristölle. Tehtävänkuvauksessa on lisäksi edellytettävä, että voidaan valita ainoastaan toimia, jotka ovat asiaa koskevan EU:n ja kansallisen ympäristölainsäädännön muka</w:t>
      </w:r>
      <w:r>
        <w:rPr>
          <w:rFonts w:ascii="Times New Roman" w:hAnsi="Times New Roman"/>
          <w:noProof/>
          <w:sz w:val="24"/>
        </w:rPr>
        <w:t>isia.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Maatalouden taloudellinen muutos (toimenpiteen tunniste 16626)</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seuraavista viidestä toimesta, joilla vahvistetaan ja edistetään maatalousalan kehitystä Kreikassa: a) maataloustuotteiden jalostukseen liittyvä innovoin</w:t>
      </w:r>
      <w:r>
        <w:rPr>
          <w:rFonts w:ascii="Times New Roman" w:hAnsi="Times New Roman"/>
          <w:noProof/>
          <w:sz w:val="24"/>
        </w:rPr>
        <w:t>ti ja vihreä siirtymä, b) alkutuotannon nykyaikaistaminen, c) vihreän matkailun kehittäminen, d) viljelyn rakenneuudistus ja e) eläinten geneettinen parantaminen. Erityinen osa a, c ja d alakohdan mukaisista investoinneista tukee tuotantoyksiköiden ja rake</w:t>
      </w:r>
      <w:r>
        <w:rPr>
          <w:rFonts w:ascii="Times New Roman" w:hAnsi="Times New Roman"/>
          <w:noProof/>
          <w:sz w:val="24"/>
        </w:rPr>
        <w:t>nnusten energiaparannuksia, mekaanisia laitteita, joiden energiankulutus on alhainen, nykyisten tuotantoyksiköiden nykyaikaistamista, jätehuoltoyksikköjä koskevia hankkeita ja ympäristönsuojeluun liittyviä kaasupäästöjen hallintaa koskevia hankkeita, jälji</w:t>
      </w:r>
      <w:r>
        <w:rPr>
          <w:rFonts w:ascii="Times New Roman" w:hAnsi="Times New Roman"/>
          <w:noProof/>
          <w:sz w:val="24"/>
        </w:rPr>
        <w:t>tettävyyden seurantaan tarkoitettujen uusien teknologioiden käyttöönottoa, ympäristöystävällisiä tuotantoprosesseja ja resurssitehokkuutta sekä markkina-analyysiä, strategista yhteistyötä ja korkean lisäarvon toimitusketjujen luomista ensisijaisesti taloud</w:t>
      </w:r>
      <w:r>
        <w:rPr>
          <w:rFonts w:ascii="Times New Roman" w:hAnsi="Times New Roman"/>
          <w:noProof/>
          <w:sz w:val="24"/>
        </w:rPr>
        <w:t>en alojen yhteenliittämiseksi (maatalous, prosessi – matkailu). Tällä investoinnilla tuetaan myös ympäristöystävällisiä liikennemuotoja, uusien uusiutuvien energialähteiden kehittämistä, ilmastonmuutokseen sopeutumista ja ehkäiseviä toimenpiteitä sekä ilma</w:t>
      </w:r>
      <w:r>
        <w:rPr>
          <w:rFonts w:ascii="Times New Roman" w:hAnsi="Times New Roman"/>
          <w:noProof/>
          <w:sz w:val="24"/>
        </w:rPr>
        <w:t xml:space="preserve">stoon liittyvien riskien hallintaa, biologisen monimuotoisuuden suojelua, luonnonperintöä ja -varoja.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Sen varmistamiseksi, että toimenpide on ”ei merkittävää haittaa” -periaatteen teknisten ohjeiden (2021/C58/01) mukainen, hanke-ehdotuspyyntöjä koskeviin </w:t>
      </w:r>
      <w:r>
        <w:rPr>
          <w:rFonts w:ascii="Times New Roman" w:hAnsi="Times New Roman"/>
          <w:noProof/>
          <w:sz w:val="24"/>
        </w:rPr>
        <w:t>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i) fossiilisiin polttoaineisiin liittyvät toimet, mukaan lukien tuotantoketjun loppupään käyttö</w:t>
      </w:r>
      <w:r>
        <w:rPr>
          <w:rFonts w:ascii="Times New Roman" w:hAnsi="Times New Roman" w:cs="Times New Roman"/>
          <w:noProof/>
          <w:sz w:val="24"/>
          <w:vertAlign w:val="superscript"/>
        </w:rPr>
        <w:footnoteReference w:id="34"/>
      </w:r>
      <w:r>
        <w:rPr>
          <w:rFonts w:ascii="Times New Roman" w:hAnsi="Times New Roman"/>
          <w:noProof/>
          <w:sz w:val="24"/>
        </w:rPr>
        <w:t xml:space="preserve">; EU:n päästökauppajärjestelmän mukaiset toimet, joilla saavutetaan ennustetut </w:t>
      </w:r>
      <w:r>
        <w:rPr>
          <w:rFonts w:ascii="Times New Roman" w:hAnsi="Times New Roman"/>
          <w:noProof/>
          <w:sz w:val="24"/>
        </w:rPr>
        <w:t>kasvihuonekaasupäästöt, jotka eivät alita asiaankuuluvia vertailuarvoja</w:t>
      </w:r>
      <w:r>
        <w:rPr>
          <w:rFonts w:ascii="Times New Roman" w:hAnsi="Times New Roman" w:cs="Times New Roman"/>
          <w:noProof/>
          <w:sz w:val="24"/>
          <w:vertAlign w:val="superscript"/>
        </w:rPr>
        <w:footnoteReference w:id="35"/>
      </w:r>
      <w:r>
        <w:rPr>
          <w:rFonts w:ascii="Times New Roman" w:hAnsi="Times New Roman"/>
          <w:noProof/>
          <w:sz w:val="24"/>
        </w:rPr>
        <w:t>; iii) kaatopaikkoja, polttolaitoksia</w:t>
      </w:r>
      <w:r>
        <w:rPr>
          <w:rFonts w:ascii="Times New Roman" w:hAnsi="Times New Roman" w:cs="Times New Roman"/>
          <w:noProof/>
          <w:sz w:val="24"/>
          <w:vertAlign w:val="superscript"/>
        </w:rPr>
        <w:footnoteReference w:id="36"/>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37"/>
      </w:r>
      <w:r>
        <w:rPr>
          <w:rFonts w:ascii="Times New Roman" w:hAnsi="Times New Roman"/>
          <w:noProof/>
          <w:sz w:val="24"/>
        </w:rPr>
        <w:t xml:space="preserve"> koskevat toimet; ja iv) toiminnot, joissa jätteiden pitkän aikavälin loppukäsittely voi aiheuttaa ha</w:t>
      </w:r>
      <w:r>
        <w:rPr>
          <w:rFonts w:ascii="Times New Roman" w:hAnsi="Times New Roman"/>
          <w:noProof/>
          <w:sz w:val="24"/>
        </w:rPr>
        <w:t>ittaa ympäristölle. Tehtävänkuvauksessa on lisäksi edellytettävä, että voidaan valita ainoastaan toimia, jotka ovat asiaa koskevan EU:n ja kansallisen ympäristölainsäädännön mukaisia.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w:t>
      </w:r>
      <w:r>
        <w:rPr>
          <w:rFonts w:ascii="Times New Roman" w:hAnsi="Times New Roman"/>
          <w:b/>
          <w:bCs/>
          <w:noProof/>
          <w:sz w:val="24"/>
        </w:rPr>
        <w:t>nvestoinnit:</w:t>
      </w:r>
      <w:r>
        <w:rPr>
          <w:rFonts w:ascii="Times New Roman" w:hAnsi="Times New Roman"/>
          <w:noProof/>
          <w:sz w:val="24"/>
        </w:rPr>
        <w:t xml:space="preserve"> Maatalouselintarvikealan digitaalisaatio (toimenpiteen tunniste 16653)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edistetään innovatiivisen teknologian käyttöönottoa Kreikan maatalousalalla, kreikkalaisten tuotteiden väärentämisen valvontaa, kreikkalaisten elintarvikkeid</w:t>
      </w:r>
      <w:r>
        <w:rPr>
          <w:rFonts w:ascii="Times New Roman" w:hAnsi="Times New Roman"/>
          <w:noProof/>
          <w:sz w:val="24"/>
        </w:rPr>
        <w:t>en pääsyä ulkomaisille markkinoille sekä uuden maatalouselintarviketietämyksen kehittämistä Kreikassa ja parhaiden käytäntöjen käyttöönottoa. Investointi käsittää toimia, joilla a) tuetaan maatalousalan digitalisaatiota, kuten laaja-alaisen avoimen digitaa</w:t>
      </w:r>
      <w:r>
        <w:rPr>
          <w:rFonts w:ascii="Times New Roman" w:hAnsi="Times New Roman"/>
          <w:noProof/>
          <w:sz w:val="24"/>
        </w:rPr>
        <w:t>lisen infrastruktuurin kehittämistä, johon kuuluu pilvi-infrastruktuuri ja satelliitti- ja ilmatietojen laajat käsittelyvalmiudet, ja b) edistetään kreikkalaisten maataloustuotteiden kauppaa, karjankasvatusta ja kalastusta helpottamalla vientitodistusten m</w:t>
      </w:r>
      <w:r>
        <w:rPr>
          <w:rFonts w:ascii="Times New Roman" w:hAnsi="Times New Roman"/>
          <w:noProof/>
          <w:sz w:val="24"/>
        </w:rPr>
        <w:t>yöntämistä, kehittämällä tuonti- ja yhteisökauppaa koskevien tietojen hallintajärjestelmä ja liiketoimintaa koskeva tiedustelujärjestelmä tuontia ja vientiä varten sekä kehittämällä ulospäin suuntautuneen maataloustuotteiden ja maataloustuotteiden menekine</w:t>
      </w:r>
      <w:r>
        <w:rPr>
          <w:rFonts w:ascii="Times New Roman" w:hAnsi="Times New Roman"/>
          <w:noProof/>
          <w:sz w:val="24"/>
        </w:rPr>
        <w:t>distämisen portaali. Uudistus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Vesiviljelyalan toimia koskevat ehdotukset (toimenpiteen tunniste 16584)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innovatiiviset laiteratkaisut, tutkimuksen, taitotiedon siir</w:t>
      </w:r>
      <w:r>
        <w:rPr>
          <w:rFonts w:ascii="Times New Roman" w:hAnsi="Times New Roman"/>
          <w:noProof/>
          <w:sz w:val="24"/>
        </w:rPr>
        <w:t>ron ja henkilöresurssien koulutuksen vesiviljelytuotannon nykyaikaistamiseksi ja monipuolistamiseksi. Se luo myös geenipankin uhanalaisille lajeille ja kaupallisille makean veden kalalajeille. Investoinnin tavoitteena on tukea ympäristöystävällisiä tuotant</w:t>
      </w:r>
      <w:r>
        <w:rPr>
          <w:rFonts w:ascii="Times New Roman" w:hAnsi="Times New Roman"/>
          <w:noProof/>
          <w:sz w:val="24"/>
        </w:rPr>
        <w:t>oprosesseja ja resurssitehokkuutta, jotka johtavat kaupan lisääntymiseen ja työpaikkojen luomiseen alalla.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Investoinnit:</w:t>
      </w:r>
      <w:r>
        <w:rPr>
          <w:rFonts w:ascii="Times New Roman" w:hAnsi="Times New Roman"/>
          <w:noProof/>
          <w:sz w:val="24"/>
        </w:rPr>
        <w:t xml:space="preserve"> Alueellisten satamien parannustoimet (toimenpiteen tunniste 16975)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koostuu toimista, joilla parannetaan saarilla sijaitsevia alueellisia satamia sekä alueita, joilla matkailutoiminta on kehittynyttä. Tukitoimet on toteutettava 12:ssa eri puoli</w:t>
      </w:r>
      <w:r>
        <w:rPr>
          <w:rFonts w:ascii="Times New Roman" w:hAnsi="Times New Roman"/>
          <w:noProof/>
          <w:sz w:val="24"/>
        </w:rPr>
        <w:t>lla maata sijaitsevassa satamassa, ja niihin on sisällyttävä infrastruktuuriparannuksia, kuten satamalaiturien kunnostaminen alukseen nousemisen helpottamiseksi, aallonmurtajat, kelluvien laiturien asentaminen, huoltoramppien, laiturien seinien ja rannikoi</w:t>
      </w:r>
      <w:r>
        <w:rPr>
          <w:rFonts w:ascii="Times New Roman" w:hAnsi="Times New Roman"/>
          <w:noProof/>
          <w:sz w:val="24"/>
        </w:rPr>
        <w:t>den suojelutöiden rakentaminen. Minkään tähän osa-alueeseen kuuluvan toimenpiteen ei odoteta aiheuttavan merkittävää haittaa asetuksen (EU) 2020/852 17 artiklassa tarkoitetuille ympäristötavoitteille, kun otetaan huomioon elpymis- ja palautumissuunnitelmas</w:t>
      </w:r>
      <w:r>
        <w:rPr>
          <w:rFonts w:ascii="Times New Roman" w:hAnsi="Times New Roman"/>
          <w:noProof/>
          <w:sz w:val="24"/>
        </w:rPr>
        <w:t>sa esitettyjen toimenpiteen kuvaus ja lieventävät toimet ”ei merkittävää haittaa -periaatteen” teknisten ohjeiden (2021/C58/01) mukaisesti. Toimenpiteestä on tehtävä erityisesti direktiivin 2011/92/EU mukainen ympäristövaikutusten arviointi sen varmistamis</w:t>
      </w:r>
      <w:r>
        <w:rPr>
          <w:rFonts w:ascii="Times New Roman" w:hAnsi="Times New Roman"/>
          <w:noProof/>
          <w:sz w:val="24"/>
        </w:rPr>
        <w:t>eksi, että ”ei merkittävää haittaa” -periaatetta noudatetaan hankkeessa ja että sitä noudatetaan tiukasti infrastruktuurin rakennus-, käyttö- ja käytöstäpoistovaiheissa. Investointi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Investoinnit:</w:t>
      </w:r>
      <w:r>
        <w:rPr>
          <w:rFonts w:ascii="Times New Roman" w:hAnsi="Times New Roman"/>
          <w:noProof/>
          <w:sz w:val="24"/>
        </w:rPr>
        <w:t xml:space="preserve"> K</w:t>
      </w:r>
      <w:r>
        <w:rPr>
          <w:rFonts w:ascii="Times New Roman" w:hAnsi="Times New Roman"/>
          <w:noProof/>
          <w:sz w:val="24"/>
        </w:rPr>
        <w:t>reikan matkustajalaivaston uudistamista koskeva yleissuunnitelma (toimenpiteen tunniste 16944)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yksityiskohtaisen tutkimuksen, strategian ja rahoitusmekanismin kehittämisen maan matkustajalaivaston asteittaiseksi uudistamiseksi. Tutkimu</w:t>
      </w:r>
      <w:r>
        <w:rPr>
          <w:rFonts w:ascii="Times New Roman" w:hAnsi="Times New Roman"/>
          <w:noProof/>
          <w:sz w:val="24"/>
        </w:rPr>
        <w:t xml:space="preserve">ksessa on määriteltävä alusten asiaankuuluvat nykyaikaistamistarpeet ja investointihorisontti, toiminnanharjoittajien rahoitustarpeet ja uudistussuunnitelmasta saatavat mahdolliset tulot, määriteltävä infrastruktuurin uudistaminen satamissa uusien alusten </w:t>
      </w:r>
      <w:r>
        <w:rPr>
          <w:rFonts w:ascii="Times New Roman" w:hAnsi="Times New Roman"/>
          <w:noProof/>
          <w:sz w:val="24"/>
        </w:rPr>
        <w:t>toiminnan tukemiseksi ja kehitettävä rahoitusmekanismi, jolla helpotetaan toimijoiden rahoituksen saantia. Investointi on määrä toteuttaa viimeistään 30 päivänä kesäkuuta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Uudistus:</w:t>
      </w:r>
      <w:r>
        <w:rPr>
          <w:rFonts w:ascii="Times New Roman" w:hAnsi="Times New Roman"/>
          <w:noProof/>
          <w:sz w:val="24"/>
        </w:rPr>
        <w:t xml:space="preserve"> Rautatiealan organisaatiouudistus (toimenpiteen tunniste 16982)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Hankk</w:t>
      </w:r>
      <w:r>
        <w:rPr>
          <w:rFonts w:ascii="Times New Roman" w:hAnsi="Times New Roman"/>
          <w:noProof/>
          <w:sz w:val="24"/>
        </w:rPr>
        <w:t>een tärkeimmät toimet ovat seuraavat:</w:t>
      </w:r>
    </w:p>
    <w:p w:rsidR="00B0093E" w:rsidRDefault="00762CA6">
      <w:pPr>
        <w:numPr>
          <w:ilvl w:val="0"/>
          <w:numId w:val="66"/>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Hyväksytään etenemissuunnitelma OSEn ja ERGOSEn täydellistä uudelleenjärjestelyä varten.</w:t>
      </w:r>
    </w:p>
    <w:p w:rsidR="00B0093E" w:rsidRDefault="00762CA6">
      <w:pPr>
        <w:numPr>
          <w:ilvl w:val="0"/>
          <w:numId w:val="66"/>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Erityiskonsultin palkkaaminen avustamaan uudistuksen täytäntöönpanossa</w:t>
      </w:r>
    </w:p>
    <w:p w:rsidR="00B0093E" w:rsidRDefault="00762CA6">
      <w:pPr>
        <w:numPr>
          <w:ilvl w:val="0"/>
          <w:numId w:val="66"/>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Näiden kahden yhtiön uudistamista koskevan primaari- ja se</w:t>
      </w:r>
      <w:r>
        <w:rPr>
          <w:rFonts w:ascii="Times New Roman" w:hAnsi="Times New Roman"/>
          <w:noProof/>
          <w:sz w:val="24"/>
        </w:rPr>
        <w:t>kundaarilainsäädännön voimaantulo, jonka ansiosta ne voivat kehittää, käyttää ja ylläpitää nykyaikaista rautatieverkkoa.</w:t>
      </w:r>
    </w:p>
    <w:p w:rsidR="00B0093E" w:rsidRDefault="00762CA6">
      <w:pPr>
        <w:numPr>
          <w:ilvl w:val="0"/>
          <w:numId w:val="66"/>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Primaari- ja sekundaarilainsäädännössä määritellyn uudistuksen täytäntöönpano.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Uudistus on määrä toteuttaa viimeistään 31 päivänä joul</w:t>
      </w:r>
      <w:r>
        <w:rPr>
          <w:rFonts w:ascii="Times New Roman" w:hAnsi="Times New Roman"/>
          <w:noProof/>
          <w:sz w:val="24"/>
        </w:rPr>
        <w:t>ukuuta 2023. Uudistuksella pyritään tekemään Kreikan rautatieala tehokkaammaksi, integroidummaksi, nykyaikaisemmaksi ja vastaamaan asiakkaiden kysyntään. Uudistusta tuetaan Kreikan rautatieinfrastruktuurialan rakenneuudistusta koskevalla monivuotisella pui</w:t>
      </w:r>
      <w:r>
        <w:rPr>
          <w:rFonts w:ascii="Times New Roman" w:hAnsi="Times New Roman"/>
          <w:noProof/>
          <w:sz w:val="24"/>
        </w:rPr>
        <w:t xml:space="preserve">tesopimuksella.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Uudistus:</w:t>
      </w:r>
      <w:r>
        <w:rPr>
          <w:rFonts w:ascii="Times New Roman" w:hAnsi="Times New Roman"/>
          <w:noProof/>
          <w:sz w:val="24"/>
        </w:rPr>
        <w:t xml:space="preserve"> Strategisten investointien houkuttelemista koskevan oikeudellisen kehyksen muuttaminen (toimenpiteen tunniste 16593)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tehdä Kreikasta houkutteleva kohde mahdollisille sijoittajille. Uudistuksella tarkis</w:t>
      </w:r>
      <w:r>
        <w:rPr>
          <w:rFonts w:ascii="Times New Roman" w:hAnsi="Times New Roman"/>
          <w:noProof/>
          <w:sz w:val="24"/>
        </w:rPr>
        <w:t>tetaan strategisten investointien houkuttelemista koskevaa oikeudellista kehystä ja yhdenmukaistetaan yhteen säädökseen kahden eri lain 3894/2010 ja 4608/2019 säännökset ja tehdään strategisia investointeja koskeva oikeudellinen kehys selkeäksi mahdollisil</w:t>
      </w:r>
      <w:r>
        <w:rPr>
          <w:rFonts w:ascii="Times New Roman" w:hAnsi="Times New Roman"/>
          <w:noProof/>
          <w:sz w:val="24"/>
        </w:rPr>
        <w:t>le sijoittajille. Sillä luodaan uusi strategisten investointien luokka lisäkannustimin, yksinkertaistetaan ja konsolidoidaan lupamenettelyä keskitetyn asiointipisteen avulla ja sisällytetään nykyiseen sääntelykehykseen (laki 3894/2010 ja laki 4608/2019) uu</w:t>
      </w:r>
      <w:r>
        <w:rPr>
          <w:rFonts w:ascii="Times New Roman" w:hAnsi="Times New Roman"/>
          <w:noProof/>
          <w:sz w:val="24"/>
        </w:rPr>
        <w:t>sia taloudellisen toiminnan aloja ja Euroopan yhteistä etua koskevia tärkeitä hankkeita (IPCEI). Tärkeimmät kriteerit sille, että investointi voidaan luokitella erittäin merkittäväksi investoinniksi (”Emblematic Investment of Great Significance”), ovat inn</w:t>
      </w:r>
      <w:r>
        <w:rPr>
          <w:rFonts w:ascii="Times New Roman" w:hAnsi="Times New Roman"/>
          <w:noProof/>
          <w:sz w:val="24"/>
        </w:rPr>
        <w:t>ovoinnin tai teknologian levittämisen edistäminen, vihreä talous ja/tai Kreikan talouden kilpailukyvyn merkittävä edistäminen kansainvälisesti. Hankkeiden luonnehdinta ei saa edellyttää investointikustannusten vähimmäismäärää tai vuotuisten työllisyyskiint</w:t>
      </w:r>
      <w:r>
        <w:rPr>
          <w:rFonts w:ascii="Times New Roman" w:hAnsi="Times New Roman"/>
          <w:noProof/>
          <w:sz w:val="24"/>
        </w:rPr>
        <w:t>iöiden vähimmäismäärää. Valtiovarainministerin sekä kehitys- ja investointiministerin yhteisellä ministeripäätöksellä perustettu kolmesta tunnetusta tiedemiehestä koostuva erityiskomitea päättää sijoittajien esittämien hakemusten perusteella edellä mainitt</w:t>
      </w:r>
      <w:r>
        <w:rPr>
          <w:rFonts w:ascii="Times New Roman" w:hAnsi="Times New Roman"/>
          <w:noProof/>
          <w:sz w:val="24"/>
        </w:rPr>
        <w:t>ujen perusteiden täyttymisestä ja antaa virallisen lausunnon ministeriöiden väliselle strategisten investointien komitealle, joka tekee lopullisen päätöksen sijoituksen luonnehtimisesta erittäin merkittäväksi strategiseksi investoinniksi ja erityisistä kan</w:t>
      </w:r>
      <w:r>
        <w:rPr>
          <w:rFonts w:ascii="Times New Roman" w:hAnsi="Times New Roman"/>
          <w:noProof/>
          <w:sz w:val="24"/>
        </w:rPr>
        <w:t>nustimista, joihin investoinnilla on oikeus.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Tukikelpoisiin investointeihin kuuluvat hankkeet, joilla edistetään innovointia tai teknologian levittämistä, uusiutuvien energialähteiden käyt</w:t>
      </w:r>
      <w:r>
        <w:rPr>
          <w:rFonts w:ascii="Times New Roman" w:hAnsi="Times New Roman"/>
          <w:noProof/>
          <w:sz w:val="24"/>
        </w:rPr>
        <w:t>töä ja siirtymistä vähähiiliseen talouteen ja/tai joilla edistetään merkittävästi Kreikan talouden kansainvälistä kilpailukykyä. Tukikelpoisia investointeja ovat investoinnit uusien energiatehokkaiden rakennusten rakentamiseen ja tuki yrityksille, jotka ta</w:t>
      </w:r>
      <w:r>
        <w:rPr>
          <w:rFonts w:ascii="Times New Roman" w:hAnsi="Times New Roman"/>
          <w:noProof/>
          <w:sz w:val="24"/>
        </w:rPr>
        <w:t>rjoavat palveluja, jotka edistävät vähähiilistä taloutta ja ilmastokestävyyttä, eli a) infrastruktuuri, jolla on erityiset energiakriteerit uusien rakennusten rakentamista varten, b) uusiutuvia energialähteitä hyödyntävät hybridivoimantuotantohankkeet kytk</w:t>
      </w:r>
      <w:r>
        <w:rPr>
          <w:rFonts w:ascii="Times New Roman" w:hAnsi="Times New Roman"/>
          <w:noProof/>
          <w:sz w:val="24"/>
        </w:rPr>
        <w:t>emättömillä saarilla c), investoinnit vihreän vedyn tuotantoon, d) uusiutuviin energialähteisiin perustuvat sähkönvarastointijärjestelmät sekä e) tuuli- ja aurinkovoimaa käyttävät merilaitokset. Uusien rakennusten rakentamisen on täytettävä primäärienergia</w:t>
      </w:r>
      <w:r>
        <w:rPr>
          <w:rFonts w:ascii="Times New Roman" w:hAnsi="Times New Roman"/>
          <w:noProof/>
          <w:sz w:val="24"/>
        </w:rPr>
        <w:t xml:space="preserve">ntarve, joka on vähintään 20 prosenttia pienempi kuin lähes nollaenergiarakennuksia koskeva vaatimus (lähes nollaenergiarakennus, kansalliset direktiivit). </w:t>
      </w:r>
    </w:p>
    <w:p w:rsidR="00B0093E" w:rsidRDefault="00762CA6">
      <w:pPr>
        <w:spacing w:before="120" w:after="120" w:line="240" w:lineRule="auto"/>
        <w:jc w:val="both"/>
        <w:rPr>
          <w:rFonts w:ascii="Times New Roman" w:hAnsi="Times New Roman" w:cs="Times New Roman"/>
          <w:iCs/>
          <w:noProof/>
          <w:sz w:val="24"/>
          <w:highlight w:val="green"/>
        </w:rPr>
      </w:pPr>
      <w:r>
        <w:rPr>
          <w:rFonts w:ascii="Times New Roman" w:hAnsi="Times New Roman"/>
          <w:noProof/>
          <w:sz w:val="24"/>
        </w:rPr>
        <w:t>Sen varmistamiseksi, että toimenpide on ”ei merkittävää haittaa” -periaatteen teknisten ohjeiden (2</w:t>
      </w:r>
      <w:r>
        <w:rPr>
          <w:rFonts w:ascii="Times New Roman" w:hAnsi="Times New Roman"/>
          <w:noProof/>
          <w:sz w:val="24"/>
        </w:rPr>
        <w:t>021/C58/01) mukainen, hanke-ehdotuspyyntöjä koskeviin ohjeisiin sisältyviin tukikelpoisuusperusteisiin ei lueta seuraavia toimia:</w:t>
      </w:r>
      <w:r>
        <w:rPr>
          <w:rFonts w:ascii="Times New Roman" w:hAnsi="Times New Roman"/>
          <w:noProof/>
          <w:color w:val="FF0000"/>
          <w:sz w:val="24"/>
        </w:rPr>
        <w:t xml:space="preserve"> </w:t>
      </w:r>
      <w:r>
        <w:rPr>
          <w:rFonts w:ascii="Times New Roman" w:hAnsi="Times New Roman"/>
          <w:noProof/>
          <w:sz w:val="24"/>
        </w:rPr>
        <w:t>i) fossiilisiin polttoaineisiin liittyvät toimet, mukaan lukien tuotantoketjun loppupään käyttö</w:t>
      </w:r>
      <w:r>
        <w:rPr>
          <w:rFonts w:ascii="Times New Roman" w:hAnsi="Times New Roman" w:cs="Times New Roman"/>
          <w:noProof/>
          <w:sz w:val="24"/>
          <w:vertAlign w:val="superscript"/>
        </w:rPr>
        <w:footnoteReference w:id="38"/>
      </w:r>
      <w:r>
        <w:rPr>
          <w:rFonts w:ascii="Times New Roman" w:hAnsi="Times New Roman"/>
          <w:noProof/>
          <w:sz w:val="24"/>
        </w:rPr>
        <w:t>; EU:n päästökauppajärjestelmä</w:t>
      </w:r>
      <w:r>
        <w:rPr>
          <w:rFonts w:ascii="Times New Roman" w:hAnsi="Times New Roman"/>
          <w:noProof/>
          <w:sz w:val="24"/>
        </w:rPr>
        <w:t>n mukaiset toimet, joilla saavutetaan ennustetut kasvihuonekaasupäästöt, jotka eivät alita asiaankuuluvia vertailuarvoja</w:t>
      </w:r>
      <w:r>
        <w:rPr>
          <w:rFonts w:ascii="Times New Roman" w:hAnsi="Times New Roman" w:cs="Times New Roman"/>
          <w:noProof/>
          <w:sz w:val="24"/>
          <w:vertAlign w:val="superscript"/>
        </w:rPr>
        <w:footnoteReference w:id="39"/>
      </w:r>
      <w:r>
        <w:rPr>
          <w:rFonts w:ascii="Times New Roman" w:hAnsi="Times New Roman"/>
          <w:noProof/>
          <w:sz w:val="24"/>
        </w:rPr>
        <w:t>; iii) kaatopaikkoja, polttolaitoksia</w:t>
      </w:r>
      <w:r>
        <w:rPr>
          <w:rFonts w:ascii="Times New Roman" w:hAnsi="Times New Roman" w:cs="Times New Roman"/>
          <w:noProof/>
          <w:sz w:val="24"/>
          <w:vertAlign w:val="superscript"/>
        </w:rPr>
        <w:footnoteReference w:id="40"/>
      </w:r>
      <w:r>
        <w:rPr>
          <w:rFonts w:ascii="Times New Roman" w:hAnsi="Times New Roman"/>
          <w:noProof/>
          <w:sz w:val="24"/>
        </w:rPr>
        <w:t xml:space="preserve"> ja mekaanisia biologisia käsittelylaitoksia</w:t>
      </w:r>
      <w:r>
        <w:rPr>
          <w:rFonts w:ascii="Times New Roman" w:hAnsi="Times New Roman" w:cs="Times New Roman"/>
          <w:noProof/>
          <w:sz w:val="24"/>
          <w:vertAlign w:val="superscript"/>
        </w:rPr>
        <w:footnoteReference w:id="41"/>
      </w:r>
      <w:r>
        <w:rPr>
          <w:rFonts w:ascii="Times New Roman" w:hAnsi="Times New Roman"/>
          <w:noProof/>
          <w:sz w:val="24"/>
        </w:rPr>
        <w:t xml:space="preserve"> koskevat toimet; ja iv) toiminnot, joissa jätteiden</w:t>
      </w:r>
      <w:r>
        <w:rPr>
          <w:rFonts w:ascii="Times New Roman" w:hAnsi="Times New Roman"/>
          <w:noProof/>
          <w:sz w:val="24"/>
        </w:rPr>
        <w:t xml:space="preserve"> pitkän aikavälin loppukäsittely voi aiheuttaa haittaa ympäristölle. Tehtävänkuvauksessa on lisäksi edellytettävä, että voidaan valita ainoastaan toimia, jotka ovat asiaa koskevan EU:n ja kansallisen ympäristölainsäädännön mukaisia.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Uudistus:</w:t>
      </w:r>
      <w:r>
        <w:rPr>
          <w:rFonts w:ascii="Times New Roman" w:hAnsi="Times New Roman"/>
          <w:noProof/>
          <w:sz w:val="24"/>
        </w:rPr>
        <w:t xml:space="preserve"> Talousdiplomatian verkoston digitointi (toimenpiteen tunniste 16599)</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Uudistus koostuu poliittisista uudistuksista, joilla pyritään digitalisoimaan Kreikan talousdiplomatiaverkosto. Uudistukseen sisältyy Enterprise Greecen tarjoamien ”Helpdesk”-palvelujen </w:t>
      </w:r>
      <w:r>
        <w:rPr>
          <w:rFonts w:ascii="Times New Roman" w:hAnsi="Times New Roman"/>
          <w:noProof/>
          <w:sz w:val="24"/>
        </w:rPr>
        <w:t xml:space="preserve">laajentaminen, valtion kaupan ja investointien edistämisvirasto, tietokantojen hankinta, käsittely ja hyödyntäminen kansainvälisillä markkinoilla ja vientimenettelyissä, oikeusasiamiehen yksikön perustaminen viejien auttamiseksi poistamaan vientiprosessin </w:t>
      </w:r>
      <w:r>
        <w:rPr>
          <w:rFonts w:ascii="Times New Roman" w:hAnsi="Times New Roman"/>
          <w:noProof/>
          <w:sz w:val="24"/>
        </w:rPr>
        <w:t>esteet, Enterprise Greecen sisäisten prosessien täydellinen digitalisointi ja uudet digitaaliset viestintäkanavat viejien ja mahdollisten sijoittajien kanssa. Uudistus on määrä toteuttaa viimeistään 30 päivänä kesäkuuta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Uudistus:</w:t>
      </w:r>
      <w:r>
        <w:rPr>
          <w:rFonts w:ascii="Times New Roman" w:hAnsi="Times New Roman"/>
          <w:noProof/>
          <w:sz w:val="24"/>
        </w:rPr>
        <w:t xml:space="preserve"> Kaupan helpottaminen</w:t>
      </w:r>
      <w:r>
        <w:rPr>
          <w:rFonts w:ascii="Times New Roman" w:hAnsi="Times New Roman"/>
          <w:noProof/>
          <w:sz w:val="24"/>
        </w:rPr>
        <w:t xml:space="preserve"> (toimenpiteen tunniste 16592)</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helpottamaan kauppaa virtaviivaistamalla Kreikassa toimivien yritysten hallinnollisia menettelyjä. Uudistuksessa on erityisesti a) tarkasteltava uudelleen ja yksinkertaistettava nykyisiä tulli- ja tulli</w:t>
      </w:r>
      <w:r>
        <w:rPr>
          <w:rFonts w:ascii="Times New Roman" w:hAnsi="Times New Roman"/>
          <w:noProof/>
          <w:sz w:val="24"/>
        </w:rPr>
        <w:t>menettelyjä, b) tunnistettava yrityksille mahdollisesti aiheutuvat tarpeettomat hallinnolliset rasitteet ja/tai kustannukset, c) mahdollistettava yhtenäisen ja yhdennetyn tietojärjestelmän (yhden luukun) perustaminen kansainvälisten parhaiden käytäntöjen m</w:t>
      </w:r>
      <w:r>
        <w:rPr>
          <w:rFonts w:ascii="Times New Roman" w:hAnsi="Times New Roman"/>
          <w:noProof/>
          <w:sz w:val="24"/>
        </w:rPr>
        <w:t>ukaisesti, d) perustettava seurantajärjestelmä, jolla varmistetaan rajatylittävän kaupan valvonnan asianmukainen ja tehokas täytäntöönpano.</w:t>
      </w:r>
      <w:r>
        <w:rPr>
          <w:rFonts w:ascii="Times New Roman" w:hAnsi="Times New Roman"/>
          <w:noProof/>
          <w:color w:val="000000"/>
          <w:sz w:val="24"/>
        </w:rPr>
        <w:t> </w:t>
      </w:r>
      <w:r>
        <w:rPr>
          <w:rFonts w:ascii="Times New Roman" w:hAnsi="Times New Roman"/>
          <w:noProof/>
          <w:sz w:val="24"/>
        </w:rPr>
        <w:t>Uudistus perustuu vuonna 2019 käynnistettyyn institutionaaliseen uudistukseen ja täydentää sitä sisällyttämällä siih</w:t>
      </w:r>
      <w:r>
        <w:rPr>
          <w:rFonts w:ascii="Times New Roman" w:hAnsi="Times New Roman"/>
          <w:noProof/>
          <w:sz w:val="24"/>
        </w:rPr>
        <w:t>en kaikki ulkoasiainministeriön vienninedistämis- ja kaupan helpottamisvastuut. Uudistus on määrä toteuttaa viimeistään 31 päivänä joulukuuta 2023.</w:t>
      </w:r>
    </w:p>
    <w:p w:rsidR="00B0093E" w:rsidRDefault="00B0093E">
      <w:pPr>
        <w:spacing w:before="120" w:after="120" w:line="240" w:lineRule="auto"/>
        <w:ind w:left="709"/>
        <w:jc w:val="both"/>
        <w:rPr>
          <w:rFonts w:ascii="Times New Roman" w:hAnsi="Times New Roman" w:cs="Times New Roman"/>
          <w:b/>
          <w:noProof/>
          <w:sz w:val="24"/>
          <w:u w:val="single"/>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51"/>
          <w:headerReference w:type="default" r:id="rId252"/>
          <w:footerReference w:type="even" r:id="rId253"/>
          <w:footerReference w:type="default" r:id="rId254"/>
          <w:headerReference w:type="first" r:id="rId255"/>
          <w:footerReference w:type="first" r:id="rId256"/>
          <w:pgSz w:w="11907" w:h="16839"/>
          <w:pgMar w:top="1134" w:right="1417" w:bottom="1134" w:left="1417" w:header="709" w:footer="709" w:gutter="0"/>
          <w:cols w:space="720"/>
          <w:docGrid w:linePitch="360"/>
        </w:sectPr>
      </w:pPr>
    </w:p>
    <w:p w:rsidR="00B0093E" w:rsidRDefault="00762CA6">
      <w:pPr>
        <w:keepNext/>
        <w:keepLines/>
        <w:spacing w:before="40" w:after="240" w:line="240" w:lineRule="auto"/>
        <w:jc w:val="both"/>
        <w:outlineLvl w:val="4"/>
        <w:rPr>
          <w:rFonts w:ascii="Cambria" w:eastAsia="Times New Roman" w:hAnsi="Cambria"/>
          <w:noProof/>
          <w:color w:val="365F91"/>
          <w:sz w:val="24"/>
        </w:rPr>
      </w:pPr>
      <w:r>
        <w:rPr>
          <w:rFonts w:ascii="Times New Roman" w:hAnsi="Times New Roman"/>
          <w:b/>
          <w:bCs/>
          <w:noProof/>
          <w:sz w:val="24"/>
          <w:u w:val="single"/>
        </w:rPr>
        <w:t xml:space="preserve">Q.2 </w:t>
      </w:r>
      <w:r>
        <w:rPr>
          <w:rFonts w:ascii="Times New Roman" w:hAnsi="Times New Roman"/>
          <w:b/>
          <w:noProof/>
          <w:sz w:val="24"/>
          <w:u w:val="single"/>
        </w:rPr>
        <w:tab/>
      </w:r>
      <w:r>
        <w:rPr>
          <w:rFonts w:ascii="Times New Roman" w:hAnsi="Times New Roman"/>
          <w:b/>
          <w:bCs/>
          <w:noProof/>
          <w:sz w:val="24"/>
          <w:u w:val="single"/>
        </w:rPr>
        <w:t xml:space="preserve">Seurantaa ja täytäntöönpanoa koskevat </w:t>
      </w:r>
      <w:r>
        <w:rPr>
          <w:rFonts w:ascii="Times New Roman" w:hAnsi="Times New Roman"/>
          <w:b/>
          <w:bCs/>
          <w:noProof/>
          <w:sz w:val="24"/>
          <w:u w:val="single"/>
        </w:rPr>
        <w:t>välitavoitteet, tavoitteet, indikaattorit ja aikataulu – rahoitustuki, jota ei makseta takaisin</w:t>
      </w:r>
      <w:r>
        <w:rPr>
          <w:rFonts w:ascii="Cambria" w:hAnsi="Cambria"/>
          <w:noProof/>
          <w:color w:val="365F91"/>
          <w:sz w:val="24"/>
        </w:rPr>
        <w:t xml:space="preserve"> </w:t>
      </w:r>
    </w:p>
    <w:p w:rsidR="00B0093E" w:rsidRDefault="00762CA6">
      <w:pPr>
        <w:keepNext/>
        <w:keepLines/>
        <w:spacing w:before="40" w:after="240" w:line="240" w:lineRule="auto"/>
        <w:jc w:val="both"/>
        <w:outlineLvl w:val="4"/>
        <w:rPr>
          <w:rFonts w:ascii="Cambria" w:eastAsia="Times New Roman" w:hAnsi="Cambria"/>
          <w:noProof/>
          <w:color w:val="365F91"/>
          <w:sz w:val="24"/>
        </w:rPr>
      </w:pPr>
      <w:r>
        <w:rPr>
          <w:rFonts w:ascii="Cambria" w:hAnsi="Cambria"/>
          <w:noProof/>
          <w:color w:val="365F91"/>
          <w:sz w:val="24"/>
        </w:rPr>
        <w:t>Suurin investointi 6: Keski-Kreikan valtatie E-65: Trikala–Egnatia-osuus</w:t>
      </w:r>
    </w:p>
    <w:tbl>
      <w:tblPr>
        <w:tblW w:w="15669" w:type="dxa"/>
        <w:jc w:val="center"/>
        <w:tblLook w:val="04A0" w:firstRow="1" w:lastRow="0" w:firstColumn="1" w:lastColumn="0" w:noHBand="0" w:noVBand="1"/>
      </w:tblPr>
      <w:tblGrid>
        <w:gridCol w:w="1027"/>
        <w:gridCol w:w="1573"/>
        <w:gridCol w:w="1626"/>
        <w:gridCol w:w="1401"/>
        <w:gridCol w:w="2020"/>
        <w:gridCol w:w="1247"/>
        <w:gridCol w:w="992"/>
        <w:gridCol w:w="1006"/>
        <w:gridCol w:w="1387"/>
        <w:gridCol w:w="851"/>
        <w:gridCol w:w="5042"/>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Numero</w:t>
            </w:r>
          </w:p>
        </w:tc>
        <w:tc>
          <w:tcPr>
            <w:tcW w:w="129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Välitavoite/tavoite</w:t>
            </w:r>
          </w:p>
        </w:tc>
        <w:tc>
          <w:tcPr>
            <w:tcW w:w="1137"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Nimi</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Laadulliset </w:t>
            </w:r>
            <w:r>
              <w:rPr>
                <w:rFonts w:ascii="Times New Roman" w:hAnsi="Times New Roman"/>
                <w:b/>
                <w:bCs/>
                <w:noProof/>
                <w:sz w:val="18"/>
                <w:szCs w:val="18"/>
              </w:rPr>
              <w:t>indikaattorit   (välitavoitteiden osalta)</w:t>
            </w:r>
          </w:p>
        </w:tc>
        <w:tc>
          <w:tcPr>
            <w:tcW w:w="2790"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Määrälliset indikaattorit   (tavoitteiden osalta)</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Alustava toteutusaikataulu </w:t>
            </w:r>
          </w:p>
        </w:tc>
        <w:tc>
          <w:tcPr>
            <w:tcW w:w="50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7"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4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99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85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5042"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254</w:t>
            </w:r>
          </w:p>
        </w:tc>
        <w:tc>
          <w:tcPr>
            <w:tcW w:w="12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7 - 4.6. Keskeisten talouden alojen nykyaikaistaminen ja häiriönsietokyvyn parantaminen – 16628_Keski-Kreikan valtatie E-65: Trikala–Egnatia-osuus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Rakennustöiden aloittaminen E-65:ssä</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Riippumattoman insinöörin raportti, jonka infrastruktuurimin</w:t>
            </w:r>
            <w:r>
              <w:rPr>
                <w:noProof/>
                <w:color w:val="006100"/>
                <w:sz w:val="18"/>
                <w:szCs w:val="18"/>
              </w:rPr>
              <w:t>isteriö on vahvistanut</w:t>
            </w:r>
          </w:p>
        </w:tc>
        <w:tc>
          <w:tcPr>
            <w:tcW w:w="94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Keski-Kreikan valtatien E-65 rakennustöiden aloittaminen: Trikala–Egnatia</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255</w:t>
            </w:r>
          </w:p>
        </w:tc>
        <w:tc>
          <w:tcPr>
            <w:tcW w:w="129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häiriönsietokyvyn parantaminen – 16628_Keski-Kreikan valtatie E-65: </w:t>
            </w:r>
            <w:r>
              <w:rPr>
                <w:noProof/>
                <w:color w:val="006100"/>
                <w:sz w:val="18"/>
                <w:szCs w:val="18"/>
              </w:rPr>
              <w:t>Trikala–Egnatia-osuus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E-65-rakennustyöt – rakentamisen ensimmäinen vaihe</w:t>
            </w:r>
          </w:p>
        </w:tc>
        <w:tc>
          <w:tcPr>
            <w:tcW w:w="171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Päätökseen saatetuista hankkeista 60 prosenttia ja riippumattoman insinöörin raportti, jonka infrastruktuuriministeriö on ratifioinut</w:t>
            </w:r>
          </w:p>
        </w:tc>
        <w:tc>
          <w:tcPr>
            <w:tcW w:w="94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0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jc w:val="both"/>
              <w:rPr>
                <w:rFonts w:eastAsia="Times New Roman" w:cs="Calibri"/>
                <w:noProof/>
                <w:color w:val="006100"/>
                <w:sz w:val="18"/>
                <w:szCs w:val="18"/>
              </w:rPr>
            </w:pPr>
            <w:r>
              <w:rPr>
                <w:noProof/>
                <w:color w:val="006100"/>
                <w:sz w:val="18"/>
                <w:szCs w:val="18"/>
              </w:rPr>
              <w:t xml:space="preserve">60 prosenttia </w:t>
            </w:r>
            <w:r>
              <w:rPr>
                <w:noProof/>
                <w:color w:val="006100"/>
                <w:sz w:val="18"/>
                <w:szCs w:val="18"/>
              </w:rPr>
              <w:t>Keski-Kreikan valtatien E 65 -rakennustöiden arvosta: Trikala–Egnatia-osuus on saatettu päätöksen, minkä riippumaton insinööri on vahvistanut.</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256</w:t>
            </w:r>
          </w:p>
        </w:tc>
        <w:tc>
          <w:tcPr>
            <w:tcW w:w="129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17 - 4.6. Keskeisten talouden alojen nykyaikaistaminen ja häiriönsietokyvyn parantaminen – </w:t>
            </w:r>
            <w:r>
              <w:rPr>
                <w:noProof/>
                <w:color w:val="006100"/>
                <w:sz w:val="18"/>
                <w:szCs w:val="18"/>
              </w:rPr>
              <w:t>16628_Keski-Kreikan valtatie E-65: Trikala–Egnatia-osuus</w:t>
            </w:r>
          </w:p>
        </w:tc>
        <w:tc>
          <w:tcPr>
            <w:tcW w:w="9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E-65-työt – viimeistely</w:t>
            </w:r>
          </w:p>
        </w:tc>
        <w:tc>
          <w:tcPr>
            <w:tcW w:w="171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100 % valmiista hankkeesta ja riippumattoman insinöörin raportti, jonka infrastruktuuriministeriö on ratifioinut</w:t>
            </w:r>
          </w:p>
        </w:tc>
        <w:tc>
          <w:tcPr>
            <w:tcW w:w="947"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Q2</w:t>
            </w: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04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Hankkeen loppuun saattaminen, mukaan </w:t>
            </w:r>
            <w:r>
              <w:rPr>
                <w:noProof/>
                <w:color w:val="006100"/>
                <w:sz w:val="18"/>
                <w:szCs w:val="18"/>
              </w:rPr>
              <w:t>lukien liitännäiset työt (kuten kaikki tietulliasemat, valaistus ja turvatoimenpiteet, jotka ovat välttämättömiä moottoritien sertifioinnin ja toiminnan kannalta).</w:t>
            </w:r>
          </w:p>
        </w:tc>
      </w:tr>
    </w:tbl>
    <w:p w:rsidR="00B0093E" w:rsidRDefault="00B0093E">
      <w:pPr>
        <w:keepNext/>
        <w:keepLines/>
        <w:spacing w:before="240" w:after="0" w:line="240" w:lineRule="auto"/>
        <w:jc w:val="both"/>
        <w:outlineLvl w:val="4"/>
        <w:rPr>
          <w:rFonts w:ascii="Cambria" w:eastAsia="Times New Roman" w:hAnsi="Cambria"/>
          <w:noProof/>
          <w:color w:val="365F91"/>
          <w:sz w:val="24"/>
        </w:rPr>
        <w:sectPr w:rsidR="00B0093E">
          <w:headerReference w:type="even" r:id="rId257"/>
          <w:headerReference w:type="default" r:id="rId258"/>
          <w:footerReference w:type="even" r:id="rId259"/>
          <w:footerReference w:type="default" r:id="rId260"/>
          <w:headerReference w:type="first" r:id="rId261"/>
          <w:footerReference w:type="first" r:id="rId262"/>
          <w:pgSz w:w="16839" w:h="11907" w:orient="landscape"/>
          <w:pgMar w:top="720" w:right="720" w:bottom="720" w:left="720" w:header="709" w:footer="709" w:gutter="0"/>
          <w:cols w:space="720"/>
          <w:docGrid w:linePitch="360"/>
        </w:sectPr>
      </w:pPr>
    </w:p>
    <w:p w:rsidR="00B0093E" w:rsidRDefault="00762CA6">
      <w:pPr>
        <w:keepNext/>
        <w:keepLines/>
        <w:spacing w:before="240" w:after="240" w:line="240" w:lineRule="auto"/>
        <w:jc w:val="both"/>
        <w:outlineLvl w:val="4"/>
        <w:rPr>
          <w:rFonts w:ascii="Cambria" w:eastAsia="Times New Roman" w:hAnsi="Cambria"/>
          <w:noProof/>
          <w:color w:val="365F91"/>
          <w:sz w:val="24"/>
        </w:rPr>
      </w:pPr>
      <w:r>
        <w:rPr>
          <w:rFonts w:ascii="Cambria" w:hAnsi="Cambria"/>
          <w:noProof/>
          <w:color w:val="365F91"/>
          <w:sz w:val="24"/>
        </w:rPr>
        <w:t xml:space="preserve">Suurin investointi 7: </w:t>
      </w:r>
      <w:r>
        <w:rPr>
          <w:rFonts w:ascii="Cambria" w:hAnsi="Cambria"/>
          <w:noProof/>
          <w:color w:val="365F91"/>
          <w:sz w:val="24"/>
        </w:rPr>
        <w:t>Liikenneturvallisuuden parantaminen</w:t>
      </w:r>
    </w:p>
    <w:tbl>
      <w:tblPr>
        <w:tblW w:w="15502" w:type="dxa"/>
        <w:tblInd w:w="113" w:type="dxa"/>
        <w:tblLook w:val="04A0" w:firstRow="1" w:lastRow="0" w:firstColumn="1" w:lastColumn="0" w:noHBand="0" w:noVBand="1"/>
      </w:tblPr>
      <w:tblGrid>
        <w:gridCol w:w="884"/>
        <w:gridCol w:w="1597"/>
        <w:gridCol w:w="1291"/>
        <w:gridCol w:w="1566"/>
        <w:gridCol w:w="1372"/>
        <w:gridCol w:w="1002"/>
        <w:gridCol w:w="828"/>
        <w:gridCol w:w="818"/>
        <w:gridCol w:w="1109"/>
        <w:gridCol w:w="577"/>
        <w:gridCol w:w="4441"/>
        <w:gridCol w:w="17"/>
      </w:tblGrid>
      <w:tr w:rsidR="00B0093E">
        <w:trPr>
          <w:gridAfter w:val="1"/>
          <w:wAfter w:w="22" w:type="dxa"/>
          <w:trHeight w:val="939"/>
          <w:tblHeader/>
        </w:trPr>
        <w:tc>
          <w:tcPr>
            <w:tcW w:w="109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Numero</w:t>
            </w:r>
          </w:p>
        </w:tc>
        <w:tc>
          <w:tcPr>
            <w:tcW w:w="140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Toimenpide (uudistus tai investointi)</w:t>
            </w:r>
          </w:p>
        </w:tc>
        <w:tc>
          <w:tcPr>
            <w:tcW w:w="118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Välitavoite/tavoite</w:t>
            </w:r>
          </w:p>
        </w:tc>
        <w:tc>
          <w:tcPr>
            <w:tcW w:w="824"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Nimi</w:t>
            </w:r>
          </w:p>
        </w:tc>
        <w:tc>
          <w:tcPr>
            <w:tcW w:w="124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Laadulliset indikaattorit   (välitavoitteiden osalta)</w:t>
            </w:r>
          </w:p>
        </w:tc>
        <w:tc>
          <w:tcPr>
            <w:tcW w:w="2449"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Määrälliset indikaattorit   (tavoitteiden osalta)</w:t>
            </w:r>
          </w:p>
        </w:tc>
        <w:tc>
          <w:tcPr>
            <w:tcW w:w="1522"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Alustava toteutusaikataulu </w:t>
            </w:r>
          </w:p>
        </w:tc>
        <w:tc>
          <w:tcPr>
            <w:tcW w:w="57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Kunkin </w:t>
            </w:r>
            <w:r>
              <w:rPr>
                <w:rFonts w:ascii="Times New Roman" w:hAnsi="Times New Roman"/>
                <w:b/>
                <w:bCs/>
                <w:noProof/>
                <w:sz w:val="18"/>
                <w:szCs w:val="18"/>
              </w:rPr>
              <w:t>välitavoitteen ja tavoitteen kuvaus</w:t>
            </w:r>
          </w:p>
        </w:tc>
      </w:tr>
      <w:tr w:rsidR="00B0093E">
        <w:trPr>
          <w:gridAfter w:val="1"/>
          <w:wAfter w:w="22" w:type="dxa"/>
          <w:trHeight w:val="1027"/>
          <w:tblHeader/>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05"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8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24"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45"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101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57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83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69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575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trPr>
        <w:tc>
          <w:tcPr>
            <w:tcW w:w="1094"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w:t>
            </w:r>
            <w:r>
              <w:rPr>
                <w:noProof/>
                <w:color w:val="006100"/>
                <w:sz w:val="18"/>
                <w:szCs w:val="18"/>
              </w:rPr>
              <w:t>7</w:t>
            </w:r>
          </w:p>
        </w:tc>
        <w:tc>
          <w:tcPr>
            <w:tcW w:w="14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16631_Tieturvallisuuden parantaminen</w:t>
            </w:r>
          </w:p>
        </w:tc>
        <w:tc>
          <w:tcPr>
            <w:tcW w:w="118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Liikenneturvallisuutta koskevan sopimuksen tekeminen – ensimmäinen sopimuserä</w:t>
            </w:r>
          </w:p>
        </w:tc>
        <w:tc>
          <w:tcPr>
            <w:tcW w:w="124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vähintään 2 300 sijaintipai</w:t>
            </w:r>
            <w:r>
              <w:rPr>
                <w:noProof/>
                <w:color w:val="006100"/>
                <w:sz w:val="18"/>
                <w:szCs w:val="18"/>
              </w:rPr>
              <w:t>kan hankintasopimusten tekemisestä.</w:t>
            </w: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1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7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781" w:type="dxa"/>
            <w:gridSpan w:val="2"/>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Sopimukset, jotka on tehty vähintään 2 300 paikassa, joilla varmistetaan a) liikenneturvallisuuden parantaminen osana liikenneturvallisuuden parantamisohjelmaa (PEVOA) noin 7 000 vaarallisessa paikassa; b) väh</w:t>
            </w:r>
            <w:r>
              <w:rPr>
                <w:noProof/>
                <w:color w:val="006100"/>
                <w:sz w:val="18"/>
                <w:szCs w:val="18"/>
              </w:rPr>
              <w:t>äiset parannukset jäljelle jäävällä 2 500 km:n matkalla</w:t>
            </w:r>
          </w:p>
        </w:tc>
      </w:tr>
      <w:tr w:rsidR="00B0093E">
        <w:trPr>
          <w:trHeight w:val="313"/>
        </w:trPr>
        <w:tc>
          <w:tcPr>
            <w:tcW w:w="1094"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258</w:t>
            </w:r>
          </w:p>
        </w:tc>
        <w:tc>
          <w:tcPr>
            <w:tcW w:w="14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17-4.6. Keskeisten talouden alojen nykyaikaistaminen ja häiriönsietokyvyn parantaminen – 16631_Tieturvallisuuden parantaminen</w:t>
            </w:r>
          </w:p>
        </w:tc>
        <w:tc>
          <w:tcPr>
            <w:tcW w:w="118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Liikenneturvallisuutta koskevan sopimuksen tekeminen – </w:t>
            </w:r>
            <w:r>
              <w:rPr>
                <w:noProof/>
                <w:color w:val="006100"/>
                <w:sz w:val="18"/>
                <w:szCs w:val="18"/>
              </w:rPr>
              <w:t>kaikki sopimukset</w:t>
            </w:r>
          </w:p>
        </w:tc>
        <w:tc>
          <w:tcPr>
            <w:tcW w:w="124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100-prosenttisen hankintasopimuksen tekemisestä</w:t>
            </w: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1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7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9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5781" w:type="dxa"/>
            <w:gridSpan w:val="2"/>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Sopimukset, jotka koskevat 100:aa prosenttia tämän hankkeen liikenneturvallisuusbudjetista ja joilla varmistetaan a) liikenneturvallisuuden parantaminen osana </w:t>
            </w:r>
            <w:r>
              <w:rPr>
                <w:noProof/>
                <w:color w:val="006100"/>
                <w:sz w:val="18"/>
                <w:szCs w:val="18"/>
              </w:rPr>
              <w:t>liikenneturvallisuuden parantamisohjelmaa (PEVOA) vähintään 7 000 vaarallisessa paikassa; b) vähäiset parannukset jäljelle jäävällä 2 500 km:n matkalla</w:t>
            </w:r>
          </w:p>
        </w:tc>
      </w:tr>
      <w:tr w:rsidR="00B0093E">
        <w:trPr>
          <w:trHeight w:val="313"/>
        </w:trPr>
        <w:tc>
          <w:tcPr>
            <w:tcW w:w="1094"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259</w:t>
            </w:r>
          </w:p>
        </w:tc>
        <w:tc>
          <w:tcPr>
            <w:tcW w:w="1405"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17-4.6. Keskeisten talouden alojen nykyaikaistaminen ja häiriönsietokyvyn parantaminen – </w:t>
            </w:r>
            <w:r>
              <w:rPr>
                <w:noProof/>
                <w:color w:val="006100"/>
                <w:sz w:val="18"/>
                <w:szCs w:val="18"/>
              </w:rPr>
              <w:t>16631_Tieturvallisuuden parantaminen</w:t>
            </w:r>
          </w:p>
        </w:tc>
        <w:tc>
          <w:tcPr>
            <w:tcW w:w="118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2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Tieturvallisuushankkeen loppuun saattaminen</w:t>
            </w:r>
          </w:p>
        </w:tc>
        <w:tc>
          <w:tcPr>
            <w:tcW w:w="1245"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Riippumattoman insinöörin todistus siitä, että kaikki tieturvallisuustyöt on saatettu päätökseen</w:t>
            </w: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101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57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3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 </w:t>
            </w:r>
          </w:p>
        </w:tc>
        <w:tc>
          <w:tcPr>
            <w:tcW w:w="69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2025 </w:t>
            </w:r>
          </w:p>
        </w:tc>
        <w:tc>
          <w:tcPr>
            <w:tcW w:w="5781" w:type="dxa"/>
            <w:gridSpan w:val="2"/>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Hankkeen loppuun saattaminen ja a) </w:t>
            </w:r>
            <w:r>
              <w:rPr>
                <w:noProof/>
                <w:color w:val="006100"/>
                <w:sz w:val="18"/>
                <w:szCs w:val="18"/>
              </w:rPr>
              <w:t>liikenneturvallisuuden parantaminen osana liikenneturvallisuuden parantamisohjelmaa (PEVOA) vähintään 7 000 vaarallisessa paikassa; b) vähäiset parannukset jäljelle jäävällä 2 500 km:n matkalla</w:t>
            </w:r>
          </w:p>
        </w:tc>
      </w:tr>
    </w:tbl>
    <w:p w:rsidR="00B0093E" w:rsidRDefault="00762CA6">
      <w:pPr>
        <w:keepNext/>
        <w:keepLines/>
        <w:spacing w:before="240" w:after="240" w:line="240" w:lineRule="auto"/>
        <w:jc w:val="both"/>
        <w:outlineLvl w:val="4"/>
        <w:rPr>
          <w:rFonts w:ascii="Cambria" w:eastAsia="Times New Roman" w:hAnsi="Cambria"/>
          <w:noProof/>
          <w:color w:val="365F91"/>
          <w:sz w:val="24"/>
        </w:rPr>
      </w:pPr>
      <w:r>
        <w:rPr>
          <w:rFonts w:ascii="Cambria" w:hAnsi="Cambria"/>
          <w:noProof/>
          <w:color w:val="365F91"/>
          <w:sz w:val="24"/>
        </w:rPr>
        <w:t>Suurin investointi 8: Kreetan pohjoinen valtatie (Β.Ο.Α.Κ.)</w:t>
      </w:r>
    </w:p>
    <w:tbl>
      <w:tblPr>
        <w:tblW w:w="15615" w:type="dxa"/>
        <w:jc w:val="center"/>
        <w:tblLook w:val="04A0" w:firstRow="1" w:lastRow="0" w:firstColumn="1" w:lastColumn="0" w:noHBand="0" w:noVBand="1"/>
      </w:tblPr>
      <w:tblGrid>
        <w:gridCol w:w="962"/>
        <w:gridCol w:w="1323"/>
        <w:gridCol w:w="1366"/>
        <w:gridCol w:w="1435"/>
        <w:gridCol w:w="1724"/>
        <w:gridCol w:w="1764"/>
        <w:gridCol w:w="1059"/>
        <w:gridCol w:w="860"/>
        <w:gridCol w:w="1171"/>
        <w:gridCol w:w="735"/>
        <w:gridCol w:w="3216"/>
      </w:tblGrid>
      <w:tr w:rsidR="00B0093E">
        <w:trPr>
          <w:trHeight w:val="939"/>
          <w:tblHeader/>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Numero</w:t>
            </w:r>
          </w:p>
        </w:tc>
        <w:tc>
          <w:tcPr>
            <w:tcW w:w="125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Toimenpide (uudistus tai investointi)</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Välitavoite/tavoite</w:t>
            </w:r>
          </w:p>
        </w:tc>
        <w:tc>
          <w:tcPr>
            <w:tcW w:w="113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Nimi</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Laadulliset indikaattorit   (välitavoitteiden osalta)</w:t>
            </w:r>
          </w:p>
        </w:tc>
        <w:tc>
          <w:tcPr>
            <w:tcW w:w="3787"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Määrälliset indikaattorit   (tavoitteiden osalta)</w:t>
            </w:r>
          </w:p>
        </w:tc>
        <w:tc>
          <w:tcPr>
            <w:tcW w:w="2085"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Alustava toteutusaikataulu </w:t>
            </w:r>
          </w:p>
        </w:tc>
        <w:tc>
          <w:tcPr>
            <w:tcW w:w="38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Kunkin välitavoitteen ja tavoitteen kuvaus</w:t>
            </w:r>
          </w:p>
        </w:tc>
      </w:tr>
      <w:tr w:rsidR="00B0093E">
        <w:trPr>
          <w:trHeight w:val="431"/>
          <w:tblHeader/>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51"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136"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00"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124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83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1233"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85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389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2161"/>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260</w:t>
            </w:r>
          </w:p>
        </w:tc>
        <w:tc>
          <w:tcPr>
            <w:tcW w:w="12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16630_Kreetan pohjoinen valtatie (Β.Ο.Α.Κ.)</w:t>
            </w:r>
          </w:p>
        </w:tc>
        <w:tc>
          <w:tcPr>
            <w:tcW w:w="96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kolmea BOAK:n alahanketta koskevien hankintas</w:t>
            </w:r>
            <w:r>
              <w:rPr>
                <w:noProof/>
                <w:color w:val="006100"/>
                <w:sz w:val="18"/>
                <w:szCs w:val="18"/>
              </w:rPr>
              <w:t>opimusten tekemisestä</w:t>
            </w:r>
          </w:p>
        </w:tc>
        <w:tc>
          <w:tcPr>
            <w:tcW w:w="136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1700"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4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3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2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8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38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käyttöoikeussopimusta koskevien hankintasopimusten tekemisestä; julkisen ja yksityisen sektorin kumppanuus; ja c) julkiset työt.</w:t>
            </w:r>
          </w:p>
        </w:tc>
      </w:tr>
      <w:tr w:rsidR="00B0093E">
        <w:trPr>
          <w:trHeight w:val="313"/>
          <w:jc w:val="center"/>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261</w:t>
            </w:r>
          </w:p>
        </w:tc>
        <w:tc>
          <w:tcPr>
            <w:tcW w:w="12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w:t>
            </w:r>
            <w:r>
              <w:rPr>
                <w:noProof/>
                <w:color w:val="006100"/>
                <w:sz w:val="18"/>
                <w:szCs w:val="18"/>
              </w:rPr>
              <w:t>nykyaikaistaminen ja häiriönsietokyvyn parantaminen – 16630_Kreetan pohjoinen valtatie (Β.Ο.Α.Κ.)</w:t>
            </w:r>
          </w:p>
        </w:tc>
        <w:tc>
          <w:tcPr>
            <w:tcW w:w="96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13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BOAKin rakennustöiden edistyminen</w:t>
            </w:r>
          </w:p>
        </w:tc>
        <w:tc>
          <w:tcPr>
            <w:tcW w:w="136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70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Valmistuneiden töiden prosenttiosuus, riippumattoman insinöörin hyväksymä ja infrastruktuuriministeriön hyväksymä</w:t>
            </w:r>
          </w:p>
        </w:tc>
        <w:tc>
          <w:tcPr>
            <w:tcW w:w="12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83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60</w:t>
            </w:r>
          </w:p>
        </w:tc>
        <w:tc>
          <w:tcPr>
            <w:tcW w:w="123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8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8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60 prosenttia ”Kreetan pohjoisakseli” -tien rakennustöiden arvosta saavutettu, minkä riippumaton insinööri on hyväksynyt osahanketta 2 varten: (Hersonissos–Neapolis) ja alahanke 3: (Neapolis–Agios Nikolaos).</w:t>
            </w:r>
          </w:p>
        </w:tc>
      </w:tr>
      <w:tr w:rsidR="00B0093E">
        <w:trPr>
          <w:trHeight w:val="313"/>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262</w:t>
            </w:r>
          </w:p>
        </w:tc>
        <w:tc>
          <w:tcPr>
            <w:tcW w:w="12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w:t>
            </w:r>
            <w:r>
              <w:rPr>
                <w:noProof/>
                <w:color w:val="006100"/>
                <w:sz w:val="18"/>
                <w:szCs w:val="18"/>
              </w:rPr>
              <w:t>alojen nykyaikaistaminen ja häiriönsietokyvyn parantaminen – 16630_Kreetan pohjoinen valtatie (Β.Ο.Α.Κ.)</w:t>
            </w:r>
          </w:p>
        </w:tc>
        <w:tc>
          <w:tcPr>
            <w:tcW w:w="965"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13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BOAK-hankkeen loppuun saattaminen</w:t>
            </w:r>
          </w:p>
        </w:tc>
        <w:tc>
          <w:tcPr>
            <w:tcW w:w="136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Riippumattoman insinöörin varmentamien töiden arvon 100 prosentin loppuunsaattaminen. </w:t>
            </w:r>
            <w:r>
              <w:rPr>
                <w:noProof/>
                <w:color w:val="006100"/>
                <w:sz w:val="18"/>
                <w:szCs w:val="18"/>
              </w:rPr>
              <w:t>Valmistumistodistuksen hyväksyy infrastruktuuriministeriö.</w:t>
            </w:r>
          </w:p>
        </w:tc>
        <w:tc>
          <w:tcPr>
            <w:tcW w:w="1700"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124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38"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123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89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Alahanke 2: (Hersonissos–Neapolis) ja alahanke 3: (Neapolis–Agios Nikolaos) valmis ja käynnissä. Ensimmäisen osahankkeen (Chania-Heraklion) osalta on saatava päätökseen seuraavat työt, j</w:t>
            </w:r>
            <w:r>
              <w:rPr>
                <w:noProof/>
                <w:color w:val="006100"/>
                <w:sz w:val="18"/>
                <w:szCs w:val="18"/>
              </w:rPr>
              <w:t>otka vastaavat 15:tä prosenttia hankkeen kustannuksista: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before="120" w:after="0" w:line="240" w:lineRule="auto"/>
              <w:jc w:val="both"/>
              <w:rPr>
                <w:rFonts w:eastAsia="Times New Roman" w:cs="Calibri"/>
                <w:noProof/>
                <w:color w:val="006100"/>
                <w:sz w:val="18"/>
                <w:szCs w:val="18"/>
              </w:rPr>
            </w:pPr>
            <w:r>
              <w:rPr>
                <w:noProof/>
                <w:color w:val="006100"/>
                <w:sz w:val="18"/>
                <w:szCs w:val="18"/>
              </w:rPr>
              <w:t>1. Maa- ja vesirakennustöiden loppuun saattaminen Chanian, Heraklionin ja Rethymnonin nykyisten ohikulkuteiden osalta.</w:t>
            </w:r>
          </w:p>
          <w:p w:rsidR="00B0093E" w:rsidRDefault="00762CA6">
            <w:pPr>
              <w:spacing w:after="0" w:line="240" w:lineRule="auto"/>
              <w:rPr>
                <w:rFonts w:eastAsia="Times New Roman" w:cs="Calibri"/>
                <w:noProof/>
                <w:color w:val="006100"/>
                <w:sz w:val="18"/>
                <w:szCs w:val="18"/>
              </w:rPr>
            </w:pPr>
            <w:r>
              <w:rPr>
                <w:noProof/>
                <w:color w:val="006100"/>
                <w:sz w:val="18"/>
                <w:szCs w:val="18"/>
              </w:rPr>
              <w:t>2. Maa- ja vesirakennustöiden loppuun saattaminen 21,9 km:n Vrises–Atsipopoulo-</w:t>
            </w:r>
            <w:r>
              <w:rPr>
                <w:noProof/>
                <w:color w:val="006100"/>
                <w:sz w:val="18"/>
                <w:szCs w:val="18"/>
              </w:rPr>
              <w:t>osuudella, joka kattaa kaksi eritasoliittymää:</w:t>
            </w:r>
          </w:p>
          <w:p w:rsidR="00B0093E" w:rsidRDefault="00762CA6">
            <w:pPr>
              <w:spacing w:after="0" w:line="240" w:lineRule="auto"/>
              <w:rPr>
                <w:rFonts w:eastAsia="Times New Roman" w:cs="Calibri"/>
                <w:noProof/>
                <w:color w:val="006100"/>
                <w:sz w:val="18"/>
                <w:szCs w:val="18"/>
              </w:rPr>
            </w:pPr>
            <w:r>
              <w:rPr>
                <w:noProof/>
                <w:color w:val="006100"/>
                <w:sz w:val="18"/>
                <w:szCs w:val="18"/>
              </w:rPr>
              <w:t>siltojen kokonaispituus: 2036 m</w:t>
            </w:r>
          </w:p>
          <w:p w:rsidR="00B0093E" w:rsidRDefault="00762CA6">
            <w:pPr>
              <w:spacing w:after="0" w:line="240" w:lineRule="auto"/>
              <w:rPr>
                <w:rFonts w:eastAsia="Times New Roman" w:cs="Calibri"/>
                <w:noProof/>
                <w:color w:val="006100"/>
                <w:sz w:val="18"/>
                <w:szCs w:val="18"/>
              </w:rPr>
            </w:pPr>
            <w:r>
              <w:rPr>
                <w:noProof/>
                <w:color w:val="006100"/>
                <w:sz w:val="18"/>
                <w:szCs w:val="18"/>
              </w:rPr>
              <w:t>Maanalaisten töiden kokonaispituus (purkamistyöt, perustukset, viemäröinti, tierummut, maatyöt ja niihin liittyvät työt): 10 215m</w:t>
            </w:r>
          </w:p>
          <w:p w:rsidR="00B0093E" w:rsidRDefault="00762CA6">
            <w:pPr>
              <w:spacing w:after="0" w:line="240" w:lineRule="auto"/>
              <w:rPr>
                <w:rFonts w:eastAsia="Times New Roman" w:cs="Calibri"/>
                <w:noProof/>
                <w:color w:val="006100"/>
                <w:sz w:val="18"/>
                <w:szCs w:val="18"/>
              </w:rPr>
            </w:pPr>
            <w:r>
              <w:rPr>
                <w:noProof/>
                <w:color w:val="006100"/>
                <w:sz w:val="18"/>
                <w:szCs w:val="18"/>
              </w:rPr>
              <w:t>3. Maa- ja vesirakennustöiden loppuun saattamin</w:t>
            </w:r>
            <w:r>
              <w:rPr>
                <w:noProof/>
                <w:color w:val="006100"/>
                <w:sz w:val="18"/>
                <w:szCs w:val="18"/>
              </w:rPr>
              <w:t>en 12,4 km:n Amari–Skaleta-osuudella, joka kattaa yhden eritasoliittymän:</w:t>
            </w:r>
          </w:p>
          <w:p w:rsidR="00B0093E" w:rsidRDefault="00762CA6">
            <w:pPr>
              <w:spacing w:after="0" w:line="240" w:lineRule="auto"/>
              <w:rPr>
                <w:rFonts w:eastAsia="Times New Roman" w:cs="Calibri"/>
                <w:noProof/>
                <w:color w:val="006100"/>
                <w:sz w:val="18"/>
                <w:szCs w:val="18"/>
              </w:rPr>
            </w:pPr>
            <w:r>
              <w:rPr>
                <w:noProof/>
                <w:color w:val="006100"/>
                <w:sz w:val="18"/>
                <w:szCs w:val="18"/>
              </w:rPr>
              <w:t>siltojen kokonaispituus: 710 m.</w:t>
            </w:r>
          </w:p>
          <w:p w:rsidR="00B0093E" w:rsidRDefault="00762CA6">
            <w:pPr>
              <w:spacing w:after="0" w:line="240" w:lineRule="auto"/>
              <w:rPr>
                <w:rFonts w:eastAsia="Times New Roman" w:cs="Calibri"/>
                <w:noProof/>
                <w:color w:val="006100"/>
                <w:sz w:val="18"/>
                <w:szCs w:val="18"/>
              </w:rPr>
            </w:pPr>
            <w:r>
              <w:rPr>
                <w:noProof/>
                <w:color w:val="006100"/>
                <w:sz w:val="18"/>
                <w:szCs w:val="18"/>
              </w:rPr>
              <w:t>Maanalaisten töiden kokonaispituus (purkamistyöt, perustukset, viemäröinti, tierummut, maatyöt ja niihin liittyvät työt): 4230 m</w:t>
            </w:r>
          </w:p>
          <w:p w:rsidR="00B0093E" w:rsidRDefault="00762CA6">
            <w:pPr>
              <w:spacing w:after="0" w:line="240" w:lineRule="auto"/>
              <w:rPr>
                <w:rFonts w:eastAsia="Times New Roman" w:cs="Calibri"/>
                <w:noProof/>
                <w:color w:val="006100"/>
                <w:sz w:val="18"/>
                <w:szCs w:val="18"/>
              </w:rPr>
            </w:pPr>
            <w:r>
              <w:rPr>
                <w:noProof/>
                <w:color w:val="006100"/>
                <w:sz w:val="18"/>
                <w:szCs w:val="18"/>
              </w:rPr>
              <w:t>Riippumattoman insinö</w:t>
            </w:r>
            <w:r>
              <w:rPr>
                <w:noProof/>
                <w:color w:val="006100"/>
                <w:sz w:val="18"/>
                <w:szCs w:val="18"/>
              </w:rPr>
              <w:t xml:space="preserve">örin ja infrastruktuuriministeriön on varmennettava valmistuminen. </w:t>
            </w:r>
          </w:p>
        </w:tc>
      </w:tr>
    </w:tbl>
    <w:p w:rsidR="00B0093E" w:rsidRDefault="00B0093E">
      <w:pPr>
        <w:spacing w:before="120" w:after="0" w:line="240" w:lineRule="auto"/>
        <w:jc w:val="both"/>
        <w:rPr>
          <w:rFonts w:ascii="Times New Roman" w:hAnsi="Times New Roman" w:cs="Times New Roman"/>
          <w:noProof/>
          <w:sz w:val="24"/>
        </w:rPr>
        <w:sectPr w:rsidR="00B0093E">
          <w:headerReference w:type="even" r:id="rId263"/>
          <w:headerReference w:type="default" r:id="rId264"/>
          <w:footerReference w:type="even" r:id="rId265"/>
          <w:footerReference w:type="default" r:id="rId266"/>
          <w:headerReference w:type="first" r:id="rId267"/>
          <w:footerReference w:type="first" r:id="rId268"/>
          <w:pgSz w:w="16839" w:h="11907" w:orient="landscape"/>
          <w:pgMar w:top="720" w:right="720" w:bottom="720" w:left="720" w:header="709" w:footer="709" w:gutter="0"/>
          <w:cols w:space="720"/>
          <w:docGrid w:linePitch="360"/>
        </w:sect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24: Infrastruktuuri</w:t>
      </w:r>
    </w:p>
    <w:p w:rsidR="00B0093E" w:rsidRDefault="00B0093E">
      <w:pPr>
        <w:spacing w:before="120" w:after="0" w:line="240" w:lineRule="auto"/>
        <w:jc w:val="both"/>
        <w:rPr>
          <w:rFonts w:ascii="Times New Roman" w:hAnsi="Times New Roman" w:cs="Times New Roman"/>
          <w:noProof/>
          <w:sz w:val="24"/>
        </w:rPr>
      </w:pPr>
    </w:p>
    <w:p w:rsidR="00B0093E" w:rsidRDefault="00762CA6">
      <w:pPr>
        <w:spacing w:after="0" w:line="240" w:lineRule="auto"/>
        <w:rPr>
          <w:rFonts w:ascii="Times New Roman" w:hAnsi="Times New Roman" w:cs="Times New Roman"/>
          <w:b/>
          <w:noProof/>
          <w:sz w:val="28"/>
          <w:szCs w:val="28"/>
        </w:rPr>
      </w:pPr>
      <w:r>
        <w:rPr>
          <w:rFonts w:ascii="Times New Roman" w:hAnsi="Times New Roman"/>
          <w:b/>
          <w:noProof/>
        </w:rPr>
        <w:t>Alaryhmä 1 (digitaalisaatio)</w:t>
      </w:r>
    </w:p>
    <w:p w:rsidR="00B0093E" w:rsidRDefault="00762CA6">
      <w:pPr>
        <w:numPr>
          <w:ilvl w:val="0"/>
          <w:numId w:val="31"/>
        </w:numPr>
        <w:spacing w:before="120" w:after="0" w:line="240" w:lineRule="auto"/>
        <w:jc w:val="both"/>
        <w:rPr>
          <w:rFonts w:ascii="Times New Roman" w:hAnsi="Times New Roman" w:cs="Times New Roman"/>
          <w:noProof/>
        </w:rPr>
      </w:pPr>
      <w:r>
        <w:rPr>
          <w:rFonts w:ascii="Times New Roman" w:hAnsi="Times New Roman"/>
          <w:noProof/>
        </w:rPr>
        <w:t xml:space="preserve">Älykäs infrastruktuuri, jossa keskitytään ympäristöön ja kulttuuriin </w:t>
      </w:r>
      <w:r>
        <w:rPr>
          <w:rFonts w:ascii="Times New Roman" w:hAnsi="Times New Roman"/>
          <w:noProof/>
        </w:rPr>
        <w:t>(tunniste: 16960)</w:t>
      </w:r>
    </w:p>
    <w:p w:rsidR="00B0093E" w:rsidRDefault="00762CA6">
      <w:pPr>
        <w:numPr>
          <w:ilvl w:val="0"/>
          <w:numId w:val="31"/>
        </w:numPr>
        <w:spacing w:before="120" w:after="0" w:line="240" w:lineRule="auto"/>
        <w:jc w:val="both"/>
        <w:rPr>
          <w:rFonts w:ascii="Times New Roman" w:hAnsi="Times New Roman" w:cs="Times New Roman"/>
          <w:noProof/>
        </w:rPr>
      </w:pPr>
      <w:r>
        <w:rPr>
          <w:rFonts w:ascii="Times New Roman" w:hAnsi="Times New Roman"/>
          <w:noProof/>
        </w:rPr>
        <w:t>Älykkäät sillat (tunniste: 16949)</w:t>
      </w:r>
    </w:p>
    <w:p w:rsidR="00B0093E" w:rsidRDefault="00762CA6">
      <w:pPr>
        <w:numPr>
          <w:ilvl w:val="0"/>
          <w:numId w:val="31"/>
        </w:numPr>
        <w:spacing w:before="120" w:after="0" w:line="240" w:lineRule="auto"/>
        <w:jc w:val="both"/>
        <w:rPr>
          <w:rFonts w:ascii="Times New Roman" w:hAnsi="Times New Roman" w:cs="Times New Roman"/>
          <w:noProof/>
        </w:rPr>
      </w:pPr>
      <w:r>
        <w:rPr>
          <w:rFonts w:ascii="Times New Roman" w:hAnsi="Times New Roman"/>
          <w:noProof/>
        </w:rPr>
        <w:t>Elektroniset tietullit (tunniste: 16950)</w:t>
      </w:r>
    </w:p>
    <w:p w:rsidR="00B0093E" w:rsidRDefault="00762CA6">
      <w:pPr>
        <w:numPr>
          <w:ilvl w:val="0"/>
          <w:numId w:val="31"/>
        </w:numPr>
        <w:spacing w:before="120" w:after="0" w:line="240" w:lineRule="auto"/>
        <w:ind w:left="714" w:hanging="357"/>
        <w:jc w:val="both"/>
        <w:rPr>
          <w:rFonts w:ascii="Times New Roman" w:hAnsi="Times New Roman" w:cs="Times New Roman"/>
          <w:noProof/>
        </w:rPr>
      </w:pPr>
      <w:r>
        <w:rPr>
          <w:rFonts w:ascii="Times New Roman" w:hAnsi="Times New Roman"/>
          <w:noProof/>
        </w:rPr>
        <w:t>Infrastruktuuri- ja liikenneministeriön menettelyjen yksinkertaistaminen (tunniste: 16786)</w:t>
      </w:r>
    </w:p>
    <w:p w:rsidR="00B0093E" w:rsidRDefault="00762CA6">
      <w:pPr>
        <w:numPr>
          <w:ilvl w:val="0"/>
          <w:numId w:val="31"/>
        </w:numPr>
        <w:spacing w:before="120" w:after="120" w:line="240" w:lineRule="auto"/>
        <w:jc w:val="both"/>
        <w:rPr>
          <w:rFonts w:ascii="Times New Roman" w:hAnsi="Times New Roman" w:cs="Times New Roman"/>
          <w:noProof/>
        </w:rPr>
      </w:pPr>
      <w:r>
        <w:rPr>
          <w:rFonts w:ascii="Times New Roman" w:hAnsi="Times New Roman"/>
          <w:noProof/>
        </w:rPr>
        <w:t>Infrastruktuuri- ja liikenneministeriön teknisten töiden ja rakenneresur</w:t>
      </w:r>
      <w:r>
        <w:rPr>
          <w:rFonts w:ascii="Times New Roman" w:hAnsi="Times New Roman"/>
          <w:noProof/>
        </w:rPr>
        <w:t>ssien hallinnointiin tarkoitettu integroitu digitaalinen ohjelmahallintajärjestelmä (tunniste:16937)</w:t>
      </w:r>
    </w:p>
    <w:p w:rsidR="00B0093E" w:rsidRDefault="00762CA6">
      <w:pPr>
        <w:spacing w:after="0" w:line="240" w:lineRule="auto"/>
        <w:rPr>
          <w:rFonts w:ascii="Times New Roman" w:hAnsi="Times New Roman" w:cs="Times New Roman"/>
          <w:b/>
          <w:noProof/>
          <w:sz w:val="28"/>
          <w:szCs w:val="28"/>
        </w:rPr>
      </w:pPr>
      <w:r>
        <w:rPr>
          <w:rFonts w:ascii="Times New Roman" w:hAnsi="Times New Roman"/>
          <w:b/>
          <w:noProof/>
        </w:rPr>
        <w:t>Alaryhmä 2 (rautatiet ja lentoasemat)</w:t>
      </w:r>
    </w:p>
    <w:p w:rsidR="00B0093E" w:rsidRDefault="00762CA6">
      <w:pPr>
        <w:numPr>
          <w:ilvl w:val="0"/>
          <w:numId w:val="30"/>
        </w:numPr>
        <w:spacing w:before="120" w:after="0" w:line="240" w:lineRule="auto"/>
        <w:jc w:val="both"/>
        <w:rPr>
          <w:rFonts w:ascii="Times New Roman" w:hAnsi="Times New Roman" w:cs="Times New Roman"/>
          <w:noProof/>
        </w:rPr>
      </w:pPr>
      <w:r>
        <w:rPr>
          <w:rFonts w:ascii="Times New Roman" w:hAnsi="Times New Roman"/>
          <w:noProof/>
        </w:rPr>
        <w:t>Kreikan rautatieverkkojärjestelmän ja -infrastruktuurin parannus- ja uudelleenjärjestelytoimet (tunniste: 16954)</w:t>
      </w:r>
    </w:p>
    <w:p w:rsidR="00B0093E" w:rsidRDefault="00762CA6">
      <w:pPr>
        <w:numPr>
          <w:ilvl w:val="0"/>
          <w:numId w:val="30"/>
        </w:numPr>
        <w:spacing w:before="120" w:after="0" w:line="240" w:lineRule="auto"/>
        <w:jc w:val="both"/>
        <w:rPr>
          <w:rFonts w:ascii="Times New Roman" w:hAnsi="Times New Roman" w:cs="Times New Roman"/>
          <w:noProof/>
        </w:rPr>
      </w:pPr>
      <w:r>
        <w:rPr>
          <w:rFonts w:ascii="Times New Roman" w:hAnsi="Times New Roman"/>
          <w:noProof/>
        </w:rPr>
        <w:t>Raut</w:t>
      </w:r>
      <w:r>
        <w:rPr>
          <w:rFonts w:ascii="Times New Roman" w:hAnsi="Times New Roman"/>
          <w:noProof/>
        </w:rPr>
        <w:t>atiealan organisaatiouudistus (tunniste: 16982)</w:t>
      </w:r>
    </w:p>
    <w:p w:rsidR="00B0093E" w:rsidRDefault="00762CA6">
      <w:pPr>
        <w:numPr>
          <w:ilvl w:val="0"/>
          <w:numId w:val="30"/>
        </w:numPr>
        <w:spacing w:before="120" w:after="0" w:line="240" w:lineRule="auto"/>
        <w:jc w:val="both"/>
        <w:rPr>
          <w:rFonts w:ascii="Times New Roman" w:hAnsi="Times New Roman" w:cs="Times New Roman"/>
          <w:noProof/>
        </w:rPr>
      </w:pPr>
      <w:r>
        <w:rPr>
          <w:rFonts w:ascii="Times New Roman" w:hAnsi="Times New Roman"/>
          <w:noProof/>
        </w:rPr>
        <w:t>Kreikan rautatiejärjestön digitaalisaatio (tunniste: 16959)</w:t>
      </w:r>
    </w:p>
    <w:p w:rsidR="00B0093E" w:rsidRDefault="00762CA6">
      <w:pPr>
        <w:numPr>
          <w:ilvl w:val="0"/>
          <w:numId w:val="32"/>
        </w:numPr>
        <w:spacing w:before="120" w:after="0" w:line="240" w:lineRule="auto"/>
        <w:jc w:val="both"/>
        <w:rPr>
          <w:rFonts w:ascii="Times New Roman" w:hAnsi="Times New Roman" w:cs="Times New Roman"/>
          <w:noProof/>
        </w:rPr>
      </w:pPr>
      <w:r>
        <w:rPr>
          <w:rFonts w:ascii="Times New Roman" w:hAnsi="Times New Roman"/>
          <w:noProof/>
        </w:rPr>
        <w:t>Länsi-Attikan esikaupunkiradan parantaminen (tunniste: 16892)</w:t>
      </w:r>
    </w:p>
    <w:p w:rsidR="00B0093E" w:rsidRDefault="00762CA6">
      <w:pPr>
        <w:numPr>
          <w:ilvl w:val="0"/>
          <w:numId w:val="32"/>
        </w:numPr>
        <w:spacing w:before="120" w:after="0" w:line="240" w:lineRule="auto"/>
        <w:jc w:val="both"/>
        <w:rPr>
          <w:rFonts w:ascii="Times New Roman" w:hAnsi="Times New Roman" w:cs="Times New Roman"/>
          <w:noProof/>
        </w:rPr>
      </w:pPr>
      <w:r>
        <w:rPr>
          <w:rFonts w:ascii="Times New Roman" w:hAnsi="Times New Roman"/>
          <w:noProof/>
        </w:rPr>
        <w:t>EASAn vaatimustenmukaisuusohjelma (tunniste: 16833)</w:t>
      </w:r>
    </w:p>
    <w:p w:rsidR="00B0093E" w:rsidRDefault="00B0093E">
      <w:pPr>
        <w:spacing w:before="120" w:after="0" w:line="240" w:lineRule="auto"/>
        <w:jc w:val="both"/>
        <w:rPr>
          <w:rFonts w:ascii="Times New Roman" w:hAnsi="Times New Roman" w:cs="Times New Roman"/>
          <w:noProof/>
        </w:rPr>
      </w:pPr>
    </w:p>
    <w:tbl>
      <w:tblPr>
        <w:tblW w:w="15871" w:type="dxa"/>
        <w:jc w:val="center"/>
        <w:tblLook w:val="04A0" w:firstRow="1" w:lastRow="0" w:firstColumn="1" w:lastColumn="0" w:noHBand="0" w:noVBand="1"/>
      </w:tblPr>
      <w:tblGrid>
        <w:gridCol w:w="1027"/>
        <w:gridCol w:w="2201"/>
        <w:gridCol w:w="1626"/>
        <w:gridCol w:w="2118"/>
        <w:gridCol w:w="2118"/>
        <w:gridCol w:w="1247"/>
        <w:gridCol w:w="973"/>
        <w:gridCol w:w="1006"/>
        <w:gridCol w:w="1387"/>
        <w:gridCol w:w="709"/>
        <w:gridCol w:w="4819"/>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Numero</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Toimenpide (uudistus tai </w:t>
            </w:r>
            <w:r>
              <w:rPr>
                <w:rFonts w:ascii="Times New Roman" w:hAnsi="Times New Roman"/>
                <w:b/>
                <w:bCs/>
                <w:noProof/>
                <w:sz w:val="18"/>
                <w:szCs w:val="18"/>
              </w:rPr>
              <w:t>investointi)</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Välitavoite/tavoite</w:t>
            </w:r>
          </w:p>
        </w:tc>
        <w:tc>
          <w:tcPr>
            <w:tcW w:w="1397"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Nimi</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Laadulliset indikaattorit   (välitavoitteiden osalta)</w:t>
            </w:r>
          </w:p>
        </w:tc>
        <w:tc>
          <w:tcPr>
            <w:tcW w:w="2690"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Määrälliset indikaattorit   (tavoitteiden osalta)</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Alustava toteutusaikataulu </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97"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973"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99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263</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16982_Rautatiealan organisaatiouudistus</w:t>
            </w:r>
          </w:p>
        </w:tc>
        <w:tc>
          <w:tcPr>
            <w:tcW w:w="106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Etenemissuunnitelma rautateiden uudistamiseksi</w:t>
            </w:r>
          </w:p>
        </w:tc>
        <w:tc>
          <w:tcPr>
            <w:tcW w:w="12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Etenemissuunnitelma</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Alaryhmä 2: Laadi</w:t>
            </w:r>
            <w:r>
              <w:rPr>
                <w:noProof/>
                <w:color w:val="006100"/>
                <w:sz w:val="18"/>
                <w:szCs w:val="18"/>
              </w:rPr>
              <w:t>taan etenemissuunnitelma, jossa esitetään OSEn ja ERGOSEn yritysten uudelleenorganisointia koskevat vaiheet.</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264</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16982_Rautatiealan organisaatiouudistus</w:t>
            </w:r>
          </w:p>
        </w:tc>
        <w:tc>
          <w:tcPr>
            <w:tcW w:w="106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Rautatiealan uudistuslaki</w:t>
            </w:r>
          </w:p>
        </w:tc>
        <w:tc>
          <w:tcPr>
            <w:tcW w:w="12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Primaari- ja sekundaarilainsäädännön voimaantulo </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Alaryhmä 2: Rautatiealan organisaatiouudistus;</w:t>
            </w:r>
          </w:p>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Kahden yhtiön uudistamista koskevan primaari- ja sekundaarilainsäädännön voimaantulo, jotta ne voivat kehittää, käyttää</w:t>
            </w:r>
            <w:r>
              <w:rPr>
                <w:noProof/>
                <w:color w:val="006100"/>
                <w:sz w:val="18"/>
                <w:szCs w:val="18"/>
              </w:rPr>
              <w:t xml:space="preserve"> ja ylläpitää nykyaikaista rautatieverkkoa.</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265</w:t>
            </w:r>
          </w:p>
        </w:tc>
        <w:tc>
          <w:tcPr>
            <w:tcW w:w="194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niiden häiriönsietokyvyn parantaminen —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16954 Kreikan rautatieverkkojärjestelmän ja -infrastruktuurin parannus- ja uudelleenjärjestelytoimet </w:t>
            </w:r>
          </w:p>
        </w:tc>
        <w:tc>
          <w:tcPr>
            <w:tcW w:w="106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Julkisen ja yksityisen sektorin kumppanuussopimus rautatieverkon parantamisesta ja uudelleenjärjestelystä</w:t>
            </w:r>
          </w:p>
        </w:tc>
        <w:tc>
          <w:tcPr>
            <w:tcW w:w="12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Alaryhmä 2:</w:t>
            </w:r>
            <w:r>
              <w:rPr>
                <w:rFonts w:ascii="Times New Roman" w:hAnsi="Times New Roman"/>
                <w:noProof/>
                <w:sz w:val="24"/>
              </w:rPr>
              <w:t xml:space="preserve"> </w:t>
            </w:r>
            <w:r>
              <w:rPr>
                <w:noProof/>
                <w:color w:val="006100"/>
                <w:sz w:val="18"/>
                <w:szCs w:val="18"/>
              </w:rPr>
              <w:t>Julkisen ja yksityisen sektorin kumppanuussopimus Kreikan rautatieverkon ja infrastruktuurin parantamiseksi ja uudelleensuuntaamiseksi a) suunnittelunopeuden palauttamiseksi infrastruktuurin kaikilla osuuksilla, b) matka-ajan lyhentämiseksi ja turvallisuud</w:t>
            </w:r>
            <w:r>
              <w:rPr>
                <w:noProof/>
                <w:color w:val="006100"/>
                <w:sz w:val="18"/>
                <w:szCs w:val="18"/>
              </w:rPr>
              <w:t xml:space="preserve">en tason parantamiseksi, c) nykyisen rautatieverkon parantamiseksi koko maassa ja d) rautatiepalvelujen laadun parantamiseksi.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rPr>
              <w:t>Päivityksen on katettava erityisesti] nykyisen rautatieinfrastruktuurin ja ylärakenteiden, sähkömekaanisten järjestelmien, merk</w:t>
            </w:r>
            <w:r>
              <w:rPr>
                <w:noProof/>
              </w:rPr>
              <w:t>inanto-, televiestintä- ja sähköistysjärjestelmien sekä muiden verkon toiminnan edellyttämien toimintojen parantaminen seuraavasti:</w:t>
            </w:r>
          </w:p>
          <w:p w:rsidR="00B0093E" w:rsidRDefault="00762CA6">
            <w:pPr>
              <w:spacing w:after="0" w:line="240" w:lineRule="auto"/>
              <w:rPr>
                <w:rFonts w:eastAsia="Times New Roman" w:cs="Calibri"/>
                <w:noProof/>
                <w:color w:val="006100"/>
                <w:sz w:val="18"/>
                <w:szCs w:val="18"/>
              </w:rPr>
            </w:pPr>
            <w:r>
              <w:rPr>
                <w:noProof/>
                <w:color w:val="006100"/>
                <w:sz w:val="18"/>
                <w:szCs w:val="18"/>
              </w:rPr>
              <w:t>1. Yhteyspisteiden verkosto Piraeus–Ateena–Thessaloniki ja pohjoisrajat.</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2. Yhteyspisteiden verkosto Makedonia–Traakia </w:t>
            </w:r>
          </w:p>
          <w:p w:rsidR="00B0093E" w:rsidRDefault="00762CA6">
            <w:pPr>
              <w:spacing w:after="0" w:line="240" w:lineRule="auto"/>
              <w:rPr>
                <w:rFonts w:eastAsia="Times New Roman" w:cs="Calibri"/>
                <w:noProof/>
                <w:color w:val="006100"/>
                <w:sz w:val="18"/>
                <w:szCs w:val="18"/>
              </w:rPr>
            </w:pPr>
            <w:r>
              <w:rPr>
                <w:noProof/>
                <w:color w:val="006100"/>
                <w:sz w:val="18"/>
                <w:szCs w:val="18"/>
              </w:rPr>
              <w:t>3. Y</w:t>
            </w:r>
            <w:r>
              <w:rPr>
                <w:noProof/>
                <w:color w:val="006100"/>
                <w:sz w:val="18"/>
                <w:szCs w:val="18"/>
              </w:rPr>
              <w:t xml:space="preserve">hteyspisteiden verkosto Ateenan lentoasema – Kiato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266</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häiriönsietokyvyn parantaminen – 16950_Sähköiset tietullit </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Sähköisten tietullien hankintasopimus</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hankintasopimusten </w:t>
            </w:r>
            <w:r>
              <w:rPr>
                <w:noProof/>
                <w:color w:val="006100"/>
                <w:sz w:val="18"/>
                <w:szCs w:val="18"/>
              </w:rPr>
              <w:t>tekemisestä</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Alaryhmä 1: Sopimus sähköisistä tietulleista yhtenäisen, kustannustehokkaan, avoimen ja käyttäjäystävällisen palvelun tarjoamiseksi.</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267</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häiriönsietokyvyn parantaminen – </w:t>
            </w:r>
            <w:r>
              <w:rPr>
                <w:noProof/>
                <w:color w:val="006100"/>
                <w:sz w:val="18"/>
                <w:szCs w:val="18"/>
              </w:rPr>
              <w:t>16833_EASAn vaatimustenmukaisuutta korjaavien toimien täytäntöönpano</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Euroopan unionin lentoturvallisuusviraston (EASA) alueellisilla lentoasemilla tekemästä työstä</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hankintasopimusten tekemisestä</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Alaryhmä 2: Euroopan</w:t>
            </w:r>
            <w:r>
              <w:rPr>
                <w:noProof/>
                <w:color w:val="006100"/>
                <w:sz w:val="18"/>
                <w:szCs w:val="18"/>
              </w:rPr>
              <w:t xml:space="preserve"> unionin lentoturvallisuusviraston (EASA) vaatimustenmukaisuusohjelma: Kaikki 13 alueellisen lentoaseman korjaustyöt uuden asetuksen (EU) 2018/1139 noudattamiseksi.</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268</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niiden häiriönsietokyvyn parantaminen — </w:t>
            </w:r>
          </w:p>
          <w:p w:rsidR="00B0093E" w:rsidRDefault="00762CA6">
            <w:pPr>
              <w:spacing w:after="0" w:line="240" w:lineRule="auto"/>
              <w:rPr>
                <w:rFonts w:eastAsia="Times New Roman" w:cs="Calibri"/>
                <w:noProof/>
                <w:color w:val="006100"/>
                <w:sz w:val="18"/>
                <w:szCs w:val="18"/>
              </w:rPr>
            </w:pPr>
            <w:r>
              <w:rPr>
                <w:noProof/>
                <w:color w:val="006100"/>
                <w:sz w:val="18"/>
                <w:szCs w:val="18"/>
              </w:rPr>
              <w:t>16982_Rautatiealan organisaatiouudistus</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Rautatieuudistuksen täytäntöönpano</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OSEn/ERGOSEn uudet yksiköt ovat täysin toimintavalmiita.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ERTMS toimii </w:t>
            </w:r>
            <w:r>
              <w:rPr>
                <w:noProof/>
                <w:color w:val="006100"/>
                <w:sz w:val="18"/>
                <w:szCs w:val="18"/>
              </w:rPr>
              <w:t>PATHE-järjestelmässä</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p w:rsidR="00B0093E" w:rsidRDefault="00B0093E">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Alaryhmä 2: Rautatiealan organisaatiouudistuksen toteuttaminen. Uusien OSE/ERGOSE-yksiköiden on oltava täysin toimintakykyisiä. Euroopan rautatieliikenteen hallintajärjestelmä (ERTMS) on otettava täysimääräisesti käyttöön y</w:t>
            </w:r>
            <w:r>
              <w:rPr>
                <w:noProof/>
                <w:color w:val="006100"/>
                <w:sz w:val="18"/>
                <w:szCs w:val="18"/>
              </w:rPr>
              <w:t>dinverkossa PATHE.</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269</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17-4.6. Keskeisten talouden alojen nykyaikaistaminen ja niiden häiriönsietokyvyn parantaminen — </w:t>
            </w:r>
          </w:p>
          <w:p w:rsidR="00B0093E" w:rsidRDefault="00762CA6">
            <w:pPr>
              <w:spacing w:after="0" w:line="240" w:lineRule="auto"/>
              <w:rPr>
                <w:rFonts w:eastAsia="Times New Roman" w:cs="Calibri"/>
                <w:noProof/>
                <w:color w:val="006100"/>
                <w:sz w:val="18"/>
                <w:szCs w:val="18"/>
              </w:rPr>
            </w:pPr>
            <w:r>
              <w:rPr>
                <w:noProof/>
                <w:color w:val="006100"/>
                <w:sz w:val="18"/>
                <w:szCs w:val="18"/>
              </w:rPr>
              <w:t>16833_EASAn vaatimustenmukaisuutta korjaavien toimien toteuttaminen</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EASAn töiden loppuun saattaminen </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cyan"/>
              </w:rPr>
            </w:pPr>
            <w:r>
              <w:rPr>
                <w:noProof/>
                <w:color w:val="006100"/>
                <w:sz w:val="18"/>
                <w:szCs w:val="18"/>
              </w:rPr>
              <w:t>EASAn hyväksyntä</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Alaryhmä 2: EASAn on saatettava päätökseen kaikki korjaustyöt 13 lentoasemalla ja hyväksyttävä ne.</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270</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niiden häiriönsietokyvyn parantaminen —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16954 Kreikan rautatieverkkojärjestelmän ja -infrastruktuurin parannus- ja uudelleenjärjestelytoimet </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Rautatieverkon parantaminen valmiina</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cyan"/>
              </w:rPr>
            </w:pPr>
            <w:r>
              <w:rPr>
                <w:noProof/>
                <w:color w:val="006100"/>
                <w:sz w:val="18"/>
                <w:szCs w:val="18"/>
              </w:rPr>
              <w:t>OSEn vahvistus siitä, että elementit on pantu täytäntöön ja vastaanotettu</w:t>
            </w:r>
          </w:p>
          <w:p w:rsidR="00B0093E" w:rsidRDefault="00B0093E">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Alaryhmä 2: Kreikan rautatieverkon parantamis- ja uudelleenjärjestelytoimien loppuun saattaminen.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271</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highlight w:val="yellow"/>
              </w:rPr>
            </w:pPr>
            <w:r>
              <w:rPr>
                <w:noProof/>
                <w:color w:val="006100"/>
                <w:sz w:val="18"/>
                <w:szCs w:val="18"/>
              </w:rPr>
              <w:t>17 - 4.6. Keskeisten talouden alojen nykyaikaistaminen ja häiriönsietokyvyn parantaminen – 16892_Länsi-Attikan esikaupunkirautatieverkon parantaminen</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Länsi-Attikan rautatien valmistuminen</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OSEn varmennuskertomus siitä, että OSE on saattanut hankkeen päätökseen ja vastaanottanut sen</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Alaryhmä 2: </w:t>
            </w:r>
            <w:r>
              <w:rPr>
                <w:noProof/>
              </w:rPr>
              <w:t>Ano Liossiasta Megaraan ulottuvan Länsi-Attikan esikaupunkirautatien loppuun saattaminen.</w:t>
            </w:r>
            <w:r>
              <w:rPr>
                <w:noProof/>
                <w:color w:val="006100"/>
                <w:sz w:val="18"/>
                <w:szCs w:val="18"/>
              </w:rPr>
              <w:t xml:space="preserve">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272</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17 - 4.6. Keskeisten talouden alojen nykyaikaistaminen ja häiriönsietokyvyn parantaminen – 16949_Älykkäät sillat</w:t>
            </w:r>
          </w:p>
          <w:p w:rsidR="00B0093E" w:rsidRDefault="00B0093E">
            <w:pPr>
              <w:spacing w:after="0" w:line="240" w:lineRule="auto"/>
              <w:rPr>
                <w:rFonts w:eastAsia="Times New Roman" w:cs="Calibri"/>
                <w:noProof/>
                <w:color w:val="006100"/>
                <w:sz w:val="18"/>
                <w:szCs w:val="18"/>
                <w:highlight w:val="yellow"/>
                <w:lang w:eastAsia="en-GB"/>
              </w:rPr>
            </w:pPr>
          </w:p>
          <w:p w:rsidR="00B0093E" w:rsidRDefault="00B0093E">
            <w:pPr>
              <w:spacing w:after="0" w:line="240" w:lineRule="auto"/>
              <w:rPr>
                <w:rFonts w:eastAsia="Times New Roman" w:cs="Calibri"/>
                <w:noProof/>
                <w:color w:val="006100"/>
                <w:sz w:val="18"/>
                <w:szCs w:val="18"/>
                <w:lang w:eastAsia="en-GB"/>
              </w:rPr>
            </w:pP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Älykkäitä siltoja koskevan hankkeen loppuun saattaminen</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Riippumattoman insinöörin laatima raportti, jonka </w:t>
            </w:r>
            <w:r>
              <w:rPr>
                <w:noProof/>
                <w:color w:val="006100"/>
                <w:sz w:val="18"/>
                <w:szCs w:val="18"/>
              </w:rPr>
              <w:t>infrastruktuuriministeriö on vahvistanut</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Alaryhmä 1: Saatetaan päätökseen älykkäitä siltoja koskeva hanke, joka tarjoaa siltojen älykästä ennaltaehkäisevää ylläpitopalvelua useilla maan alueilla.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273</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w:t>
            </w:r>
            <w:r>
              <w:rPr>
                <w:noProof/>
                <w:color w:val="006100"/>
                <w:sz w:val="18"/>
                <w:szCs w:val="18"/>
              </w:rPr>
              <w:t>nykyaikaistaminen ja häiriönsietokyvyn parantaminen – 16950_Sähköiset tietullit</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Sähköisiä tietulleja koskevan hankkeen loppuun saattaminen</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Riippumattoman insinöörin laatima raportti, jonka infrastruktuuriministeriö on vahvistanut</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Saatetaan valmiiksi ja otetaan käyttöön yhteentoimiva sähköinen tiemaksujärjestelmä, joka mahdollistaa kaikkien Kreikan teillä liikkuvien ajoneuvojen automaattisen sähköisen tiemaksujen keruun.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274</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w:t>
            </w:r>
            <w:r>
              <w:rPr>
                <w:noProof/>
                <w:color w:val="006100"/>
                <w:sz w:val="18"/>
                <w:szCs w:val="18"/>
              </w:rPr>
              <w:t xml:space="preserve"> häiriönsietokyvyn parantaminen – 16959_Kreikan rautatiejärjestön digitaalisaatio</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OSE-hankkeen digitalisaation loppuun saattaminen</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OSE-hankkeen loppuraportti.</w:t>
            </w:r>
          </w:p>
          <w:p w:rsidR="00B0093E" w:rsidRDefault="00B0093E">
            <w:pPr>
              <w:spacing w:after="0" w:line="240" w:lineRule="auto"/>
              <w:rPr>
                <w:rFonts w:eastAsia="Times New Roman" w:cs="Calibri"/>
                <w:noProof/>
                <w:color w:val="006100"/>
                <w:sz w:val="18"/>
                <w:szCs w:val="18"/>
                <w:lang w:eastAsia="en-GB"/>
              </w:rPr>
            </w:pPr>
          </w:p>
          <w:p w:rsidR="00B0093E" w:rsidRDefault="00B0093E">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OSE-digitalisaatiohankkeen loppuun saattaminen: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Lippujen </w:t>
            </w:r>
            <w:r>
              <w:rPr>
                <w:noProof/>
                <w:color w:val="006100"/>
                <w:sz w:val="18"/>
                <w:szCs w:val="18"/>
              </w:rPr>
              <w:t>hallinnointi- ja telematiikkajärjestelmä,: vähintään 60 prosenttia matkustajista käyttää sähköisiä lippuja;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2. Älyasemien infrastruktuuri;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3. Asiakaskokemuspalvelut;</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4. Nopeita internetyhteyksiä koskevan televerkon toteuttaminen ja toiminta junissa ja a</w:t>
            </w:r>
            <w:r>
              <w:rPr>
                <w:noProof/>
                <w:color w:val="006100"/>
                <w:sz w:val="18"/>
                <w:szCs w:val="18"/>
              </w:rPr>
              <w:t>semilla;</w:t>
            </w:r>
          </w:p>
          <w:p w:rsidR="00B0093E" w:rsidRDefault="00762CA6">
            <w:pPr>
              <w:spacing w:after="0" w:line="240" w:lineRule="auto"/>
              <w:rPr>
                <w:rFonts w:eastAsia="Times New Roman" w:cs="Calibri"/>
                <w:noProof/>
                <w:color w:val="006100"/>
                <w:sz w:val="18"/>
                <w:szCs w:val="18"/>
              </w:rPr>
            </w:pPr>
            <w:r>
              <w:rPr>
                <w:noProof/>
                <w:color w:val="006100"/>
                <w:sz w:val="18"/>
                <w:szCs w:val="18"/>
              </w:rPr>
              <w:t>5. OSEn ajoneuvon telemaattinen järjestelmä</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Asennuspalvelut; ja</w:t>
            </w:r>
          </w:p>
          <w:p w:rsidR="00B0093E" w:rsidRDefault="00762CA6">
            <w:pPr>
              <w:spacing w:after="0" w:line="240" w:lineRule="auto"/>
              <w:rPr>
                <w:rFonts w:eastAsia="Times New Roman" w:cs="Calibri"/>
                <w:noProof/>
                <w:color w:val="006100"/>
                <w:sz w:val="18"/>
                <w:szCs w:val="18"/>
              </w:rPr>
            </w:pPr>
            <w:r>
              <w:rPr>
                <w:noProof/>
                <w:color w:val="006100"/>
                <w:sz w:val="18"/>
                <w:szCs w:val="18"/>
              </w:rPr>
              <w:t>6. Koulutuspalvelut.</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275</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häiriönsietokyvyn parantaminen – 16960_Älykäs infrastruktuuri, jossa keskitytään ympäristöön ja </w:t>
            </w:r>
            <w:r>
              <w:rPr>
                <w:noProof/>
                <w:color w:val="006100"/>
                <w:sz w:val="18"/>
                <w:szCs w:val="18"/>
              </w:rPr>
              <w:t>kulttuuriin</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Älykästä infrastruktuuria koskevan hankkeen loppuun saattaminen</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Päätökseen saatetut hankkeet ja riippumattoman insinöörin raportti, jonka infrastruktuuriministeriö on ratifioinut</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 päätökseen saatetut osahankkeet:</w:t>
            </w:r>
          </w:p>
          <w:p w:rsidR="00B0093E" w:rsidRDefault="00762CA6">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 xml:space="preserve"> Vesistöjen rajaamista koskeva tietojärjestelmä, jolla edistetään luonnon ja biologisen monimuotoisuuden suojelua;</w:t>
            </w:r>
          </w:p>
          <w:p w:rsidR="00B0093E" w:rsidRDefault="00762CA6">
            <w:pPr>
              <w:spacing w:after="0" w:line="240" w:lineRule="auto"/>
              <w:rPr>
                <w:rFonts w:eastAsia="Times New Roman" w:cs="Calibri"/>
                <w:noProof/>
                <w:color w:val="006100"/>
                <w:sz w:val="18"/>
                <w:szCs w:val="18"/>
              </w:rPr>
            </w:pPr>
            <w:r>
              <w:rPr>
                <w:noProof/>
                <w:color w:val="006100"/>
                <w:sz w:val="18"/>
                <w:szCs w:val="18"/>
              </w:rPr>
              <w:t>2. Digitaalinen pankki rakennuspaikkoja koskevia liiketoimia varten;</w:t>
            </w:r>
          </w:p>
          <w:p w:rsidR="00B0093E" w:rsidRDefault="00762CA6">
            <w:pPr>
              <w:spacing w:after="0" w:line="240" w:lineRule="auto"/>
              <w:rPr>
                <w:rFonts w:eastAsia="Times New Roman" w:cs="Calibri"/>
                <w:noProof/>
                <w:color w:val="006100"/>
                <w:sz w:val="18"/>
                <w:szCs w:val="18"/>
              </w:rPr>
            </w:pPr>
            <w:r>
              <w:rPr>
                <w:noProof/>
                <w:color w:val="006100"/>
                <w:sz w:val="18"/>
                <w:szCs w:val="18"/>
              </w:rPr>
              <w:t>3. Yhteinen digitaalinen kartta;</w:t>
            </w:r>
          </w:p>
          <w:p w:rsidR="00B0093E" w:rsidRDefault="00762CA6">
            <w:pPr>
              <w:spacing w:after="0" w:line="240" w:lineRule="auto"/>
              <w:rPr>
                <w:rFonts w:eastAsia="Times New Roman" w:cs="Calibri"/>
                <w:noProof/>
                <w:color w:val="006100"/>
                <w:sz w:val="18"/>
                <w:szCs w:val="18"/>
              </w:rPr>
            </w:pPr>
            <w:r>
              <w:rPr>
                <w:noProof/>
                <w:color w:val="006100"/>
                <w:sz w:val="18"/>
                <w:szCs w:val="18"/>
              </w:rPr>
              <w:t>4. Ilman epäpuhtauksien ja meren pilaan</w:t>
            </w:r>
            <w:r>
              <w:rPr>
                <w:noProof/>
                <w:color w:val="006100"/>
                <w:sz w:val="18"/>
                <w:szCs w:val="18"/>
              </w:rPr>
              <w:t>tumisen digitaalinen mittaaminen ja seuranta ympäristöjalanjäljen optimoimiseksi ja digitaaliset ympäristötarkastukset ilmanlaadun parantamiseksi; ja</w:t>
            </w:r>
          </w:p>
          <w:p w:rsidR="00B0093E" w:rsidRDefault="00762CA6">
            <w:pPr>
              <w:spacing w:after="0" w:line="240" w:lineRule="auto"/>
              <w:rPr>
                <w:rFonts w:eastAsia="Times New Roman" w:cs="Calibri"/>
                <w:noProof/>
                <w:color w:val="006100"/>
                <w:sz w:val="18"/>
                <w:szCs w:val="18"/>
              </w:rPr>
            </w:pPr>
            <w:r>
              <w:rPr>
                <w:noProof/>
                <w:color w:val="006100"/>
                <w:sz w:val="18"/>
                <w:szCs w:val="18"/>
              </w:rPr>
              <w:t>5. Älykäs infrastruktuuri ja vuorovaikutteisten digitaalisten palvelujen ja digitaalisen sisällön tuottami</w:t>
            </w:r>
            <w:r>
              <w:rPr>
                <w:noProof/>
                <w:color w:val="006100"/>
                <w:sz w:val="18"/>
                <w:szCs w:val="18"/>
              </w:rPr>
              <w:t>sen kehittäminen kulttuuriesineiden edistämiseksi lisäämällä ja virtuaalisella todellisuudella museoita.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276</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häiriönsietokyvyn parantaminen – 16937_Integroitu digitaalinen </w:t>
            </w:r>
            <w:r>
              <w:rPr>
                <w:noProof/>
                <w:color w:val="006100"/>
                <w:sz w:val="18"/>
                <w:szCs w:val="18"/>
              </w:rPr>
              <w:t>ohjelmahallintajärjestelmä infrastruktuuri- ja liikenneministeriön teknisten töiden ja rakenneresurssien hallinnointia varten</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Infrastruktuuriministeriön PMIS-järjestelmän loppuun saattaminen</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Infrastruktuuriministeriön loppukertomus</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Huipputason PMIS-tietojärjestelmän (Portfolio Management Information System) tarjoaminen infrastruktuuriministeriötä varten.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277</w:t>
            </w:r>
          </w:p>
        </w:tc>
        <w:tc>
          <w:tcPr>
            <w:tcW w:w="194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häiriönsietokyvyn parantaminen – 16786_Infrastruktuuri- ja </w:t>
            </w:r>
            <w:r>
              <w:rPr>
                <w:noProof/>
                <w:color w:val="006100"/>
                <w:sz w:val="18"/>
                <w:szCs w:val="18"/>
              </w:rPr>
              <w:t>liikenneministeriön menettelyjen yksinkertaistaminen;</w:t>
            </w:r>
          </w:p>
        </w:tc>
        <w:tc>
          <w:tcPr>
            <w:tcW w:w="106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Liikenneministeriön menettelyjen yksinkertaistaminen</w:t>
            </w:r>
          </w:p>
        </w:tc>
        <w:tc>
          <w:tcPr>
            <w:tcW w:w="12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Infrastruktuuriministeriön loppukertomus</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Digitalisaatiota ja menettelyjen yksinkertaistamista koskevan uuden toimintamallin </w:t>
            </w:r>
            <w:r>
              <w:rPr>
                <w:noProof/>
                <w:color w:val="006100"/>
                <w:sz w:val="18"/>
                <w:szCs w:val="18"/>
              </w:rPr>
              <w:t>voimaantulo.</w:t>
            </w:r>
          </w:p>
        </w:tc>
      </w:tr>
    </w:tbl>
    <w:p w:rsidR="00B0093E" w:rsidRDefault="00B0093E">
      <w:pPr>
        <w:spacing w:before="120" w:after="0" w:line="240" w:lineRule="auto"/>
        <w:jc w:val="both"/>
        <w:rPr>
          <w:rFonts w:ascii="Times New Roman" w:hAnsi="Times New Roman" w:cs="Times New Roman"/>
          <w:noProof/>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25: Kulttuuri</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Kulttuurialan työvoimauudistus (tunniste:16715)</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Kulttuuri kasvun vauhdittajana (tunniste: 16293)</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Vedenalaisten antiikkiesineiden museo (tunniste: 16486)</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”Reseptitaiteen” käyttö, sosiaalisen yhteenkuuluvuuden edistäminen </w:t>
      </w:r>
      <w:r>
        <w:rPr>
          <w:rFonts w:ascii="Times New Roman" w:hAnsi="Times New Roman"/>
          <w:noProof/>
          <w:sz w:val="24"/>
        </w:rPr>
        <w:t>ja hopeatalouden hyödyntäminen (tunniste: 16735)</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Infrastruktuurin parantaminen, laitteiden uudistaminen ja HOCREDin tarjoamien palvelujen laadun parantaminen (tunniste: 16536)</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Luonnon ja kulttuurin pääväylät (tunniste: 16970)</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Kulttuurimuistomerkkien ja ark</w:t>
      </w:r>
      <w:r>
        <w:rPr>
          <w:rFonts w:ascii="Times New Roman" w:hAnsi="Times New Roman"/>
          <w:noProof/>
          <w:sz w:val="24"/>
        </w:rPr>
        <w:t>eologisten kohteiden suojelu ilmastonmuutokselta (2. ryhmä) (tunniste: 16433)</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Korkea-asteen taidekoulutuksen parantaminen (tunniste: 16725)</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Kulttuurireitit: merkittävät arkeologiset kohteet ja muistomerkit (tunniste: 16485)</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Ennallistaminen – Akropoliin mui</w:t>
      </w:r>
      <w:r>
        <w:rPr>
          <w:rFonts w:ascii="Times New Roman" w:hAnsi="Times New Roman"/>
          <w:noProof/>
          <w:sz w:val="24"/>
        </w:rPr>
        <w:t>stomerkkien kunnostaminen, säilyttäminen ja parantaminen (tunniste: 16435)</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Luovien alojen ja kulttuurialan ammattilaisten taitojen kehittäminen (tunniste: 16723)</w:t>
      </w:r>
    </w:p>
    <w:p w:rsidR="00B0093E" w:rsidRDefault="00B0093E">
      <w:pPr>
        <w:spacing w:before="120" w:after="0" w:line="240" w:lineRule="auto"/>
        <w:jc w:val="both"/>
        <w:rPr>
          <w:rFonts w:ascii="Times New Roman" w:hAnsi="Times New Roman" w:cs="Times New Roman"/>
          <w:noProof/>
          <w:sz w:val="24"/>
        </w:rPr>
      </w:pPr>
    </w:p>
    <w:tbl>
      <w:tblPr>
        <w:tblW w:w="15871" w:type="dxa"/>
        <w:jc w:val="center"/>
        <w:tblLook w:val="04A0" w:firstRow="1" w:lastRow="0" w:firstColumn="1" w:lastColumn="0" w:noHBand="0" w:noVBand="1"/>
      </w:tblPr>
      <w:tblGrid>
        <w:gridCol w:w="1027"/>
        <w:gridCol w:w="2507"/>
        <w:gridCol w:w="1626"/>
        <w:gridCol w:w="2050"/>
        <w:gridCol w:w="1885"/>
        <w:gridCol w:w="1397"/>
        <w:gridCol w:w="1058"/>
        <w:gridCol w:w="1006"/>
        <w:gridCol w:w="1387"/>
        <w:gridCol w:w="851"/>
        <w:gridCol w:w="3950"/>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Numero</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Toimenpide (uudistus tai investointi)</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Välitavoite/tavoite</w:t>
            </w:r>
          </w:p>
        </w:tc>
        <w:tc>
          <w:tcPr>
            <w:tcW w:w="1291"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Nimi</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Laadulliset </w:t>
            </w:r>
            <w:r>
              <w:rPr>
                <w:rFonts w:ascii="Times New Roman" w:hAnsi="Times New Roman"/>
                <w:b/>
                <w:bCs/>
                <w:noProof/>
                <w:sz w:val="18"/>
                <w:szCs w:val="18"/>
              </w:rPr>
              <w:t>indikaattorit   (välitavoitteiden osalta)</w:t>
            </w:r>
          </w:p>
        </w:tc>
        <w:tc>
          <w:tcPr>
            <w:tcW w:w="3447"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Määrälliset indikaattorit   (tavoitteiden osalta)</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Alustava toteutusaikataulu </w:t>
            </w:r>
          </w:p>
        </w:tc>
        <w:tc>
          <w:tcPr>
            <w:tcW w:w="39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91"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9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105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99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1134"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278</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selviytymiskyvyn parantaminen – 16715_Laborin uudistaminen kulttuurialalla</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Kulttuurialan työvoimauudistusta koskeva lainsäädäntö</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Lainsäädännön ja johdetun oike</w:t>
            </w:r>
            <w:r>
              <w:rPr>
                <w:noProof/>
                <w:color w:val="006100"/>
                <w:sz w:val="18"/>
                <w:szCs w:val="18"/>
              </w:rPr>
              <w:t>uden voimaantulo ja järjestelmän perustaminen ”luovan tai kulttuurialan ammattilaisen” aseman uskottavaksi arvioimiseksi</w:t>
            </w:r>
          </w:p>
        </w:tc>
        <w:tc>
          <w:tcPr>
            <w:tcW w:w="139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39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Kulttuurialan työvoimauudistusta koskevan lainsäädännön voimaantulo, mukaan lukien ”luovien tai kulttuurialan ammattilaisten</w:t>
            </w:r>
            <w:r>
              <w:rPr>
                <w:noProof/>
                <w:color w:val="006100"/>
                <w:sz w:val="18"/>
                <w:szCs w:val="18"/>
              </w:rPr>
              <w:t>” aseman määrittely sekä oikeasuhteiset vero- ja sosiaaliturvakannustimet.</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279</w:t>
            </w:r>
          </w:p>
        </w:tc>
        <w:tc>
          <w:tcPr>
            <w:tcW w:w="161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16486_Vedenalaisten antiikkiesineiden museo</w:t>
            </w:r>
          </w:p>
        </w:tc>
        <w:tc>
          <w:tcPr>
            <w:tcW w:w="10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Vedenalaisten </w:t>
            </w:r>
            <w:r>
              <w:rPr>
                <w:noProof/>
                <w:color w:val="006100"/>
                <w:sz w:val="18"/>
                <w:szCs w:val="18"/>
              </w:rPr>
              <w:t>antiikkiesineiden museon hankintasopimus</w:t>
            </w:r>
          </w:p>
        </w:tc>
        <w:tc>
          <w:tcPr>
            <w:tcW w:w="154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vedenalaisten antiikkiesineiden museon palkitsemisesta ja yksityiskohtainen aikataulu vedenalaisten antiikkiesineiden museon rakennustöiden osalta</w:t>
            </w:r>
          </w:p>
        </w:tc>
        <w:tc>
          <w:tcPr>
            <w:tcW w:w="139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39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Sopimuksen tekeminen vedenalaisten antiikkiesine</w:t>
            </w:r>
            <w:r>
              <w:rPr>
                <w:noProof/>
                <w:color w:val="006100"/>
                <w:sz w:val="18"/>
                <w:szCs w:val="18"/>
              </w:rPr>
              <w:t xml:space="preserve">iden museossa. </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280</w:t>
            </w:r>
          </w:p>
        </w:tc>
        <w:tc>
          <w:tcPr>
            <w:tcW w:w="161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niiden häiriönsietokyvyn parantaminen – 16293_Kulttuuri kasvun vauhdittajana</w:t>
            </w:r>
          </w:p>
        </w:tc>
        <w:tc>
          <w:tcPr>
            <w:tcW w:w="10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Kreikan nykykulttuuribrändi ja -alusta</w:t>
            </w:r>
          </w:p>
        </w:tc>
        <w:tc>
          <w:tcPr>
            <w:tcW w:w="154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sz w:val="18"/>
                <w:szCs w:val="18"/>
              </w:rPr>
            </w:pPr>
            <w:r>
              <w:rPr>
                <w:noProof/>
                <w:color w:val="006100"/>
                <w:sz w:val="18"/>
                <w:szCs w:val="18"/>
              </w:rPr>
              <w:t xml:space="preserve">Raportti Kreikan nykykulttuurin brändäämisestä, </w:t>
            </w:r>
            <w:r>
              <w:rPr>
                <w:noProof/>
                <w:color w:val="006100"/>
                <w:sz w:val="18"/>
                <w:szCs w:val="18"/>
              </w:rPr>
              <w:t>vihreän muotoilun alusta, kreikkalainen musiikkitietokanta ja elvytetty kreikkalaisen kirjallisuuden käännösohjelma.</w:t>
            </w:r>
          </w:p>
        </w:tc>
        <w:tc>
          <w:tcPr>
            <w:tcW w:w="139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39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Kulttuuri kasvun vauhdittajana: Kreikan nykykulttuurin brändin kehittäminen, Kreikan muotoilualustan, kreikkalaisen musiikkitiet</w:t>
            </w:r>
            <w:r>
              <w:rPr>
                <w:noProof/>
                <w:color w:val="006100"/>
                <w:sz w:val="18"/>
                <w:szCs w:val="18"/>
              </w:rPr>
              <w:t xml:space="preserve">okannan ja päivitetyn kreikkalaisen kirjallisuuden käännösohjelman perustaminen </w:t>
            </w: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281</w:t>
            </w:r>
          </w:p>
        </w:tc>
        <w:tc>
          <w:tcPr>
            <w:tcW w:w="161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niiden häiriönsietokyvyn parantaminen – 16723_Luovien alojen ja kulttuurialan ammattilaisten taitojen </w:t>
            </w:r>
            <w:r>
              <w:rPr>
                <w:noProof/>
                <w:color w:val="006100"/>
                <w:sz w:val="18"/>
                <w:szCs w:val="18"/>
              </w:rPr>
              <w:t>kehittäminen</w:t>
            </w:r>
          </w:p>
        </w:tc>
        <w:tc>
          <w:tcPr>
            <w:tcW w:w="10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9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Luovien alojen ja kulttuurialan ammattilaisten taitojen kehittäminen (keskipitkä aikaväli)</w:t>
            </w:r>
          </w:p>
        </w:tc>
        <w:tc>
          <w:tcPr>
            <w:tcW w:w="154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39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Niiden rekisteröityjen kulttuurialan ja luovien alojen ammattilaisten lukumäärä, jotka ovat suorittaneet ensimmäisen koulutusjakson</w:t>
            </w:r>
          </w:p>
        </w:tc>
        <w:tc>
          <w:tcPr>
            <w:tcW w:w="105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9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1 800</w:t>
            </w:r>
          </w:p>
        </w:tc>
        <w:tc>
          <w:tcPr>
            <w:tcW w:w="113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395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Luovien alojen ja kulttuurialan ammattilaisten taitojen kehittäminen: Kulttuurialan ja luovien alojen ammattilaisten ensimmäisen koulutusjakson loppuun saattaminen, vähintään 1 800 Kreikan rekisteröityneen ammattilaisen koulutus</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282</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w:t>
            </w:r>
            <w:r>
              <w:rPr>
                <w:noProof/>
                <w:color w:val="006100"/>
                <w:sz w:val="18"/>
                <w:szCs w:val="18"/>
              </w:rPr>
              <w:t>Keskeisten talouden alojen nykyaikaistaminen ja selviytymiskyvyn parantaminen – 16970_Luonnon ja kulttuurin pääväylät</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Luonnon ja kulttuurin moottoritiet</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Loppukertomus, mukaan lukien maksutositteet ja investointien tarkastusten tulokset, </w:t>
            </w:r>
            <w:r>
              <w:rPr>
                <w:noProof/>
                <w:color w:val="006100"/>
                <w:sz w:val="18"/>
                <w:szCs w:val="18"/>
              </w:rPr>
              <w:t>tuensaajien antama todistus investoinnin valmistumisesta</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Luontoa ja kulttuuria koskevien valtateiden loppuun saattaminen: investoinnit vähintään 28 muistomerkin fyysiseen infrastruktuuriin ja 5G-infrastruktuurin asentaminen matkailijoiden kannal</w:t>
            </w:r>
            <w:r>
              <w:rPr>
                <w:noProof/>
                <w:color w:val="006100"/>
                <w:sz w:val="18"/>
                <w:szCs w:val="18"/>
              </w:rPr>
              <w:t>ta erityisen luonnollisille ja kulttuurisille reiteille, joita täydennetään kehittämällä digitaalisia palveluja, sähköisen kaupankäynnin palveluja ja paikallisten tavaroiden ja palvelujen tarjoajien sertifiointia.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283</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w:t>
            </w:r>
            <w:r>
              <w:rPr>
                <w:noProof/>
                <w:color w:val="006100"/>
                <w:sz w:val="18"/>
                <w:szCs w:val="18"/>
              </w:rPr>
              <w:t>nykyaikaistaminen ja niiden häiriönsietokyvyn parantaminen – 16293_Kulttuuri kasvun vauhdittajana</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Kulttuuri kasvun edistäjänä</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Kaikkien alahankkeiden loppuun saattamista koskevat raportit, mukaan lukien maksutositteet ja investointien tarkastust</w:t>
            </w:r>
            <w:r>
              <w:rPr>
                <w:noProof/>
                <w:color w:val="006100"/>
                <w:sz w:val="18"/>
                <w:szCs w:val="18"/>
              </w:rPr>
              <w:t>en tulokset, tuensaajien antama todistus investoinnin valmistumisesta</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Vuoden 2023 toisella neljänneksellä katettujen alahankkeiden loppuun saattaminen kasvun vauhdittajana ja jäljellä olevien kulttuurituotannon ja -jakelun digitalisaatiota </w:t>
            </w:r>
            <w:r>
              <w:rPr>
                <w:noProof/>
                <w:color w:val="006100"/>
                <w:sz w:val="18"/>
                <w:szCs w:val="18"/>
              </w:rPr>
              <w:t>koskevien sopimusten loppuun saattaminen: tuki kulttuurialan ja luovien toimialojen alueellisille strategioille;</w:t>
            </w:r>
          </w:p>
          <w:p w:rsidR="00B0093E" w:rsidRDefault="00762CA6">
            <w:pPr>
              <w:spacing w:after="0" w:line="240" w:lineRule="auto"/>
              <w:rPr>
                <w:rFonts w:eastAsia="Times New Roman" w:cs="Calibri"/>
                <w:noProof/>
                <w:color w:val="006100"/>
                <w:sz w:val="18"/>
                <w:szCs w:val="18"/>
              </w:rPr>
            </w:pPr>
            <w:r>
              <w:rPr>
                <w:noProof/>
                <w:color w:val="006100"/>
                <w:sz w:val="18"/>
                <w:szCs w:val="18"/>
              </w:rPr>
              <w:t>tuki paikallisille käsiteollisuusekosysteemeille;</w:t>
            </w:r>
          </w:p>
          <w:p w:rsidR="00B0093E" w:rsidRDefault="00762CA6">
            <w:pPr>
              <w:spacing w:after="0" w:line="240" w:lineRule="auto"/>
              <w:rPr>
                <w:rFonts w:eastAsia="Times New Roman" w:cs="Calibri"/>
                <w:noProof/>
                <w:color w:val="006100"/>
                <w:sz w:val="18"/>
                <w:szCs w:val="18"/>
              </w:rPr>
            </w:pPr>
            <w:r>
              <w:rPr>
                <w:noProof/>
                <w:color w:val="006100"/>
                <w:sz w:val="18"/>
                <w:szCs w:val="18"/>
              </w:rPr>
              <w:t>arkeologisten kohteiden ja muistomerkkien käytön laajentaminen tapahtumapaikkoina ja tapahtum</w:t>
            </w:r>
            <w:r>
              <w:rPr>
                <w:noProof/>
                <w:color w:val="006100"/>
                <w:sz w:val="18"/>
                <w:szCs w:val="18"/>
              </w:rPr>
              <w:t>apaikkoina; elokuvateollisuuden edistäminen. Julkista infrastruktuuria koskevien energiatehokkaiden peruskorjausten ja energiatehokkuustoimenpiteiden loppuun saattaminen, demonstrointihankkeet ja tukitoimenpiteet olemassa olevien julkisten rakennusten kunn</w:t>
            </w:r>
            <w:r>
              <w:rPr>
                <w:noProof/>
                <w:color w:val="006100"/>
                <w:sz w:val="18"/>
                <w:szCs w:val="18"/>
              </w:rPr>
              <w:t>ostamisella.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284</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niiden häiriönsietokyvyn parantaminen – 16536_Infrastruktuurien parantaminen, laitteiden uudistaminen ja HOCRED-keskusten tarjoamien palvelujen laadun parantaminen – entiset ARF </w:t>
            </w:r>
            <w:r>
              <w:rPr>
                <w:noProof/>
                <w:color w:val="006100"/>
                <w:sz w:val="18"/>
                <w:szCs w:val="18"/>
              </w:rPr>
              <w:t>Stores (paikalla ja sähköisesti)</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Kreikan kulttuurivarojen kehittämisjärjestön (HOCRED) päivitys </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Loppuraportit, mukaan lukien maksutositteet ja investointien tarkastusten tulokset, tuensaajien antama todistus investoinnin valmistumisesta.</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Kreikan kulttuurivarojen kehittämisjärjestön (HOCRED) toiminnan parantaminen, mukaan lukien energiatehokkuuskorjaukset, infrastruktuurin rakentaminen ja parantaminen sekä laitteiden toimittaminen fyysisiä ja verkkokauppoja varten sekä palvelujen laad</w:t>
            </w:r>
            <w:r>
              <w:rPr>
                <w:noProof/>
                <w:color w:val="006100"/>
                <w:sz w:val="18"/>
                <w:szCs w:val="18"/>
              </w:rPr>
              <w:t>un parantaminen.</w:t>
            </w:r>
            <w:r>
              <w:rPr>
                <w:rFonts w:ascii="Times New Roman" w:hAnsi="Times New Roman"/>
                <w:noProof/>
                <w:sz w:val="24"/>
              </w:rPr>
              <w:t xml:space="preserve"> </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285</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selviytymiskyvyn parantaminen – 16725_korkean taidekoulutuksen päivittäminen</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Korkea-asteen taidekoulutuksen parantaminen</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Loppukertomus, joka sisältää </w:t>
            </w:r>
          </w:p>
          <w:p w:rsidR="00B0093E" w:rsidRDefault="00762CA6">
            <w:pPr>
              <w:spacing w:after="0" w:line="240" w:lineRule="auto"/>
              <w:rPr>
                <w:rFonts w:eastAsia="Times New Roman" w:cs="Calibri"/>
                <w:noProof/>
                <w:color w:val="006100"/>
                <w:sz w:val="18"/>
                <w:szCs w:val="18"/>
              </w:rPr>
            </w:pPr>
            <w:r>
              <w:rPr>
                <w:noProof/>
                <w:color w:val="006100"/>
                <w:sz w:val="18"/>
                <w:szCs w:val="18"/>
              </w:rPr>
              <w:t>maksutositteet ja investointien tarkastusten tulokset, tuensaajien antama todistus investointien valmistumisesta; ja</w:t>
            </w:r>
          </w:p>
          <w:p w:rsidR="00B0093E" w:rsidRDefault="00762CA6">
            <w:pPr>
              <w:spacing w:after="0" w:line="240" w:lineRule="auto"/>
              <w:rPr>
                <w:rFonts w:eastAsia="Times New Roman" w:cs="Calibri"/>
                <w:noProof/>
                <w:color w:val="006100"/>
                <w:sz w:val="18"/>
                <w:szCs w:val="18"/>
              </w:rPr>
            </w:pPr>
            <w:r>
              <w:rPr>
                <w:noProof/>
                <w:color w:val="006100"/>
                <w:sz w:val="18"/>
                <w:szCs w:val="18"/>
              </w:rPr>
              <w:t>oikeudellisen kehyksen dokumentoidut tarkistukset ja viittaukset viralliseen lehteen.</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Korkea-asteen taidekasvatushankkeen loppuu</w:t>
            </w:r>
            <w:r>
              <w:rPr>
                <w:noProof/>
                <w:color w:val="006100"/>
                <w:sz w:val="18"/>
                <w:szCs w:val="18"/>
              </w:rPr>
              <w:t>n saattaminen, mukaan lukien uuden audiovisuaalisen koulun perustaminen sekä kansallisen tanssitaiteen oppilaitoksen ja Thessalonikin valtion konservatorion siirtämisen päätökseen saattaminen; lainsäädännön tarkistaminen opetussuunnitelmien päivittämiseksi</w:t>
            </w:r>
            <w:r>
              <w:rPr>
                <w:noProof/>
                <w:color w:val="006100"/>
                <w:sz w:val="18"/>
                <w:szCs w:val="18"/>
              </w:rPr>
              <w:t xml:space="preserve"> ja taidekasvatuksen laadun varmistamiseksi.</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286</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niiden häiriönsietokyvyn parantaminen – 16723_Luovien alojen ja kulttuurialan ammattilaisten taitojen kehittäminen</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Luovien alojen ja </w:t>
            </w:r>
            <w:r>
              <w:rPr>
                <w:noProof/>
                <w:color w:val="006100"/>
                <w:sz w:val="18"/>
                <w:szCs w:val="18"/>
              </w:rPr>
              <w:t>kulttuurialan ammattilaisten taitojen kehittäminen (valmistuminen)</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Koulutuksen suorittaneiden rekisteröityjen luovien alojen ja kulttuurialan ammattilaisten lukumäärä</w:t>
            </w: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jc w:val="right"/>
              <w:rPr>
                <w:rFonts w:eastAsia="Times New Roman" w:cs="Calibri"/>
                <w:noProof/>
                <w:color w:val="006100"/>
                <w:sz w:val="18"/>
                <w:szCs w:val="18"/>
              </w:rPr>
            </w:pPr>
            <w:r>
              <w:rPr>
                <w:noProof/>
                <w:color w:val="006100"/>
                <w:sz w:val="18"/>
                <w:szCs w:val="18"/>
              </w:rPr>
              <w:t>1 800</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jc w:val="right"/>
              <w:rPr>
                <w:rFonts w:eastAsia="Times New Roman" w:cs="Calibri"/>
                <w:noProof/>
                <w:color w:val="006100"/>
                <w:sz w:val="18"/>
                <w:szCs w:val="18"/>
              </w:rPr>
            </w:pPr>
            <w:r>
              <w:rPr>
                <w:noProof/>
                <w:color w:val="006100"/>
                <w:sz w:val="18"/>
                <w:szCs w:val="18"/>
              </w:rPr>
              <w:t>3 600</w:t>
            </w: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Luovien alojen ja kulttuurialan ammattilaisten taitojen </w:t>
            </w:r>
            <w:r>
              <w:rPr>
                <w:noProof/>
                <w:color w:val="006100"/>
                <w:sz w:val="18"/>
                <w:szCs w:val="18"/>
              </w:rPr>
              <w:t>kehittämiseen tarkoitetun rakennuksen valmiiksi saattaminen: Kulttuurialan ja luovien alojen ammattilaisten ensimmäisen koulutussyklin loppuun saattaminen: vähintään 3600:n Kreikan rekisteröidyn kulttuurialan ja luovien alojen ammattilaisen kouluttaminen.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287</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17-4.6. Keskeisten talouden alojen nykyaikaistaminen ja häiriönsietokyvyn parantaminen – 16486_Vedenalaisten antiikkiesineiden museo</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Vedenalaisten antiikkiesineiden museo</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Loppukertomus, joka sisältää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a) Todistus investointien </w:t>
            </w:r>
            <w:r>
              <w:rPr>
                <w:noProof/>
                <w:color w:val="006100"/>
                <w:sz w:val="18"/>
                <w:szCs w:val="18"/>
              </w:rPr>
              <w:t>loppuunsaattamisesta; ja</w:t>
            </w:r>
          </w:p>
          <w:p w:rsidR="00B0093E" w:rsidRDefault="00762CA6">
            <w:pPr>
              <w:spacing w:after="0" w:line="240" w:lineRule="auto"/>
              <w:rPr>
                <w:rFonts w:eastAsia="Times New Roman" w:cs="Calibri"/>
                <w:noProof/>
                <w:color w:val="006100"/>
                <w:sz w:val="18"/>
                <w:szCs w:val="18"/>
              </w:rPr>
            </w:pPr>
            <w:r>
              <w:rPr>
                <w:noProof/>
                <w:color w:val="006100"/>
                <w:sz w:val="18"/>
                <w:szCs w:val="18"/>
              </w:rPr>
              <w:t>(1 b) Pysyvien näyttelytilojen töiden sertifiointi, säilytystyöt sekä näyttelyä tukevat asiakirjat ja julkaisut.</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Vedenalaisten antiikkiesineiden museon loppuun saattaminen: 1 a) energiatehokkuustöiden loppuun saattaminen</w:t>
            </w:r>
            <w:r>
              <w:rPr>
                <w:noProof/>
                <w:color w:val="006100"/>
                <w:sz w:val="18"/>
                <w:szCs w:val="18"/>
              </w:rPr>
              <w:t xml:space="preserve"> ja </w:t>
            </w:r>
          </w:p>
          <w:p w:rsidR="00B0093E" w:rsidRDefault="00762CA6">
            <w:pPr>
              <w:spacing w:after="0" w:line="240" w:lineRule="auto"/>
              <w:rPr>
                <w:rFonts w:eastAsia="Times New Roman" w:cs="Calibri"/>
                <w:noProof/>
                <w:color w:val="006100"/>
                <w:sz w:val="18"/>
                <w:szCs w:val="18"/>
              </w:rPr>
            </w:pPr>
            <w:r>
              <w:rPr>
                <w:noProof/>
              </w:rPr>
              <w:t>1 b) pysyvän näyttelyn järjestäminen, mikä tuo merkittävää lisäarvoa Pireuksen ja Ateenan laajemman alueen matkailulle ja kulttuurille.</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288</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häiriönsietokyvyn parantaminen – </w:t>
            </w:r>
            <w:r>
              <w:rPr>
                <w:noProof/>
                <w:color w:val="006100"/>
                <w:sz w:val="18"/>
                <w:szCs w:val="18"/>
              </w:rPr>
              <w:t>16485_Kulttuurireitit merkittävien arkeologisten kohteiden ja monumenttien osalta</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Kulttuurireitit merkittävissä arkeologisissa kohteissa</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Loppuraportti, johon sisältyy tuensaajien antama todistus investointien valmistumisesta.</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Kulttuurireittien loppuun saattaminen: viiden maantieteellisesti jakautuneen kulttuurireitin tarjoaminen Kreikan historiasta ammentavien temaattisten narratiivien avulla, mukaan lukien valikoitujen muistomerkkien säilyttäminen ja restaurointi, palvelujen j</w:t>
            </w:r>
            <w:r>
              <w:rPr>
                <w:noProof/>
                <w:color w:val="006100"/>
                <w:sz w:val="18"/>
                <w:szCs w:val="18"/>
              </w:rPr>
              <w:t>a infrastruktuurin parantaminen, vuorovaikutteisten digitaalisten sovellusten kehittäminen sekä taiteiden ja kulttuuritapahtumien sisällyttäminen.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289</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niiden häiriönsietokyvyn parantaminen – </w:t>
            </w:r>
            <w:r>
              <w:rPr>
                <w:noProof/>
                <w:color w:val="006100"/>
                <w:sz w:val="18"/>
                <w:szCs w:val="18"/>
              </w:rPr>
              <w:t>16735_Reseptitaiteen käyttö, sosiaalisen yhteenkuuluvuuden edistäminen ja senioritalouden hyödyntäminen</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Käyttämällä ”reseptitaidetta”,</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Loppuraportti, johon sisältyy tuensaajien antama todistus investointien valmistumisesta.</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”Reseptitaiteen” loppuun saattaminen, fyysisen pääsyn parantaminen ja opastettujen kiertokäyntijärjestelmien tarjoaminen kuulo- ja näköapuvälineillä kulttuuripaikoille, kuten museoille, teattereille, festivaaleille ja arkeologisille kohteille, ja sellaiste</w:t>
            </w:r>
            <w:r>
              <w:rPr>
                <w:noProof/>
                <w:color w:val="006100"/>
                <w:sz w:val="18"/>
                <w:szCs w:val="18"/>
              </w:rPr>
              <w:t>n toimien edistäminen, joissa taidetta ja kulttuuria käytetään apuna mielenterveysongelmista toipumisessa</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290</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niiden selviytymiskyvyn parantaminen – 16433_Kulttuurimonumenttien ja arkeologisten </w:t>
            </w:r>
            <w:r>
              <w:rPr>
                <w:noProof/>
                <w:color w:val="006100"/>
                <w:sz w:val="18"/>
                <w:szCs w:val="18"/>
              </w:rPr>
              <w:t>kohteiden suojeleminen ilmastonmuutokselta</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Välitavoite </w:t>
            </w: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Kulttuurimuistomerkkien suojeleminen ilmastonmuutokselta</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Loppukertomus, mukaan lukien kopiot ilmastonmuutokseen sopeutumista koskevista suunnitelmista, maksutositteet ja investointien tarkastusten tulokset investointien loppuunsaattamisesta </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Saatetaan päätökseen kulttuurimuistomerkkien suojeleminen </w:t>
            </w:r>
            <w:r>
              <w:rPr>
                <w:noProof/>
                <w:color w:val="006100"/>
                <w:sz w:val="18"/>
                <w:szCs w:val="18"/>
              </w:rPr>
              <w:t>ilmastonmuutokselta, mukaan lukien ilmastonmuutokseen sopeutumista koskevien suunnitelmien laatiminen kulttuuriperintökohteita varten, jotta voidaan tukea kulttuuriperintökohteiden osuutta taloudellisessa toiminnassa, mukaan lukien ilmastoriskien alueellis</w:t>
            </w:r>
            <w:r>
              <w:rPr>
                <w:noProof/>
                <w:color w:val="006100"/>
                <w:sz w:val="18"/>
                <w:szCs w:val="18"/>
              </w:rPr>
              <w:t>et ja ajalliset arvioinnit ja kulttuuriperintökohteiden haavoittuvuuksien tunnistaminen.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291</w:t>
            </w:r>
          </w:p>
        </w:tc>
        <w:tc>
          <w:tcPr>
            <w:tcW w:w="161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häiriönsietokyvyn parantaminen – 16435_Restoration – Akropoliin muistomerkkien säilyttäminen ja </w:t>
            </w:r>
            <w:r>
              <w:rPr>
                <w:noProof/>
                <w:color w:val="006100"/>
                <w:sz w:val="18"/>
                <w:szCs w:val="18"/>
              </w:rPr>
              <w:t>vahvistaminen</w:t>
            </w:r>
          </w:p>
        </w:tc>
        <w:tc>
          <w:tcPr>
            <w:tcW w:w="10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p w:rsidR="00B0093E" w:rsidRDefault="00B0093E">
            <w:pPr>
              <w:spacing w:after="0" w:line="240" w:lineRule="auto"/>
              <w:rPr>
                <w:rFonts w:eastAsia="Times New Roman" w:cs="Calibri"/>
                <w:noProof/>
                <w:color w:val="006100"/>
                <w:sz w:val="18"/>
                <w:szCs w:val="18"/>
                <w:lang w:eastAsia="en-GB"/>
              </w:rPr>
            </w:pPr>
          </w:p>
        </w:tc>
        <w:tc>
          <w:tcPr>
            <w:tcW w:w="129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Kunnostus – Akropoliin suojelu</w:t>
            </w:r>
          </w:p>
        </w:tc>
        <w:tc>
          <w:tcPr>
            <w:tcW w:w="154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Loppukertomus, mukaan lukien g-tositteet maksusta ja investointien tarkastusten tulokset sekä todistus investoinnin päätökseen saattamisesta.</w:t>
            </w:r>
          </w:p>
        </w:tc>
        <w:tc>
          <w:tcPr>
            <w:tcW w:w="139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Akropoliin muistomerkkien kunnostaminen niiden suojelemiseksi ilmastonmuutokselta, mukaan lukien Parthenonin ja sen muurien kunnostustyöt, alueen tiettyjen osien suojelu, kivimassojen yhdistäminen ja vakauttaminen sekä vierailijoiden sisäänpääsyn parantami</w:t>
            </w:r>
            <w:r>
              <w:rPr>
                <w:noProof/>
                <w:color w:val="006100"/>
                <w:sz w:val="18"/>
                <w:szCs w:val="18"/>
              </w:rPr>
              <w:t xml:space="preserve">nen. </w:t>
            </w:r>
          </w:p>
        </w:tc>
      </w:tr>
    </w:tbl>
    <w:p w:rsidR="00B0093E" w:rsidRDefault="00B0093E">
      <w:pPr>
        <w:spacing w:before="120" w:after="0" w:line="240" w:lineRule="auto"/>
        <w:jc w:val="both"/>
        <w:rPr>
          <w:rFonts w:ascii="Times New Roman" w:hAnsi="Times New Roman" w:cs="Times New Roman"/>
          <w:noProof/>
          <w:sz w:val="24"/>
        </w:rPr>
        <w:sectPr w:rsidR="00B0093E">
          <w:headerReference w:type="even" r:id="rId269"/>
          <w:headerReference w:type="default" r:id="rId270"/>
          <w:footerReference w:type="even" r:id="rId271"/>
          <w:footerReference w:type="default" r:id="rId272"/>
          <w:headerReference w:type="first" r:id="rId273"/>
          <w:footerReference w:type="first" r:id="rId274"/>
          <w:pgSz w:w="16839" w:h="11907" w:orient="landscape"/>
          <w:pgMar w:top="720" w:right="720" w:bottom="720" w:left="720" w:header="709" w:footer="709" w:gutter="0"/>
          <w:cols w:space="720"/>
          <w:docGrid w:linePitch="360"/>
        </w:sectPr>
      </w:pPr>
    </w:p>
    <w:p w:rsidR="00B0093E" w:rsidRDefault="00B0093E">
      <w:pPr>
        <w:spacing w:before="120" w:after="0" w:line="240" w:lineRule="auto"/>
        <w:jc w:val="both"/>
        <w:rPr>
          <w:rFonts w:ascii="Times New Roman" w:hAnsi="Times New Roman" w:cs="Times New Roman"/>
          <w:noProof/>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26: Matkailu ja merenkulku</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Matkailun kehittäminen (sisältää matkailusatamien päivitystoimet) (tunniste: 16931)</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Matkailualan uudelleen- ja täydennyskoulutus (tunniste: 16921)</w:t>
      </w:r>
    </w:p>
    <w:p w:rsidR="00B0093E" w:rsidRDefault="00762CA6">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Alueellisten satamien parannustoimet (tunniste: 16975)</w:t>
      </w:r>
    </w:p>
    <w:p w:rsidR="00B0093E" w:rsidRDefault="00762CA6">
      <w:pPr>
        <w:numPr>
          <w:ilvl w:val="0"/>
          <w:numId w:val="29"/>
        </w:numPr>
        <w:spacing w:before="120" w:after="120" w:line="240" w:lineRule="auto"/>
        <w:jc w:val="both"/>
        <w:rPr>
          <w:rFonts w:ascii="Times New Roman" w:hAnsi="Times New Roman" w:cs="Times New Roman"/>
          <w:noProof/>
          <w:sz w:val="24"/>
        </w:rPr>
      </w:pPr>
      <w:r>
        <w:rPr>
          <w:rFonts w:ascii="Times New Roman" w:hAnsi="Times New Roman"/>
          <w:noProof/>
          <w:sz w:val="24"/>
        </w:rPr>
        <w:t>Kreikan matkustajalaivaston uudistamista koskeva yleissuunnitelma (tunniste: 16944)</w:t>
      </w:r>
    </w:p>
    <w:p w:rsidR="00B0093E" w:rsidRDefault="00B0093E">
      <w:pPr>
        <w:spacing w:before="120" w:after="0" w:line="240" w:lineRule="auto"/>
        <w:jc w:val="both"/>
        <w:rPr>
          <w:rFonts w:ascii="Times New Roman" w:hAnsi="Times New Roman" w:cs="Times New Roman"/>
          <w:noProof/>
          <w:sz w:val="24"/>
        </w:rPr>
      </w:pPr>
    </w:p>
    <w:tbl>
      <w:tblPr>
        <w:tblW w:w="16176" w:type="dxa"/>
        <w:jc w:val="center"/>
        <w:tblLook w:val="04A0" w:firstRow="1" w:lastRow="0" w:firstColumn="1" w:lastColumn="0" w:noHBand="0" w:noVBand="1"/>
      </w:tblPr>
      <w:tblGrid>
        <w:gridCol w:w="1027"/>
        <w:gridCol w:w="1686"/>
        <w:gridCol w:w="1626"/>
        <w:gridCol w:w="1753"/>
        <w:gridCol w:w="2127"/>
        <w:gridCol w:w="2003"/>
        <w:gridCol w:w="966"/>
        <w:gridCol w:w="1006"/>
        <w:gridCol w:w="1387"/>
        <w:gridCol w:w="662"/>
        <w:gridCol w:w="4305"/>
      </w:tblGrid>
      <w:tr w:rsidR="00B0093E">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Numero</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Toimenpide (uudistus tai investointi)</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Välitavoite/tavoite</w:t>
            </w:r>
          </w:p>
        </w:tc>
        <w:tc>
          <w:tcPr>
            <w:tcW w:w="1274"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Nimi</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Laadulliset indikaattorit   (välitavoitteiden </w:t>
            </w:r>
            <w:r>
              <w:rPr>
                <w:rFonts w:ascii="Times New Roman" w:hAnsi="Times New Roman"/>
                <w:b/>
                <w:bCs/>
                <w:noProof/>
                <w:sz w:val="18"/>
                <w:szCs w:val="18"/>
              </w:rPr>
              <w:t>osalta)</w:t>
            </w:r>
          </w:p>
        </w:tc>
        <w:tc>
          <w:tcPr>
            <w:tcW w:w="3311"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Määrälliset indikaattorit   (tavoitteiden osalta)</w:t>
            </w:r>
          </w:p>
        </w:tc>
        <w:tc>
          <w:tcPr>
            <w:tcW w:w="1648"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Alustava toteutusaikataulu </w:t>
            </w:r>
          </w:p>
        </w:tc>
        <w:tc>
          <w:tcPr>
            <w:tcW w:w="43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74"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4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857"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713"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986"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66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4305"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292</w:t>
            </w:r>
          </w:p>
        </w:tc>
        <w:tc>
          <w:tcPr>
            <w:tcW w:w="14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16931_Matkailun kehittäminen</w:t>
            </w:r>
          </w:p>
        </w:tc>
        <w:tc>
          <w:tcPr>
            <w:tcW w:w="138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p w:rsidR="00B0093E" w:rsidRDefault="00B0093E">
            <w:pPr>
              <w:spacing w:after="0" w:line="240" w:lineRule="auto"/>
              <w:rPr>
                <w:rFonts w:eastAsia="Times New Roman" w:cs="Calibri"/>
                <w:noProof/>
                <w:color w:val="006100"/>
                <w:sz w:val="18"/>
                <w:szCs w:val="18"/>
                <w:lang w:eastAsia="en-GB"/>
              </w:rPr>
            </w:pPr>
          </w:p>
        </w:tc>
        <w:tc>
          <w:tcPr>
            <w:tcW w:w="127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Matkailun kehittäminen: matkailusatamia koskevat uudistukset</w:t>
            </w:r>
          </w:p>
        </w:tc>
        <w:tc>
          <w:tcPr>
            <w:tcW w:w="174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 Matkailusatamia koskevaan lakiin </w:t>
            </w:r>
            <w:r>
              <w:rPr>
                <w:noProof/>
                <w:color w:val="006100"/>
                <w:sz w:val="18"/>
                <w:szCs w:val="18"/>
              </w:rPr>
              <w:t>2160/1993 tehtyjen muutosten voimaantulo.</w:t>
            </w:r>
          </w:p>
          <w:p w:rsidR="00B0093E" w:rsidRDefault="00762CA6">
            <w:pPr>
              <w:spacing w:after="0" w:line="240" w:lineRule="auto"/>
              <w:rPr>
                <w:rFonts w:eastAsia="Times New Roman" w:cs="Calibri"/>
                <w:noProof/>
                <w:color w:val="006100"/>
                <w:sz w:val="18"/>
                <w:szCs w:val="18"/>
              </w:rPr>
            </w:pPr>
            <w:r>
              <w:rPr>
                <w:noProof/>
                <w:color w:val="006100"/>
                <w:sz w:val="18"/>
                <w:szCs w:val="18"/>
              </w:rPr>
              <w:t>2. Hiihtokeskuksia koskeviin lakeihin 4179/2013 ja 4276/2014 tehtyjen muutosten voimaantulo.</w:t>
            </w:r>
          </w:p>
          <w:p w:rsidR="00B0093E" w:rsidRDefault="00762CA6">
            <w:pPr>
              <w:spacing w:after="0" w:line="240" w:lineRule="auto"/>
              <w:rPr>
                <w:rFonts w:eastAsia="Times New Roman" w:cs="Calibri"/>
                <w:noProof/>
                <w:color w:val="006100"/>
                <w:sz w:val="18"/>
                <w:szCs w:val="18"/>
              </w:rPr>
            </w:pPr>
            <w:r>
              <w:rPr>
                <w:noProof/>
                <w:color w:val="006100"/>
                <w:sz w:val="18"/>
                <w:szCs w:val="18"/>
              </w:rPr>
              <w:t>3 raportti projektinhallintatoimiston perustamisesta.</w:t>
            </w:r>
          </w:p>
        </w:tc>
        <w:tc>
          <w:tcPr>
            <w:tcW w:w="174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66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30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cs="Calibri"/>
                <w:noProof/>
                <w:color w:val="006100"/>
                <w:sz w:val="18"/>
                <w:szCs w:val="18"/>
              </w:rPr>
            </w:pPr>
            <w:r>
              <w:rPr>
                <w:noProof/>
                <w:color w:val="006100"/>
                <w:sz w:val="18"/>
                <w:szCs w:val="18"/>
              </w:rPr>
              <w:t>1) Matkailun kehittäminen: Turistisatamia koskevan lains</w:t>
            </w:r>
            <w:r>
              <w:rPr>
                <w:noProof/>
                <w:color w:val="006100"/>
                <w:sz w:val="18"/>
                <w:szCs w:val="18"/>
              </w:rPr>
              <w:t>äädännön uudistamista koskevan lainsäädännön voimaantulo uusien investointien kannustamiseksi, mukaan lukien asennus- ja toimilupia koskevien säännösten muuttaminen investointiluvista annetun lain 4442/2016 mukaisesti.</w:t>
            </w:r>
          </w:p>
          <w:p w:rsidR="00B0093E" w:rsidRDefault="00762CA6">
            <w:pPr>
              <w:spacing w:after="0" w:line="240" w:lineRule="auto"/>
              <w:rPr>
                <w:rFonts w:cs="Calibri"/>
                <w:noProof/>
                <w:color w:val="006100"/>
                <w:sz w:val="18"/>
                <w:szCs w:val="18"/>
              </w:rPr>
            </w:pPr>
            <w:r>
              <w:rPr>
                <w:noProof/>
                <w:color w:val="006100"/>
                <w:sz w:val="18"/>
                <w:szCs w:val="18"/>
              </w:rPr>
              <w:t xml:space="preserve">2) Matkailun kehittäminen: Saatetaan </w:t>
            </w:r>
            <w:r>
              <w:rPr>
                <w:noProof/>
                <w:color w:val="006100"/>
                <w:sz w:val="18"/>
                <w:szCs w:val="18"/>
              </w:rPr>
              <w:t>voimaan lainsäädäntöä, jolla uudistetaan hiihtokeskuksia koskevaa oikeudellista kehystä uusien investointien kannustamiseksi, mukaan lukien asennus- ja käyttölupia koskevien säännösten muuttaminen investointiluvista annetun lain 4442/2016 mukaisesti.</w:t>
            </w:r>
            <w:r>
              <w:rPr>
                <w:rFonts w:ascii="Times New Roman" w:hAnsi="Times New Roman"/>
                <w:noProof/>
                <w:sz w:val="24"/>
                <w:szCs w:val="24"/>
              </w:rPr>
              <w:t xml:space="preserve">     </w:t>
            </w:r>
          </w:p>
          <w:p w:rsidR="00B0093E" w:rsidRDefault="00762CA6">
            <w:pPr>
              <w:spacing w:after="0" w:line="240" w:lineRule="auto"/>
              <w:rPr>
                <w:rFonts w:eastAsia="Times New Roman" w:cs="Calibri"/>
                <w:noProof/>
                <w:color w:val="006100"/>
                <w:sz w:val="18"/>
                <w:szCs w:val="18"/>
              </w:rPr>
            </w:pPr>
            <w:r>
              <w:rPr>
                <w:noProof/>
                <w:color w:val="006100"/>
                <w:sz w:val="18"/>
                <w:szCs w:val="18"/>
              </w:rPr>
              <w:t>3)Matkailun kehittäminen: Hankkeen hallinnointitoimiston perustaminen matkailusatamien kunnostamiseen tehtävien investointien valvontaa varten.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293</w:t>
            </w:r>
          </w:p>
        </w:tc>
        <w:tc>
          <w:tcPr>
            <w:tcW w:w="14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16975_Alueellist</w:t>
            </w:r>
            <w:r>
              <w:rPr>
                <w:noProof/>
                <w:color w:val="006100"/>
                <w:sz w:val="18"/>
                <w:szCs w:val="18"/>
              </w:rPr>
              <w:t>en satamien parannustyöt</w:t>
            </w:r>
          </w:p>
        </w:tc>
        <w:tc>
          <w:tcPr>
            <w:tcW w:w="13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Alueellisia satamapäivityksiä koskevat sopimukset</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Ilmoitus yksittäisiä hankkeita koskevien sopimusten tekemisestä</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w:t>
            </w:r>
          </w:p>
        </w:tc>
        <w:tc>
          <w:tcPr>
            <w:tcW w:w="98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3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sellaisten sopimusten tekemisestä, jotka koskevat alueellisia satamaparannuksia </w:t>
            </w:r>
            <w:r>
              <w:rPr>
                <w:noProof/>
                <w:color w:val="006100"/>
                <w:sz w:val="18"/>
                <w:szCs w:val="18"/>
              </w:rPr>
              <w:t>energiatehokkuuden parantamiseksi, on saatettava päätökseen.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294</w:t>
            </w:r>
          </w:p>
        </w:tc>
        <w:tc>
          <w:tcPr>
            <w:tcW w:w="14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16944_Kreikan matkustajalaivaston uudistamista koskeva yleissuunnitelma</w:t>
            </w:r>
          </w:p>
        </w:tc>
        <w:tc>
          <w:tcPr>
            <w:tcW w:w="13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Kreikan </w:t>
            </w:r>
            <w:r>
              <w:rPr>
                <w:noProof/>
                <w:color w:val="006100"/>
                <w:sz w:val="18"/>
                <w:szCs w:val="18"/>
              </w:rPr>
              <w:t>matkustajaliikenteen yleissuunnitelma</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Valmis raportti ja tiivistelmä kuulemisesta.</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Kreikan matkustajalaivaston uusimista koskeva yleissuunnitelma: Hankkeen loppuun saattaminen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295</w:t>
            </w:r>
          </w:p>
        </w:tc>
        <w:tc>
          <w:tcPr>
            <w:tcW w:w="14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w:t>
            </w:r>
            <w:r>
              <w:rPr>
                <w:noProof/>
                <w:color w:val="006100"/>
                <w:sz w:val="18"/>
                <w:szCs w:val="18"/>
              </w:rPr>
              <w:t>häiriönsietokyvyn parantaminen – 16931_Matkailun kehittäminen</w:t>
            </w:r>
          </w:p>
        </w:tc>
        <w:tc>
          <w:tcPr>
            <w:tcW w:w="13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Matkailun kehittäminen: matkailusatamien hankintasopimukset</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Ilmoitus hankintasopimusten tekemisestä </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3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Vierasvenesataman energiatehokkuuden lisäämiseksi tehtävien </w:t>
            </w:r>
            <w:r>
              <w:rPr>
                <w:noProof/>
                <w:color w:val="006100"/>
                <w:sz w:val="18"/>
                <w:szCs w:val="18"/>
              </w:rPr>
              <w:t>parannusten hankintamenettely on saatettava päätökseen.</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296</w:t>
            </w:r>
          </w:p>
        </w:tc>
        <w:tc>
          <w:tcPr>
            <w:tcW w:w="14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niiden häiriönsietokyvyn parantaminen – 16921_Uudelleen- ja täydennyskoulutus matkailualalla</w:t>
            </w:r>
          </w:p>
        </w:tc>
        <w:tc>
          <w:tcPr>
            <w:tcW w:w="13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Matkailualan uudelleenkoulutus ja </w:t>
            </w:r>
            <w:r>
              <w:rPr>
                <w:noProof/>
                <w:color w:val="006100"/>
                <w:sz w:val="18"/>
                <w:szCs w:val="18"/>
              </w:rPr>
              <w:t>täydennyskoulutus (täydentäminen)</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Niiden osallistujien lukumäärä, jotka ovat suorittaneet koulutuksen onnistuneesti</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18 000</w:t>
            </w:r>
          </w:p>
        </w:tc>
        <w:tc>
          <w:tcPr>
            <w:tcW w:w="98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Matkailualan täydennys- ja uudelleenkoulutus: Koulutustilaisuuksien suorittaminen, josta on osoituksena tutkintotodistus, </w:t>
            </w:r>
            <w:r>
              <w:rPr>
                <w:noProof/>
                <w:color w:val="006100"/>
                <w:sz w:val="18"/>
                <w:szCs w:val="18"/>
              </w:rPr>
              <w:t>jossa on yksityiskohtainen tilastoliite suoritetuista kursseista ja hyväksytyistä suorituksista tarjoaja- ja pätevyyskohtaisesti.</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297</w:t>
            </w:r>
          </w:p>
        </w:tc>
        <w:tc>
          <w:tcPr>
            <w:tcW w:w="14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17-4.6. Keskeisten talouden alojen nykyaikaistaminen ja häiriönsietokyvyn parantaminen – 16931_Matkailun kehittäminen</w:t>
            </w:r>
          </w:p>
        </w:tc>
        <w:tc>
          <w:tcPr>
            <w:tcW w:w="13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2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Matkailun kehittämishankkeen loppuun saattaminen</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 a. Riippumattoman insinöörin loppukertomus matkailuministeriön ratifioimista töistä.</w:t>
            </w:r>
          </w:p>
          <w:p w:rsidR="00B0093E" w:rsidRDefault="00762CA6">
            <w:pPr>
              <w:spacing w:after="0" w:line="240" w:lineRule="auto"/>
              <w:rPr>
                <w:rFonts w:eastAsia="Times New Roman" w:cs="Calibri"/>
                <w:noProof/>
                <w:color w:val="006100"/>
                <w:sz w:val="18"/>
                <w:szCs w:val="18"/>
              </w:rPr>
            </w:pPr>
            <w:r>
              <w:rPr>
                <w:noProof/>
                <w:color w:val="006100"/>
                <w:sz w:val="18"/>
                <w:szCs w:val="18"/>
              </w:rPr>
              <w:t>1b Loppukertomus, mukaan lukien tuensaajien antama todistus investointien valmistumisesta</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Matkailun kehittäminen: </w:t>
            </w:r>
          </w:p>
          <w:p w:rsidR="00B0093E" w:rsidRDefault="00762CA6">
            <w:pPr>
              <w:spacing w:after="0" w:line="240" w:lineRule="auto"/>
              <w:rPr>
                <w:rFonts w:eastAsia="Times New Roman" w:cs="Calibri"/>
                <w:noProof/>
                <w:color w:val="006100"/>
                <w:sz w:val="18"/>
                <w:szCs w:val="18"/>
              </w:rPr>
            </w:pPr>
            <w:r>
              <w:rPr>
                <w:noProof/>
                <w:color w:val="006100"/>
                <w:sz w:val="18"/>
                <w:szCs w:val="18"/>
              </w:rPr>
              <w:t>(1 a) Matkasataman tiettyjen parannustöiden loppuun saattaminen matkailun ja yksityisten investointien kannustamiseksi.</w:t>
            </w:r>
          </w:p>
          <w:p w:rsidR="00B0093E" w:rsidRDefault="00762CA6">
            <w:pPr>
              <w:spacing w:after="0" w:line="240" w:lineRule="auto"/>
              <w:rPr>
                <w:rFonts w:eastAsia="Times New Roman" w:cs="Calibri"/>
                <w:noProof/>
                <w:color w:val="006100"/>
                <w:sz w:val="18"/>
                <w:szCs w:val="18"/>
              </w:rPr>
            </w:pPr>
            <w:r>
              <w:rPr>
                <w:noProof/>
              </w:rPr>
              <w:t>1 b) Muiden matkailualan toimenpiteiden loppuun saattaminen vaihtoehtoisten matkailumuotojen edistämiseksi ja k</w:t>
            </w:r>
            <w:r>
              <w:rPr>
                <w:noProof/>
              </w:rPr>
              <w:t>ausien laajentamiseksi, mukaan lukien:</w:t>
            </w:r>
          </w:p>
          <w:p w:rsidR="00B0093E" w:rsidRDefault="00762CA6">
            <w:pPr>
              <w:spacing w:before="120" w:after="0" w:line="240" w:lineRule="auto"/>
              <w:jc w:val="both"/>
              <w:rPr>
                <w:rFonts w:eastAsia="Times New Roman" w:cs="Calibri"/>
                <w:noProof/>
                <w:color w:val="006100"/>
                <w:sz w:val="18"/>
                <w:szCs w:val="18"/>
              </w:rPr>
            </w:pPr>
            <w:r>
              <w:rPr>
                <w:noProof/>
              </w:rPr>
              <w:t>– Vihreä kehitys:</w:t>
            </w:r>
            <w:r>
              <w:rPr>
                <w:noProof/>
                <w:color w:val="006100"/>
                <w:sz w:val="18"/>
                <w:szCs w:val="18"/>
              </w:rPr>
              <w:t xml:space="preserve"> matkakohteiden hallinnan parantaminen perustamalla paikallisia matkailunhallintatoimistoja ja niihin liittyviä kestävän matkailun seurantakeskuksia; vuoristomatkailun kehittäminen, joka kattaa julkis</w:t>
            </w:r>
            <w:r>
              <w:rPr>
                <w:noProof/>
                <w:color w:val="006100"/>
                <w:sz w:val="18"/>
                <w:szCs w:val="18"/>
              </w:rPr>
              <w:t>en infrastruktuurin energiatehokkaat peruskorjaukset ja uusien uusiutuvien energialähteiden kapasiteetin käyttöönoton (tuuli) terveys- ja hyvinvointimatkailu hyödyntämällä kevätlämpöä; maatalousmatkailun ja gastronomian edistäminen.</w:t>
            </w:r>
          </w:p>
          <w:p w:rsidR="00B0093E" w:rsidRDefault="00762CA6">
            <w:pPr>
              <w:spacing w:after="0" w:line="240" w:lineRule="auto"/>
              <w:rPr>
                <w:rFonts w:eastAsia="Times New Roman" w:cs="Calibri"/>
                <w:noProof/>
                <w:color w:val="006100"/>
                <w:sz w:val="18"/>
                <w:szCs w:val="18"/>
              </w:rPr>
            </w:pPr>
            <w:r>
              <w:rPr>
                <w:noProof/>
                <w:color w:val="006100"/>
                <w:sz w:val="18"/>
                <w:szCs w:val="18"/>
              </w:rPr>
              <w:t>Sininen kehitys: parann</w:t>
            </w:r>
            <w:r>
              <w:rPr>
                <w:noProof/>
                <w:color w:val="006100"/>
                <w:sz w:val="18"/>
                <w:szCs w:val="18"/>
              </w:rPr>
              <w:t>etaan toimia, jotta voidaan kohentaa huvivenesatamien hallintoa, infrastruktuuria ja palveluja, antojen esteettömyyttä ikääntyneille ja vammaisille henkilöille ja edistää sukellus- ja vedenalaisen matkailun kehittämistä.</w:t>
            </w:r>
          </w:p>
        </w:tc>
      </w:tr>
      <w:tr w:rsidR="00B0093E">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298</w:t>
            </w:r>
          </w:p>
        </w:tc>
        <w:tc>
          <w:tcPr>
            <w:tcW w:w="14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w:t>
            </w:r>
            <w:r>
              <w:rPr>
                <w:noProof/>
                <w:color w:val="006100"/>
                <w:sz w:val="18"/>
                <w:szCs w:val="18"/>
              </w:rPr>
              <w:t>alojen nykyaikaistaminen ja häiriönsietokyvyn parantaminen – 16975_Alueellisten satamien parannustyöt</w:t>
            </w:r>
          </w:p>
        </w:tc>
        <w:tc>
          <w:tcPr>
            <w:tcW w:w="138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127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Alueellisten satamien parannustoimet</w:t>
            </w: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74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rPr>
              <w:t xml:space="preserve">Toteutuneiden alueellisten satamaparannusten määrä saarilla ja alueilla, joilla matkailutoiminta on </w:t>
            </w:r>
            <w:r>
              <w:rPr>
                <w:noProof/>
              </w:rPr>
              <w:t>kehittynyttä</w:t>
            </w: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28</w:t>
            </w:r>
          </w:p>
        </w:tc>
        <w:tc>
          <w:tcPr>
            <w:tcW w:w="98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6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0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Alueellisten satamaparannusten loppuun saattaminen saarilla ja alueilla, joilla matkailutoiminta on kehittynyt, mistä on osoituksena riippumattoman insinöörin laatima töiden valmistumisraportti, jonka merenkulkuministeriö on </w:t>
            </w:r>
            <w:r>
              <w:rPr>
                <w:noProof/>
                <w:color w:val="006100"/>
                <w:sz w:val="18"/>
                <w:szCs w:val="18"/>
              </w:rPr>
              <w:t>ratifioinut, mukaan lukien maksutositteet ja investointien tarkastusten tulokset sekä tuensaajien antama todistus investointien valmistuttua.</w:t>
            </w:r>
          </w:p>
        </w:tc>
      </w:tr>
    </w:tbl>
    <w:p w:rsidR="00B0093E" w:rsidRDefault="00B0093E">
      <w:pPr>
        <w:spacing w:before="120" w:after="0" w:line="240" w:lineRule="auto"/>
        <w:jc w:val="both"/>
        <w:rPr>
          <w:rFonts w:ascii="Times New Roman" w:hAnsi="Times New Roman" w:cs="Times New Roman"/>
          <w:noProof/>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27: Teollisuus &amp; investoinnit</w:t>
      </w:r>
    </w:p>
    <w:p w:rsidR="00B0093E" w:rsidRDefault="00762CA6">
      <w:pPr>
        <w:numPr>
          <w:ilvl w:val="0"/>
          <w:numId w:val="28"/>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Strategisten investointien houkuttelemista koskevan oikeudellisen kehyksen </w:t>
      </w:r>
      <w:r>
        <w:rPr>
          <w:rFonts w:ascii="Times New Roman" w:hAnsi="Times New Roman"/>
          <w:noProof/>
          <w:sz w:val="24"/>
        </w:rPr>
        <w:t>muuttaminen (tunniste: 16593)</w:t>
      </w:r>
    </w:p>
    <w:p w:rsidR="00B0093E" w:rsidRDefault="00762CA6">
      <w:pPr>
        <w:numPr>
          <w:ilvl w:val="0"/>
          <w:numId w:val="28"/>
        </w:numPr>
        <w:spacing w:before="120" w:after="0" w:line="240" w:lineRule="auto"/>
        <w:jc w:val="both"/>
        <w:rPr>
          <w:rFonts w:ascii="Times New Roman" w:hAnsi="Times New Roman" w:cs="Times New Roman"/>
          <w:noProof/>
          <w:sz w:val="24"/>
        </w:rPr>
      </w:pPr>
      <w:r>
        <w:rPr>
          <w:rFonts w:ascii="Times New Roman" w:hAnsi="Times New Roman"/>
          <w:noProof/>
          <w:sz w:val="24"/>
        </w:rPr>
        <w:t>Talousdiplomatian verkoston digitalisointi (tunniste: 16599)</w:t>
      </w:r>
    </w:p>
    <w:p w:rsidR="00B0093E" w:rsidRDefault="00762CA6">
      <w:pPr>
        <w:numPr>
          <w:ilvl w:val="0"/>
          <w:numId w:val="28"/>
        </w:numPr>
        <w:spacing w:before="120" w:after="0" w:line="240" w:lineRule="auto"/>
        <w:jc w:val="both"/>
        <w:rPr>
          <w:rFonts w:ascii="Times New Roman" w:hAnsi="Times New Roman" w:cs="Times New Roman"/>
          <w:noProof/>
          <w:sz w:val="24"/>
        </w:rPr>
      </w:pPr>
      <w:r>
        <w:rPr>
          <w:rFonts w:ascii="Times New Roman" w:hAnsi="Times New Roman"/>
          <w:noProof/>
          <w:sz w:val="24"/>
        </w:rPr>
        <w:t>Kaupan helpottaminen (tunniste: 16592)</w:t>
      </w:r>
    </w:p>
    <w:p w:rsidR="00B0093E" w:rsidRDefault="00762CA6">
      <w:pPr>
        <w:numPr>
          <w:ilvl w:val="0"/>
          <w:numId w:val="28"/>
        </w:numPr>
        <w:spacing w:before="120" w:after="0" w:line="240" w:lineRule="auto"/>
        <w:jc w:val="both"/>
        <w:rPr>
          <w:rFonts w:ascii="Times New Roman" w:hAnsi="Times New Roman" w:cs="Times New Roman"/>
          <w:noProof/>
          <w:sz w:val="24"/>
        </w:rPr>
      </w:pPr>
      <w:r>
        <w:rPr>
          <w:rFonts w:ascii="Times New Roman" w:hAnsi="Times New Roman"/>
          <w:noProof/>
          <w:sz w:val="24"/>
        </w:rPr>
        <w:t>Uudet teollisuusalueet (tunniste: 16634)</w:t>
      </w:r>
    </w:p>
    <w:p w:rsidR="00B0093E" w:rsidRDefault="00762CA6">
      <w:pPr>
        <w:numPr>
          <w:ilvl w:val="0"/>
          <w:numId w:val="28"/>
        </w:numPr>
        <w:spacing w:before="120" w:after="120" w:line="240" w:lineRule="auto"/>
        <w:jc w:val="both"/>
        <w:rPr>
          <w:rFonts w:ascii="Times New Roman" w:hAnsi="Times New Roman" w:cs="Times New Roman"/>
          <w:noProof/>
          <w:sz w:val="24"/>
        </w:rPr>
      </w:pPr>
      <w:r>
        <w:rPr>
          <w:rFonts w:ascii="Times New Roman" w:hAnsi="Times New Roman"/>
          <w:noProof/>
          <w:sz w:val="24"/>
        </w:rPr>
        <w:t>Älykkään valmistuksen nopeuttaminen (tunniste: 16721)</w:t>
      </w:r>
    </w:p>
    <w:tbl>
      <w:tblPr>
        <w:tblW w:w="15502" w:type="dxa"/>
        <w:jc w:val="center"/>
        <w:tblLayout w:type="fixed"/>
        <w:tblLook w:val="04A0" w:firstRow="1" w:lastRow="0" w:firstColumn="1" w:lastColumn="0" w:noHBand="0" w:noVBand="1"/>
      </w:tblPr>
      <w:tblGrid>
        <w:gridCol w:w="1186"/>
        <w:gridCol w:w="1517"/>
        <w:gridCol w:w="1298"/>
        <w:gridCol w:w="1396"/>
        <w:gridCol w:w="1823"/>
        <w:gridCol w:w="866"/>
        <w:gridCol w:w="857"/>
        <w:gridCol w:w="691"/>
        <w:gridCol w:w="851"/>
        <w:gridCol w:w="709"/>
        <w:gridCol w:w="4308"/>
      </w:tblGrid>
      <w:tr w:rsidR="00B0093E">
        <w:trPr>
          <w:trHeight w:val="939"/>
          <w:tblHeader/>
          <w:jc w:val="center"/>
        </w:trPr>
        <w:tc>
          <w:tcPr>
            <w:tcW w:w="1186"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Numero</w:t>
            </w:r>
          </w:p>
        </w:tc>
        <w:tc>
          <w:tcPr>
            <w:tcW w:w="1517"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Toimenpide (uudistus tai</w:t>
            </w:r>
            <w:r>
              <w:rPr>
                <w:rFonts w:ascii="Times New Roman" w:hAnsi="Times New Roman"/>
                <w:b/>
                <w:bCs/>
                <w:noProof/>
                <w:sz w:val="18"/>
                <w:szCs w:val="18"/>
              </w:rPr>
              <w:t xml:space="preserve"> investointi)</w:t>
            </w:r>
          </w:p>
        </w:tc>
        <w:tc>
          <w:tcPr>
            <w:tcW w:w="1298"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Välitavoite/tavoite</w:t>
            </w:r>
          </w:p>
        </w:tc>
        <w:tc>
          <w:tcPr>
            <w:tcW w:w="1396" w:type="dxa"/>
            <w:vMerge w:val="restart"/>
            <w:tcBorders>
              <w:top w:val="single" w:sz="4" w:space="0" w:color="auto"/>
              <w:left w:val="nil"/>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Nimi</w:t>
            </w:r>
          </w:p>
        </w:tc>
        <w:tc>
          <w:tcPr>
            <w:tcW w:w="1823"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Laadulliset indikaattorit   (välitavoitteiden osalta)</w:t>
            </w:r>
          </w:p>
        </w:tc>
        <w:tc>
          <w:tcPr>
            <w:tcW w:w="2414"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Määrälliset indikaattorit   (tavoitteiden osalta)</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Alustava toteutusaikataulu </w:t>
            </w:r>
          </w:p>
        </w:tc>
        <w:tc>
          <w:tcPr>
            <w:tcW w:w="4308"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Kunkin välitavoitteen ja tavoitteen kuvaus</w:t>
            </w:r>
          </w:p>
        </w:tc>
      </w:tr>
      <w:tr w:rsidR="00B0093E">
        <w:trPr>
          <w:trHeight w:val="1027"/>
          <w:tblHeader/>
          <w:jc w:val="center"/>
        </w:trPr>
        <w:tc>
          <w:tcPr>
            <w:tcW w:w="1186"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17"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298"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96" w:type="dxa"/>
            <w:vMerge/>
            <w:tcBorders>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823"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69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4308"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299</w:t>
            </w:r>
          </w:p>
        </w:tc>
        <w:tc>
          <w:tcPr>
            <w:tcW w:w="15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16593_Strategisten investointien houkuttelemista koskevan oikeudellisen kehyksen muuttaminen</w:t>
            </w:r>
          </w:p>
        </w:tc>
        <w:tc>
          <w:tcPr>
            <w:tcW w:w="129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Strategiset investoinnit – </w:t>
            </w:r>
            <w:r>
              <w:rPr>
                <w:noProof/>
                <w:color w:val="006100"/>
                <w:sz w:val="18"/>
                <w:szCs w:val="18"/>
              </w:rPr>
              <w:t>lainsäädäntöuudistus</w:t>
            </w:r>
          </w:p>
        </w:tc>
        <w:tc>
          <w:tcPr>
            <w:tcW w:w="1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Lainsäädäntömuutosten voimaantulo</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43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Strategisten investointien houkuttelemista koskevan lainsäädäntökehyksen uudistamista koskevien lainsäädäntömuutosten (laki 3894/2010 ja laki 4608/2019) voimaantulo, mukaan lukien kodifioint</w:t>
            </w:r>
            <w:r>
              <w:rPr>
                <w:noProof/>
                <w:color w:val="006100"/>
                <w:sz w:val="18"/>
                <w:szCs w:val="18"/>
              </w:rPr>
              <w:t xml:space="preserve">i yhdenmukaisten ja yhtenäisten puitteiden luomiseksi, ja oikeudellisia muutoksia, joilla otetaan käyttöön uusi strategisten investointien luokka ”suureen merkittävään investointiin”.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Strategisen investointikehyksen uudistuksessa on myös otettava käyttöö</w:t>
            </w:r>
            <w:r>
              <w:rPr>
                <w:noProof/>
                <w:color w:val="006100"/>
                <w:sz w:val="18"/>
                <w:szCs w:val="18"/>
              </w:rPr>
              <w:t>n säännöksiä, joilla nopeutetaan strategisten investointien hyväksymiseen ja lisensointiin liittyvää hallinnollista menettelyä (eli parannetaan nopeutettua menettelyä). Lainsäädäntöön on sisällytettävä uusia strategisten investointien luokkia sellaisten kr</w:t>
            </w:r>
            <w:r>
              <w:rPr>
                <w:noProof/>
                <w:color w:val="006100"/>
                <w:sz w:val="18"/>
                <w:szCs w:val="18"/>
              </w:rPr>
              <w:t>iteerien perusteella, jotka edistävät innovointia tai teknologian leviämistä, uusiutuvien energialähteiden käyttöä ja siirtymistä vähähiiliseen talouteen ja/tai edistävät merkittävästi Kreikan talouden kilpailukykyä kansainvälisellä tasolla.</w:t>
            </w:r>
          </w:p>
          <w:p w:rsidR="00B0093E" w:rsidRDefault="00B0093E">
            <w:pPr>
              <w:spacing w:after="0" w:line="240" w:lineRule="auto"/>
              <w:rPr>
                <w:rFonts w:eastAsia="Times New Roman" w:cs="Calibri"/>
                <w:noProof/>
                <w:color w:val="006100"/>
                <w:sz w:val="18"/>
                <w:szCs w:val="18"/>
                <w:highlight w:val="yellow"/>
                <w:lang w:eastAsia="en-GB"/>
              </w:rPr>
            </w:pPr>
          </w:p>
        </w:tc>
      </w:tr>
      <w:tr w:rsidR="00B0093E">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300</w:t>
            </w:r>
          </w:p>
        </w:tc>
        <w:tc>
          <w:tcPr>
            <w:tcW w:w="15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w:t>
            </w:r>
            <w:r>
              <w:rPr>
                <w:noProof/>
                <w:color w:val="006100"/>
                <w:sz w:val="18"/>
                <w:szCs w:val="18"/>
              </w:rPr>
              <w:t>4.6. Keskeisten talouden alojen nykyaikaistaminen ja niiden häiriönsietokyvyn parantaminen – 16721_Älykkään valmistuksen vauhdittaminen</w:t>
            </w:r>
          </w:p>
        </w:tc>
        <w:tc>
          <w:tcPr>
            <w:tcW w:w="129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8000"/>
                <w:sz w:val="18"/>
                <w:szCs w:val="18"/>
              </w:rPr>
              <w:t>Valmistusta koskevien ehdotuspyyntöjen käynnistäminen</w:t>
            </w:r>
          </w:p>
        </w:tc>
        <w:tc>
          <w:tcPr>
            <w:tcW w:w="182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Tarjouskilpailujen käynnistäminen tehdasteollisuuden yrityksiä varten </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3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Käynnistetään kaikki tuotantosektoria koskevat kilpailuun perustuvat ehdotuspyynnöt, jotka liittyvät tuotantolinjojen digitalisointiin, toimitusketjujen automatisointiin ja </w:t>
            </w:r>
            <w:r>
              <w:rPr>
                <w:noProof/>
                <w:color w:val="006100"/>
                <w:sz w:val="18"/>
                <w:szCs w:val="18"/>
              </w:rPr>
              <w:t>yhteenliittämiseen, älykkäiden tuotteiden ja palvelujen suunnitteluun ja tuotantoon, älykkään valmistusteknologian käyttöönottoon ultranopean/ 5G-verkon mekaanisissa laitteissa sekä laboratorio- ja valmistuslaitteissa, laadunvalvontalaitteissa, TVT- ja ohj</w:t>
            </w:r>
            <w:r>
              <w:rPr>
                <w:noProof/>
                <w:color w:val="006100"/>
                <w:sz w:val="18"/>
                <w:szCs w:val="18"/>
              </w:rPr>
              <w:t>elmistolaitteissa, pilvilupiin, uuden tietoteknisen infrastruktuurin täytäntöönpanopalveluihin, tietoteknisiin turvallisuuspalveluihin, tuotesuunnitteluun, teollis- ja tekijänoikeuksiin sekä patentti- ja sertifiointikustannuksiin tukikelpoisuusperustein, j</w:t>
            </w:r>
            <w:r>
              <w:rPr>
                <w:noProof/>
                <w:color w:val="006100"/>
                <w:sz w:val="18"/>
                <w:szCs w:val="18"/>
              </w:rPr>
              <w:t>oilla varmistetaan, että valitut hankkeet ovat ”ei merkittävää haittaa” -periaatteen teknisten ohjeiden (2021/C58/01) mukaisia, käyttämällä poissulkemisluetteloa sekä vaatimusta asiaankuuluvan EU:n ja kansallisen ympäristölainsäädännön noudattamisesta.</w:t>
            </w:r>
          </w:p>
        </w:tc>
      </w:tr>
      <w:tr w:rsidR="00B0093E">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301</w:t>
            </w:r>
          </w:p>
        </w:tc>
        <w:tc>
          <w:tcPr>
            <w:tcW w:w="15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16634_Uudet teollisuusalueet</w:t>
            </w:r>
          </w:p>
          <w:p w:rsidR="00B0093E" w:rsidRDefault="00B0093E">
            <w:pPr>
              <w:spacing w:after="0" w:line="240" w:lineRule="auto"/>
              <w:rPr>
                <w:rFonts w:eastAsia="Times New Roman" w:cs="Calibri"/>
                <w:noProof/>
                <w:color w:val="006100"/>
                <w:sz w:val="18"/>
                <w:szCs w:val="18"/>
                <w:lang w:eastAsia="en-GB"/>
              </w:rPr>
            </w:pPr>
          </w:p>
        </w:tc>
        <w:tc>
          <w:tcPr>
            <w:tcW w:w="129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Ehdotuspyyntöjen käynnistäminen teollisuusalueita varten</w:t>
            </w:r>
          </w:p>
        </w:tc>
        <w:tc>
          <w:tcPr>
            <w:tcW w:w="182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Teollisuusalueita koskevien ehdotuspyyntöjen käynnistäminen </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3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Käynnistetään kaikki kilpailuun perustuvat ehdotuspyynnöt, jotka koskevat teollisuusalueiden kehittämistä, jotta voidaan investoida a) uuden sukupolven alueiden perustamiseen (myös maan hankintaan), joilla on erityiset energiatehokkuuskriteerit u</w:t>
            </w:r>
            <w:r>
              <w:rPr>
                <w:noProof/>
                <w:color w:val="006100"/>
                <w:sz w:val="18"/>
                <w:szCs w:val="18"/>
              </w:rPr>
              <w:t>usien rakennusten rakentamiselle ja energiatehokkuushankkeille ja demonstrointihankkeille suurissa yrityksissä, b) infrastruktuuriin älykkäiden teollisuusalueiden digitalisoimiseksi ja luomiseksi, c) aurinkoenergiaan, d) vesihuoltoon ja vesivarojen suojelu</w:t>
            </w:r>
            <w:r>
              <w:rPr>
                <w:noProof/>
                <w:color w:val="006100"/>
                <w:sz w:val="18"/>
                <w:szCs w:val="18"/>
              </w:rPr>
              <w:t>un (investoinneilla on oltava keskimääräinen infrastruktuurin päästöindeksi (ILI) &lt;= 1,5) sähkökäyttöisiä energiankeräysjärjestelmiä ja sähkökäyttöisiä energiankäsittelyjärjestelmiä koskevaan infrastruktuuriin, e) energiatehokkuuskriteerien mukaisiin yhdys</w:t>
            </w:r>
            <w:r>
              <w:rPr>
                <w:noProof/>
                <w:color w:val="006100"/>
                <w:sz w:val="18"/>
                <w:szCs w:val="18"/>
              </w:rPr>
              <w:t>kuntajätevesien keräys- ja käsittelyjärjestelmiin, f) sähköiseen liikkuvuuteen (tankkausverkostojen kehittäminen sähkö- tai vetyajoneuvoja varten tai liikenteessä käytettävän biometaanin tankkauspisteiden kehittäminen), g) teollisuusalueiden ja pilaantunei</w:t>
            </w:r>
            <w:r>
              <w:rPr>
                <w:noProof/>
                <w:color w:val="006100"/>
                <w:sz w:val="18"/>
                <w:szCs w:val="18"/>
              </w:rPr>
              <w:t>den alueiden ennallistamishankkeisiin. Tarjouseritelmällä, mukaan lukien tukikelpoisuusperusteet, on varmistettava, että valitut hankkeet ovat ”ei merkittävää haittaa” -periaatteen teknisten ohjeiden (2021/C58/01) mukaisia käyttämällä poissulkemisluetteloa</w:t>
            </w:r>
            <w:r>
              <w:rPr>
                <w:noProof/>
                <w:color w:val="006100"/>
                <w:sz w:val="18"/>
                <w:szCs w:val="18"/>
              </w:rPr>
              <w:t xml:space="preserve"> ja vaatimusta asiaankuuluvan EU:n ja kansallisen ympäristölainsäädännön noudattamisesta.</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Uusien rakennusten rakentamisen on täytettävä primäärienergiantarve, joka on vähintään 20 prosenttia pienempi kuin lähes nollaenergiarakennuksia koskeva vaatimus (lä</w:t>
            </w:r>
            <w:r>
              <w:rPr>
                <w:noProof/>
                <w:color w:val="006100"/>
                <w:sz w:val="18"/>
                <w:szCs w:val="18"/>
              </w:rPr>
              <w:t>hes nollaenergiarakennus, kansalliset direktiivit). Kun kyseessä on jätevesijärjestelmien rakentaminen kokonaisuudessaan, toimenpiteellä on oltava nollanettoenergiakäyttö, ja jos kyseessä koko jätevesijärjestelmän uusiminen, toimenpiteen on johdettava kesk</w:t>
            </w:r>
            <w:r>
              <w:rPr>
                <w:noProof/>
                <w:color w:val="006100"/>
                <w:sz w:val="18"/>
                <w:szCs w:val="18"/>
              </w:rPr>
              <w:t>imääräisen energiankulutuksen vähenemiseen vähintään 10 prosentilla (ainoastaan energiatehokkuustoimenpiteillä eikä materiaalimuutoksilla tai kuormituksen muutoksilla). Sähköiseen liikkuvuuteen tehtävien investointien on oltava direktiivin (EU) 2018/2001 m</w:t>
            </w:r>
            <w:r>
              <w:rPr>
                <w:noProof/>
                <w:color w:val="006100"/>
                <w:sz w:val="18"/>
                <w:szCs w:val="18"/>
              </w:rPr>
              <w:t>ukaisia, ja niiden on liityttävä liikenteen vaihtoehtoisiin polttoaineisiin.</w:t>
            </w:r>
          </w:p>
        </w:tc>
      </w:tr>
      <w:tr w:rsidR="00B0093E">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302</w:t>
            </w:r>
          </w:p>
        </w:tc>
        <w:tc>
          <w:tcPr>
            <w:tcW w:w="151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16634_Uudet teollisuusalueet</w:t>
            </w:r>
          </w:p>
        </w:tc>
        <w:tc>
          <w:tcPr>
            <w:tcW w:w="129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Teollisuusalueet – lainsäädäntöuudistus </w:t>
            </w:r>
            <w:r>
              <w:rPr>
                <w:noProof/>
                <w:color w:val="006100"/>
                <w:sz w:val="18"/>
                <w:szCs w:val="18"/>
              </w:rPr>
              <w:t>(primaarioikeus)</w:t>
            </w:r>
          </w:p>
        </w:tc>
        <w:tc>
          <w:tcPr>
            <w:tcW w:w="1823"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Lainsäädännön julkaiseminen Euroopan unionin virallisessa lehdessä</w:t>
            </w:r>
          </w:p>
        </w:tc>
        <w:tc>
          <w:tcPr>
            <w:tcW w:w="866"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70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4308"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Primaarilainsäädännön antaminen teollisuusalueita koskevan sääntelykehyksen parantamiseksi, mukaan lukien oikeudellisten epävarmuustekijöiden käsittely, </w:t>
            </w:r>
            <w:r>
              <w:rPr>
                <w:noProof/>
                <w:color w:val="006100"/>
                <w:sz w:val="18"/>
                <w:szCs w:val="18"/>
              </w:rPr>
              <w:t>hallintoon liittyvien kysymysten ratkaiseminen ja tehokkaiden kannustimien tarjoaminen epävirallisten teollisuuskeskittymien ratkaisemiseksi</w:t>
            </w:r>
          </w:p>
        </w:tc>
      </w:tr>
      <w:tr w:rsidR="00B0093E">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303</w:t>
            </w:r>
          </w:p>
        </w:tc>
        <w:tc>
          <w:tcPr>
            <w:tcW w:w="151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16593_Strategisten</w:t>
            </w:r>
            <w:r>
              <w:rPr>
                <w:noProof/>
                <w:color w:val="006100"/>
                <w:sz w:val="18"/>
                <w:szCs w:val="18"/>
              </w:rPr>
              <w:t xml:space="preserve"> investointien houkuttelemista koskevan oikeudellisen kehyksen muuttaminen</w:t>
            </w:r>
          </w:p>
        </w:tc>
        <w:tc>
          <w:tcPr>
            <w:tcW w:w="129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Strategiset investoinnit – tukikelpoisten hankkeiden valinta</w:t>
            </w:r>
          </w:p>
        </w:tc>
        <w:tc>
          <w:tcPr>
            <w:tcW w:w="182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Rahoitusta saavien merkittävien investointien valinta </w:t>
            </w:r>
          </w:p>
        </w:tc>
        <w:tc>
          <w:tcPr>
            <w:tcW w:w="8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69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30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Tunnusomaiset sijoitukset valitaan niin kutsutulla ”ensin tullutta palvellaan ensin” -menettelyssä koko kauden 2022-2025 ajan.  Valintamenettelyn mukaan mahdollisen sijoittajan on jätettävä Enterprise Greecelle hakemus, joka sisällytetään tunnuksellisiin s</w:t>
            </w:r>
            <w:r>
              <w:rPr>
                <w:noProof/>
                <w:color w:val="006100"/>
                <w:sz w:val="18"/>
                <w:szCs w:val="18"/>
              </w:rPr>
              <w:t>ijoituksiin. Enterprise Greecelle voidaan tehdä hakemus vuonna 2023, ja investointi on saatettava päätökseen vuoden 2025 neljännekseen saakka. ”Kreikan yritys” arvioi investointiehdotukset ja hyväksyy ne lopullisesti ministeriöiden välisessä strategisten i</w:t>
            </w:r>
            <w:r>
              <w:rPr>
                <w:noProof/>
                <w:color w:val="006100"/>
                <w:sz w:val="18"/>
                <w:szCs w:val="18"/>
              </w:rPr>
              <w:t>nvestointien komiteassa (investointiehdotusten luokittelu ”suureen merkitykseen liittyviksi merkittäviksi sijoituksiksi”; Tukikelpoisten edunsaajien valinta ”merkittäviksi suuriksi investoinneiksi” vastikään ministeriöiden välisen strategisten investointie</w:t>
            </w:r>
            <w:r>
              <w:rPr>
                <w:noProof/>
                <w:color w:val="006100"/>
                <w:sz w:val="18"/>
                <w:szCs w:val="18"/>
              </w:rPr>
              <w:t>n komitean hyväksymispäätöksellä (joka on todistettu julkaisemalla päätös) nimettyjen investointihankkeiden joukosta, jotta voidaan investoida hankkeisiin, joilla edistetään innovointia tai teknologian levittämistä, vihreää taloutta, uusiutuvien energialäh</w:t>
            </w:r>
            <w:r>
              <w:rPr>
                <w:noProof/>
                <w:color w:val="006100"/>
                <w:sz w:val="18"/>
                <w:szCs w:val="18"/>
              </w:rPr>
              <w:t>teiden käyttöä ja siirtymistä vähähiiliseen talouteen ja/tai Kreikan talouden kilpailukyvyn edistämistä kansainvälisellä tasolla. Energiainvestointien osalta tukikelpoisia investointeja ovat investoinnit a) infrastruktuuriin, jolla on erityiset energiakrit</w:t>
            </w:r>
            <w:r>
              <w:rPr>
                <w:noProof/>
                <w:color w:val="006100"/>
                <w:sz w:val="18"/>
                <w:szCs w:val="18"/>
              </w:rPr>
              <w:t>eerit uusien rakennusten rakentamista varten, b) uusiutuvia energialähteitä hyödyntäviin hybridivoimantuotantohankkeisiin kytkemättömillä saarilla, c) vihreän vedyn tuotantoon, d) uusiutuviin energialähteisiin perustuviin sähkönvarastointijärjestelmiin sek</w:t>
            </w:r>
            <w:r>
              <w:rPr>
                <w:noProof/>
                <w:color w:val="006100"/>
                <w:sz w:val="18"/>
                <w:szCs w:val="18"/>
              </w:rPr>
              <w:t xml:space="preserve">ä e) tuuli- ja aurinkovoimaa käyttäviin merilaitoksiin ”ei merkittävää haittaa” -periaatteen teknisten ohjeiden (2021/C58/01) mukaisesti käyttämällä poissulkemisluetteloa ja edellyttämällä asiaankuuluvan EU:n lainsäädännön noudattamista. </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Uusien rakennust</w:t>
            </w:r>
            <w:r>
              <w:rPr>
                <w:noProof/>
                <w:color w:val="006100"/>
                <w:sz w:val="18"/>
                <w:szCs w:val="18"/>
              </w:rPr>
              <w:t>en rakentamisen on täytettävä primäärienergiantarve, joka on vähintään 20 prosenttia pienempi kuin lähes nollaenergiarakennuksia koskeva vaatimus (lähes nollaenergiarakennus, kansalliset direktiivit).</w:t>
            </w:r>
          </w:p>
        </w:tc>
      </w:tr>
      <w:tr w:rsidR="00B0093E">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304</w:t>
            </w:r>
          </w:p>
        </w:tc>
        <w:tc>
          <w:tcPr>
            <w:tcW w:w="151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w:t>
            </w:r>
            <w:r>
              <w:rPr>
                <w:noProof/>
                <w:color w:val="006100"/>
                <w:sz w:val="18"/>
                <w:szCs w:val="18"/>
              </w:rPr>
              <w:t>nykyaikaistaminen ja häiriönsietokyvyn parantaminen – 16634_Uudet teollisuusalueet</w:t>
            </w:r>
          </w:p>
        </w:tc>
        <w:tc>
          <w:tcPr>
            <w:tcW w:w="129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Teollisuusalueet – lainsäädäntöuudistus (sekundaarilainsäädäntö)</w:t>
            </w:r>
          </w:p>
        </w:tc>
        <w:tc>
          <w:tcPr>
            <w:tcW w:w="1823"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Kaiken tarvittavan lainsäädännön voimaantulo </w:t>
            </w:r>
          </w:p>
        </w:tc>
        <w:tc>
          <w:tcPr>
            <w:tcW w:w="8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69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w:t>
            </w: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308"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Kaiken tarvittavan </w:t>
            </w:r>
            <w:r>
              <w:rPr>
                <w:noProof/>
                <w:color w:val="006100"/>
                <w:sz w:val="18"/>
                <w:szCs w:val="18"/>
              </w:rPr>
              <w:t xml:space="preserve">sekundaarilainsäädännön voimaantulo teollisuusalueita koskevan sääntelykehyksen parantamista koskevan uuden kehyksen toteuttamiseksi, mukaan lukien oikeudellisten epävarmuustekijöiden käsittely, hallintokysymysten ratkaiseminen ja tehokkaiden kannustimien </w:t>
            </w:r>
            <w:r>
              <w:rPr>
                <w:noProof/>
                <w:color w:val="006100"/>
                <w:sz w:val="18"/>
                <w:szCs w:val="18"/>
              </w:rPr>
              <w:t>tarjoaminen epävirallisten teollisuuskeskittymien ratkaisemiseksi.</w:t>
            </w:r>
          </w:p>
        </w:tc>
      </w:tr>
      <w:tr w:rsidR="00B0093E">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305</w:t>
            </w:r>
          </w:p>
        </w:tc>
        <w:tc>
          <w:tcPr>
            <w:tcW w:w="15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16592_kaupan helpottaminen</w:t>
            </w:r>
          </w:p>
        </w:tc>
        <w:tc>
          <w:tcPr>
            <w:tcW w:w="129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Kauppaa helpottavien toimien toteuttaminen</w:t>
            </w:r>
          </w:p>
        </w:tc>
        <w:tc>
          <w:tcPr>
            <w:tcW w:w="1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Kertomus, </w:t>
            </w:r>
            <w:r>
              <w:rPr>
                <w:noProof/>
                <w:color w:val="006100"/>
                <w:sz w:val="18"/>
                <w:szCs w:val="18"/>
              </w:rPr>
              <w:t>jossa todistetaan yksinkertaistamistoimenpiteiden päätökseen saattaminen ja järjestelmien käyttöönotto kaupan helpottamista koskevan etenemissuunnitelman mukaisesti.</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3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Kaupan helpottamista koskevassa etenemissuunnitelmassa (sekundäärisäädöksen voi</w:t>
            </w:r>
            <w:r>
              <w:rPr>
                <w:noProof/>
                <w:color w:val="006100"/>
                <w:sz w:val="18"/>
                <w:szCs w:val="18"/>
              </w:rPr>
              <w:t>maantulo) esitettyjen toimenpiteiden täytäntöönpano on saatettava päätökseen erityisesti toimilla, joilla pyritään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tarkistetaan ja poistetaan perusteettoman työläitä prosessivaiheita ja todistuksia, joita tarvitaan tavarakaupassa, erityisesti viennissä, s</w:t>
            </w:r>
            <w:r>
              <w:rPr>
                <w:noProof/>
                <w:color w:val="006100"/>
                <w:sz w:val="18"/>
                <w:szCs w:val="18"/>
              </w:rPr>
              <w:t>ekä tulli- että ennakkotullitasolla.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otetaan käyttöön riskinarviointiin perustuva lähestymistapa ennakkotarkastusten kohdentamiseksi paremmin ja parannetaan yhteisen vientivalvonnan toteuttamiseen osallistuvien yksiköiden välistä koordinointia.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luodaan u</w:t>
            </w:r>
            <w:r>
              <w:rPr>
                <w:noProof/>
                <w:color w:val="006100"/>
                <w:sz w:val="18"/>
                <w:szCs w:val="18"/>
              </w:rPr>
              <w:t>usia menettelyjä yhden luukun järjestelmään kansainvälisten parhaiden käytäntöjen mukaisesti,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perustetaan seurantajärjestelmä, jolla varmistetaan rajat ylittävään kauppaan liittyvien tarkastusten asianmukainen ja tehokas täytäntöönpano (tarjotaan uusia me</w:t>
            </w:r>
            <w:r>
              <w:rPr>
                <w:noProof/>
                <w:color w:val="006100"/>
                <w:sz w:val="18"/>
                <w:szCs w:val="18"/>
              </w:rPr>
              <w:t>nettelyjä ja valvontajärjestelyjä koskevat kiertokirjeet).</w:t>
            </w:r>
          </w:p>
        </w:tc>
      </w:tr>
      <w:tr w:rsidR="00B0093E">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306</w:t>
            </w:r>
          </w:p>
        </w:tc>
        <w:tc>
          <w:tcPr>
            <w:tcW w:w="15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17 - 4.6. Keskeisten talouden alojen nykyaikaistaminen ja häiriönsietokyvyn parantaminen – 16599_talousdiplomatian verkoston digitalisointi ja viejille suunnattu koulutusohjelma</w:t>
            </w:r>
          </w:p>
        </w:tc>
        <w:tc>
          <w:tcPr>
            <w:tcW w:w="129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Talousdiplomatian verkoston digitalisaatio – kaikkien toimien toteuttaminen</w:t>
            </w:r>
          </w:p>
        </w:tc>
        <w:tc>
          <w:tcPr>
            <w:tcW w:w="1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Raportti, jossa kuvataan taloudellisen diplomatian verkoston digitalisoimiseen tähtäävien toimien täytäntöönpanoa (eli yhden luukun ja viejien tukipalvelun käyttöönotto, tietokanto</w:t>
            </w:r>
            <w:r>
              <w:rPr>
                <w:noProof/>
                <w:color w:val="006100"/>
                <w:sz w:val="18"/>
                <w:szCs w:val="18"/>
              </w:rPr>
              <w:t xml:space="preserve">jen ja digitaalisten viestintäkanavien julkaiseminen investoijien ja viejien kanssa, yritysten sisäisten prosessien digitalisointi ja oikeusasiamiehen palvelun käynnistäminen), jotka ovat tarpeen taloudellisen diplomatian verkoston digitalisoinnin loppuun </w:t>
            </w:r>
            <w:r>
              <w:rPr>
                <w:noProof/>
                <w:color w:val="006100"/>
                <w:sz w:val="18"/>
                <w:szCs w:val="18"/>
              </w:rPr>
              <w:t>saattamiseksi.</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3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Saatetaan päätökseen talousdiplomatian verkoston digitalisointi muun muassa seuraavin keinoin: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 yhden luukun vientiportin käyttöönotto</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 ”Helpdesk”-palvelut</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 kansainvälisiä markkinoita ja vientimenettelyjä koskevien tietokantojen julkaiseminen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 perustetaan oikeusasiamiespalvelu, joka auttaa viejiä poistamaan vientiprosessin aikana esiintyviä esteitä</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 Enterprise Greecen sisäisten prosessien digitalisaatio</w:t>
            </w:r>
            <w:r>
              <w:rPr>
                <w:noProof/>
                <w:color w:val="006100"/>
                <w:sz w:val="18"/>
                <w:szCs w:val="18"/>
              </w:rPr>
              <w:t xml:space="preserve"> ja digitaalisen kassaholvin luominen Enterprise Greecen ja strategisten sijoittajien sijoitussalkkua varten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 uusien digitaalisten viestintäkanavien luominen viejien ja mahdollisten sijoittajien kanssa</w:t>
            </w:r>
          </w:p>
        </w:tc>
      </w:tr>
      <w:tr w:rsidR="00B0093E">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307</w:t>
            </w:r>
          </w:p>
        </w:tc>
        <w:tc>
          <w:tcPr>
            <w:tcW w:w="15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w:t>
            </w:r>
            <w:r>
              <w:rPr>
                <w:noProof/>
                <w:color w:val="006100"/>
                <w:sz w:val="18"/>
                <w:szCs w:val="18"/>
              </w:rPr>
              <w:t>nykyaikaistaminen ja häiriönsietokyvyn parantaminen – 16634_Uudet teollisuusalueet</w:t>
            </w:r>
          </w:p>
        </w:tc>
        <w:tc>
          <w:tcPr>
            <w:tcW w:w="129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Teollisuusalueet – investointien toteuttaminen</w:t>
            </w:r>
          </w:p>
        </w:tc>
        <w:tc>
          <w:tcPr>
            <w:tcW w:w="1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Toimitettava tulokset rakennustöiden tarkastuksista, edunsaajien antama todistus investointien valmistumisesta ja </w:t>
            </w:r>
            <w:r>
              <w:rPr>
                <w:noProof/>
                <w:color w:val="006100"/>
                <w:sz w:val="18"/>
                <w:szCs w:val="18"/>
              </w:rPr>
              <w:t xml:space="preserve">maksutositteet, joilla todistetaan valittujen investointihankkeiden toteuttaminen teollisuusalueilla. </w:t>
            </w:r>
          </w:p>
          <w:p w:rsidR="00B0093E" w:rsidRDefault="00B0093E">
            <w:pPr>
              <w:spacing w:after="0" w:line="240" w:lineRule="auto"/>
              <w:ind w:left="198" w:hanging="198"/>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Kaikkien kilpailuun perustuvien ehdotuspyyntöjen perusteella valittujen investointihankkeiden rakentamisen loppuun saattaminen. </w:t>
            </w:r>
          </w:p>
        </w:tc>
      </w:tr>
      <w:tr w:rsidR="00B0093E">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308</w:t>
            </w:r>
          </w:p>
        </w:tc>
        <w:tc>
          <w:tcPr>
            <w:tcW w:w="15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w:t>
            </w:r>
            <w:r>
              <w:rPr>
                <w:noProof/>
                <w:color w:val="006100"/>
                <w:sz w:val="18"/>
                <w:szCs w:val="18"/>
              </w:rPr>
              <w:t>4.6. Keskeisten talouden alojen nykyaikaistaminen ja häiriönsietokyvyn parantaminen – 16593_Strategisten investointien houkuttelemista koskevan oikeudellisen kehyksen muuttaminen</w:t>
            </w:r>
          </w:p>
        </w:tc>
        <w:tc>
          <w:tcPr>
            <w:tcW w:w="129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Strategiset investoinnit – investointien toteuttaminen</w:t>
            </w:r>
          </w:p>
        </w:tc>
        <w:tc>
          <w:tcPr>
            <w:tcW w:w="1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Toimitetta</w:t>
            </w:r>
            <w:r>
              <w:rPr>
                <w:noProof/>
                <w:color w:val="006100"/>
                <w:sz w:val="18"/>
                <w:szCs w:val="18"/>
              </w:rPr>
              <w:t>va rakennustöiden tarkastusten tulokset, edunsaajien antama todistus investointien valmistumisesta ja maksutosite valittujen investointihankkeiden toteuttamisen todistamiseksi ”merkittävien investointien” yhteydessä.</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Kaikkien ministeriöiden </w:t>
            </w:r>
            <w:r>
              <w:rPr>
                <w:noProof/>
                <w:color w:val="006100"/>
                <w:sz w:val="18"/>
                <w:szCs w:val="18"/>
              </w:rPr>
              <w:t>välisen strategisten investointien komitean hyväksymispäätöksen mukaisesti valittujen investointihankkeiden rakentamisen loppuun saattaminen.</w:t>
            </w:r>
          </w:p>
        </w:tc>
      </w:tr>
      <w:tr w:rsidR="00B0093E">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309</w:t>
            </w:r>
          </w:p>
        </w:tc>
        <w:tc>
          <w:tcPr>
            <w:tcW w:w="151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17 - 4.6. Keskeisten talouden alojen nykyaikaistaminen ja niiden häiriönsietokyvyn parantaminen – </w:t>
            </w:r>
            <w:r>
              <w:rPr>
                <w:noProof/>
                <w:color w:val="006100"/>
                <w:sz w:val="18"/>
                <w:szCs w:val="18"/>
              </w:rPr>
              <w:t>16721_Älykkään valmistuksen vauhdittaminen</w:t>
            </w:r>
          </w:p>
        </w:tc>
        <w:tc>
          <w:tcPr>
            <w:tcW w:w="129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9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Tehdasteollisuus, ala – investointien toteuttaminen</w:t>
            </w:r>
          </w:p>
        </w:tc>
        <w:tc>
          <w:tcPr>
            <w:tcW w:w="182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Toimitettava tulokset interventiotöiden tarkastuksista, edunsaajien antama todistus investointien valmistumisesta ja maksutositteet, joilla todisteta</w:t>
            </w:r>
            <w:r>
              <w:rPr>
                <w:noProof/>
                <w:color w:val="006100"/>
                <w:sz w:val="18"/>
                <w:szCs w:val="18"/>
              </w:rPr>
              <w:t xml:space="preserve">an valittujen investointihankkeiden toteuttaminen </w:t>
            </w:r>
          </w:p>
          <w:p w:rsidR="00B0093E" w:rsidRDefault="00762CA6">
            <w:pPr>
              <w:spacing w:after="0" w:line="240" w:lineRule="auto"/>
              <w:rPr>
                <w:rFonts w:eastAsia="Times New Roman" w:cs="Calibri"/>
                <w:noProof/>
                <w:color w:val="006100"/>
                <w:sz w:val="18"/>
                <w:szCs w:val="18"/>
              </w:rPr>
            </w:pPr>
            <w:r>
              <w:rPr>
                <w:noProof/>
                <w:color w:val="006100"/>
                <w:sz w:val="18"/>
                <w:szCs w:val="18"/>
              </w:rPr>
              <w:t>tehdasteollisuus.</w:t>
            </w:r>
          </w:p>
        </w:tc>
        <w:tc>
          <w:tcPr>
            <w:tcW w:w="866"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30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Kaikkien kilpailuun perustuvien ehdotuspyyntöjen perusteella valittujen investointihankkeiden rakentamisen loppuun saattaminen.</w:t>
            </w:r>
          </w:p>
        </w:tc>
      </w:tr>
    </w:tbl>
    <w:p w:rsidR="00B0093E" w:rsidRDefault="00B0093E">
      <w:pPr>
        <w:spacing w:before="120" w:after="0" w:line="240" w:lineRule="auto"/>
        <w:jc w:val="both"/>
        <w:rPr>
          <w:rFonts w:ascii="Times New Roman" w:hAnsi="Times New Roman" w:cs="Times New Roman"/>
          <w:noProof/>
          <w:sz w:val="24"/>
        </w:rPr>
      </w:pPr>
    </w:p>
    <w:p w:rsidR="00B0093E" w:rsidRDefault="00B0093E">
      <w:pPr>
        <w:spacing w:before="120" w:after="0" w:line="240" w:lineRule="auto"/>
        <w:jc w:val="both"/>
        <w:rPr>
          <w:rFonts w:ascii="Times New Roman" w:hAnsi="Times New Roman" w:cs="Times New Roman"/>
          <w:noProof/>
          <w:sz w:val="24"/>
        </w:rPr>
        <w:sectPr w:rsidR="00B0093E">
          <w:headerReference w:type="even" r:id="rId275"/>
          <w:headerReference w:type="default" r:id="rId276"/>
          <w:footerReference w:type="even" r:id="rId277"/>
          <w:footerReference w:type="default" r:id="rId278"/>
          <w:headerReference w:type="first" r:id="rId279"/>
          <w:footerReference w:type="first" r:id="rId280"/>
          <w:pgSz w:w="16839" w:h="11907" w:orient="landscape"/>
          <w:pgMar w:top="720" w:right="720" w:bottom="720" w:left="720" w:header="709" w:footer="709" w:gutter="0"/>
          <w:cols w:space="720"/>
          <w:docGrid w:linePitch="360"/>
        </w:sectPr>
      </w:pPr>
    </w:p>
    <w:p w:rsidR="00B0093E" w:rsidRDefault="00B0093E">
      <w:pPr>
        <w:spacing w:before="120" w:after="0" w:line="240" w:lineRule="auto"/>
        <w:jc w:val="both"/>
        <w:rPr>
          <w:rFonts w:ascii="Times New Roman" w:hAnsi="Times New Roman" w:cs="Times New Roman"/>
          <w:noProof/>
          <w:sz w:val="24"/>
        </w:r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Ryhmä 28: Maatalous</w:t>
      </w:r>
    </w:p>
    <w:p w:rsidR="00B0093E" w:rsidRDefault="00762CA6">
      <w:pPr>
        <w:numPr>
          <w:ilvl w:val="0"/>
          <w:numId w:val="25"/>
        </w:numPr>
        <w:spacing w:before="120" w:after="0" w:line="240" w:lineRule="auto"/>
        <w:jc w:val="both"/>
        <w:rPr>
          <w:rFonts w:ascii="Times New Roman" w:hAnsi="Times New Roman" w:cs="Times New Roman"/>
          <w:noProof/>
          <w:sz w:val="24"/>
        </w:rPr>
      </w:pPr>
      <w:r>
        <w:rPr>
          <w:rFonts w:ascii="Times New Roman" w:hAnsi="Times New Roman"/>
          <w:noProof/>
          <w:sz w:val="24"/>
        </w:rPr>
        <w:t>Maatalouden taloudellinen muutos (tunniste: 16626)</w:t>
      </w:r>
    </w:p>
    <w:p w:rsidR="00B0093E" w:rsidRDefault="00762CA6">
      <w:pPr>
        <w:numPr>
          <w:ilvl w:val="0"/>
          <w:numId w:val="25"/>
        </w:numPr>
        <w:spacing w:before="120" w:after="0" w:line="240" w:lineRule="auto"/>
        <w:jc w:val="both"/>
        <w:rPr>
          <w:rFonts w:ascii="Times New Roman" w:hAnsi="Times New Roman" w:cs="Times New Roman"/>
          <w:noProof/>
          <w:sz w:val="24"/>
        </w:rPr>
      </w:pPr>
      <w:r>
        <w:rPr>
          <w:rFonts w:ascii="Times New Roman" w:hAnsi="Times New Roman"/>
          <w:noProof/>
          <w:sz w:val="24"/>
        </w:rPr>
        <w:t>Maatalouselintarvikealan digitalisaatio (tunniste: 16653)</w:t>
      </w:r>
    </w:p>
    <w:p w:rsidR="00B0093E" w:rsidRDefault="00762CA6">
      <w:pPr>
        <w:numPr>
          <w:ilvl w:val="0"/>
          <w:numId w:val="25"/>
        </w:numPr>
        <w:spacing w:before="120" w:after="0" w:line="240" w:lineRule="auto"/>
        <w:jc w:val="both"/>
        <w:rPr>
          <w:rFonts w:ascii="Times New Roman" w:hAnsi="Times New Roman" w:cs="Times New Roman"/>
          <w:noProof/>
          <w:sz w:val="24"/>
        </w:rPr>
      </w:pPr>
      <w:r>
        <w:rPr>
          <w:rFonts w:ascii="Times New Roman" w:hAnsi="Times New Roman"/>
          <w:noProof/>
          <w:sz w:val="24"/>
        </w:rPr>
        <w:t>Vesiviljelyalan toimia koskevat ehdotukset (tunniste: 16584)</w:t>
      </w:r>
    </w:p>
    <w:p w:rsidR="00B0093E" w:rsidRDefault="00762CA6">
      <w:pPr>
        <w:numPr>
          <w:ilvl w:val="0"/>
          <w:numId w:val="25"/>
        </w:numPr>
        <w:spacing w:before="120" w:after="120" w:line="240" w:lineRule="auto"/>
        <w:jc w:val="both"/>
        <w:rPr>
          <w:rFonts w:ascii="Times New Roman" w:hAnsi="Times New Roman" w:cs="Times New Roman"/>
          <w:noProof/>
          <w:sz w:val="24"/>
        </w:rPr>
      </w:pPr>
      <w:r>
        <w:rPr>
          <w:rFonts w:ascii="Times New Roman" w:hAnsi="Times New Roman"/>
          <w:noProof/>
          <w:sz w:val="24"/>
        </w:rPr>
        <w:t>Investoinnit kansalliseen kasteluverkostoo</w:t>
      </w:r>
      <w:r>
        <w:rPr>
          <w:rFonts w:ascii="Times New Roman" w:hAnsi="Times New Roman"/>
          <w:noProof/>
          <w:sz w:val="24"/>
        </w:rPr>
        <w:t>n julkisen ja yksityisen sektorin kumppanuusohjelmien kautta (tunniste: 16285)</w:t>
      </w:r>
    </w:p>
    <w:tbl>
      <w:tblPr>
        <w:tblW w:w="15897" w:type="dxa"/>
        <w:jc w:val="center"/>
        <w:tblLook w:val="04A0" w:firstRow="1" w:lastRow="0" w:firstColumn="1" w:lastColumn="0" w:noHBand="0" w:noVBand="1"/>
      </w:tblPr>
      <w:tblGrid>
        <w:gridCol w:w="1252"/>
        <w:gridCol w:w="2615"/>
        <w:gridCol w:w="1626"/>
        <w:gridCol w:w="1739"/>
        <w:gridCol w:w="1754"/>
        <w:gridCol w:w="1247"/>
        <w:gridCol w:w="966"/>
        <w:gridCol w:w="1006"/>
        <w:gridCol w:w="1387"/>
        <w:gridCol w:w="687"/>
        <w:gridCol w:w="4332"/>
      </w:tblGrid>
      <w:tr w:rsidR="00B0093E">
        <w:trPr>
          <w:trHeight w:val="927"/>
          <w:tblHeader/>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Numero</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Toimenpide (uudistus tai investointi)</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Välitavoite/tavoite</w:t>
            </w:r>
          </w:p>
        </w:tc>
        <w:tc>
          <w:tcPr>
            <w:tcW w:w="1366"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Nimi</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Laadulliset indikaattorit   (välitavoitteiden osalta)</w:t>
            </w:r>
          </w:p>
        </w:tc>
        <w:tc>
          <w:tcPr>
            <w:tcW w:w="2317"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Määrälliset indikaattorit   (tavoitteiden osalta)</w:t>
            </w:r>
          </w:p>
        </w:tc>
        <w:tc>
          <w:tcPr>
            <w:tcW w:w="1533"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Alu</w:t>
            </w:r>
            <w:r>
              <w:rPr>
                <w:rFonts w:ascii="Times New Roman" w:hAnsi="Times New Roman"/>
                <w:b/>
                <w:noProof/>
                <w:sz w:val="18"/>
                <w:szCs w:val="18"/>
              </w:rPr>
              <w:t xml:space="preserve">stava toteutusaikataulu </w:t>
            </w:r>
          </w:p>
        </w:tc>
        <w:tc>
          <w:tcPr>
            <w:tcW w:w="43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Kunkin välitavoitteen ja tavoitteen kuvaus</w:t>
            </w:r>
          </w:p>
        </w:tc>
      </w:tr>
      <w:tr w:rsidR="00B0093E">
        <w:trPr>
          <w:trHeight w:val="1013"/>
          <w:tblHeader/>
          <w:jc w:val="center"/>
        </w:trPr>
        <w:tc>
          <w:tcPr>
            <w:tcW w:w="125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83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366" w:type="dxa"/>
            <w:vMerge/>
            <w:tcBorders>
              <w:top w:val="single" w:sz="4" w:space="0" w:color="auto"/>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17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c>
          <w:tcPr>
            <w:tcW w:w="89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Mittayksikkö</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 xml:space="preserve">Perustaso </w:t>
            </w:r>
          </w:p>
        </w:tc>
        <w:tc>
          <w:tcPr>
            <w:tcW w:w="561"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 xml:space="preserve">Päämäärä </w:t>
            </w:r>
          </w:p>
        </w:tc>
        <w:tc>
          <w:tcPr>
            <w:tcW w:w="824"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Vuosineljännes</w:t>
            </w:r>
          </w:p>
        </w:tc>
        <w:tc>
          <w:tcPr>
            <w:tcW w:w="68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Vuosi</w:t>
            </w:r>
          </w:p>
        </w:tc>
        <w:tc>
          <w:tcPr>
            <w:tcW w:w="4332"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noProof/>
                <w:sz w:val="18"/>
                <w:szCs w:val="18"/>
                <w:lang w:eastAsia="en-GB"/>
              </w:rPr>
            </w:pPr>
          </w:p>
        </w:tc>
      </w:tr>
      <w:tr w:rsidR="00B0093E">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310</w:t>
            </w:r>
          </w:p>
        </w:tc>
        <w:tc>
          <w:tcPr>
            <w:tcW w:w="18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17-4.6. Keskeisten talouden alojen nykyaikaistaminen ja niiden häiriönsietokyvyn parantaminen – 16626_maatalousalan taloudellinen muutos</w:t>
            </w:r>
          </w:p>
        </w:tc>
        <w:tc>
          <w:tcPr>
            <w:tcW w:w="15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Maatalouden taloudellinen muutos: Ohjelman käynnistäminen</w:t>
            </w:r>
          </w:p>
        </w:tc>
        <w:tc>
          <w:tcPr>
            <w:tcW w:w="17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Toteutuskumppanin kanssa allekirjoitettu so</w:t>
            </w:r>
            <w:r>
              <w:rPr>
                <w:noProof/>
                <w:color w:val="006100"/>
                <w:sz w:val="18"/>
                <w:szCs w:val="18"/>
              </w:rPr>
              <w:t>pimus</w:t>
            </w:r>
          </w:p>
          <w:p w:rsidR="00B0093E" w:rsidRDefault="00B0093E">
            <w:pPr>
              <w:spacing w:after="0" w:line="240" w:lineRule="auto"/>
              <w:rPr>
                <w:rFonts w:cs="Calibri"/>
                <w:noProof/>
                <w:color w:val="006100"/>
                <w:sz w:val="18"/>
                <w:szCs w:val="18"/>
              </w:rPr>
            </w:pPr>
          </w:p>
          <w:p w:rsidR="00B0093E" w:rsidRDefault="00B0093E">
            <w:pPr>
              <w:spacing w:after="0" w:line="240" w:lineRule="auto"/>
              <w:rPr>
                <w:rFonts w:eastAsia="Times New Roman" w:cs="Calibri"/>
                <w:noProof/>
                <w:color w:val="006100"/>
                <w:sz w:val="18"/>
                <w:szCs w:val="18"/>
                <w:lang w:eastAsia="en-GB"/>
              </w:rPr>
            </w:pPr>
          </w:p>
        </w:tc>
        <w:tc>
          <w:tcPr>
            <w:tcW w:w="89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Q1</w:t>
            </w:r>
          </w:p>
        </w:tc>
        <w:tc>
          <w:tcPr>
            <w:tcW w:w="6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2022</w:t>
            </w:r>
          </w:p>
        </w:tc>
        <w:tc>
          <w:tcPr>
            <w:tcW w:w="43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rPr>
              <w:t>Käynnistetään maatalouden talouden muutosta koskevat ehdotuspyynnöt.</w:t>
            </w:r>
          </w:p>
          <w:p w:rsidR="00B0093E" w:rsidRDefault="00762CA6">
            <w:pPr>
              <w:spacing w:after="0" w:line="240" w:lineRule="auto"/>
              <w:rPr>
                <w:noProof/>
                <w:color w:val="006100"/>
                <w:sz w:val="18"/>
                <w:szCs w:val="18"/>
              </w:rPr>
            </w:pPr>
            <w:r>
              <w:rPr>
                <w:noProof/>
                <w:color w:val="006100"/>
                <w:sz w:val="18"/>
                <w:szCs w:val="18"/>
              </w:rPr>
              <w:t xml:space="preserve">Kilpailuun perustuvat ehdotuspyynnöt, jotka sisältävät tarjouseritelmän, mukaan lukien tukikelpoisuusperusteet, joilla varmistetaan, että valitut hankkeet ovat ”ei </w:t>
            </w:r>
            <w:r>
              <w:rPr>
                <w:noProof/>
                <w:color w:val="006100"/>
                <w:sz w:val="18"/>
                <w:szCs w:val="18"/>
              </w:rPr>
              <w:t>merkittävää haittaa” -periaatteen teknisten ohjeiden (2021/C58/01) mukaisia käyttämällä poissulkemisluetteloa ja edellyttämällä asiaankuuluvan EU:n ja kansallisen ympäristölainsäädännön noudattamista.</w:t>
            </w:r>
          </w:p>
          <w:p w:rsidR="00B0093E" w:rsidRDefault="00B0093E">
            <w:pPr>
              <w:spacing w:after="0" w:line="240" w:lineRule="auto"/>
              <w:rPr>
                <w:noProof/>
                <w:color w:val="006100"/>
                <w:sz w:val="18"/>
                <w:szCs w:val="18"/>
              </w:rPr>
            </w:pPr>
          </w:p>
          <w:p w:rsidR="00B0093E" w:rsidRDefault="00762CA6">
            <w:pPr>
              <w:spacing w:after="0" w:line="240" w:lineRule="auto"/>
              <w:rPr>
                <w:rFonts w:eastAsia="Times New Roman"/>
                <w:noProof/>
                <w:color w:val="006100"/>
                <w:sz w:val="18"/>
                <w:szCs w:val="18"/>
              </w:rPr>
            </w:pPr>
            <w:r>
              <w:rPr>
                <w:noProof/>
                <w:color w:val="006100"/>
                <w:sz w:val="18"/>
                <w:szCs w:val="18"/>
              </w:rPr>
              <w:t xml:space="preserve">Tarjouskilpailuihin on sisällyttävä seuraavat toimet: </w:t>
            </w:r>
            <w:r>
              <w:rPr>
                <w:noProof/>
                <w:color w:val="006100"/>
                <w:sz w:val="18"/>
                <w:szCs w:val="18"/>
              </w:rPr>
              <w:t>toimet, jotka liittyvät tuotantoyksiköiden, rakennusten ja mekaanisten laitteiden, joiden energiankulutus on vähäistä, energiaparantamiseen matkailukohteissa (rakennuksissa), ympäristöystävällisiin liikennevälineisiin (sähköautot, polkupyörät jne.), ympäri</w:t>
            </w:r>
            <w:r>
              <w:rPr>
                <w:noProof/>
                <w:color w:val="006100"/>
                <w:sz w:val="18"/>
                <w:szCs w:val="18"/>
              </w:rPr>
              <w:t>stöystävällisten tuotantoprosessien ja resurssitehokkuuden tukemiseen pk-yrityksissä, uusiutuvaan energiaan (aurinkoenergia), ilmastonmuutokseen sopeutumiseen ja ehkäiseviin toimenpiteisiin sekä ilmastoon liittyvien riskien hallintaan, biologisen monimuoto</w:t>
            </w:r>
            <w:r>
              <w:rPr>
                <w:noProof/>
                <w:color w:val="006100"/>
                <w:sz w:val="18"/>
                <w:szCs w:val="18"/>
              </w:rPr>
              <w:t>isuuden suojeluun sekä luonnonperintöön ja luonnonvaroihin.</w:t>
            </w:r>
          </w:p>
        </w:tc>
      </w:tr>
      <w:tr w:rsidR="00B0093E">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311</w:t>
            </w:r>
          </w:p>
        </w:tc>
        <w:tc>
          <w:tcPr>
            <w:tcW w:w="183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xml:space="preserve"> 17-4.6. Keskeisten talouden alojen nykyaikaistaminen ja häiriönsietokyvyn parantaminen – 16653_Maatalouselintarvikealan digitalisaatio </w:t>
            </w:r>
          </w:p>
        </w:tc>
        <w:tc>
          <w:tcPr>
            <w:tcW w:w="158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Välitavoite</w:t>
            </w:r>
          </w:p>
        </w:tc>
        <w:tc>
          <w:tcPr>
            <w:tcW w:w="13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xml:space="preserve">Maatalous- ja elintarvikealan digitalisaatiota koskevan ehdotuspyynnön käynnistäminen </w:t>
            </w:r>
          </w:p>
        </w:tc>
        <w:tc>
          <w:tcPr>
            <w:tcW w:w="170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xml:space="preserve">Ehdotuspyynnön käynnistäminen </w:t>
            </w:r>
          </w:p>
        </w:tc>
        <w:tc>
          <w:tcPr>
            <w:tcW w:w="89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Q3</w:t>
            </w:r>
          </w:p>
        </w:tc>
        <w:tc>
          <w:tcPr>
            <w:tcW w:w="68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2022 </w:t>
            </w:r>
          </w:p>
        </w:tc>
        <w:tc>
          <w:tcPr>
            <w:tcW w:w="433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Käynnistetään digitalisaatiota koskeva ehdotuspyyntö laajamittaisen avoimen digitaalisen maatalouden infrastruktuurin ja kogn</w:t>
            </w:r>
            <w:r>
              <w:rPr>
                <w:noProof/>
                <w:color w:val="006100"/>
                <w:sz w:val="18"/>
                <w:szCs w:val="18"/>
              </w:rPr>
              <w:t>itiivisen maatalousympäristön kehittämiseksi tuotantoprosessia ja luonnonvarojen hallintaa varten.</w:t>
            </w:r>
          </w:p>
        </w:tc>
      </w:tr>
      <w:tr w:rsidR="00B0093E">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312</w:t>
            </w:r>
          </w:p>
        </w:tc>
        <w:tc>
          <w:tcPr>
            <w:tcW w:w="18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4-1.4. Resurssien kestävä käyttö, ilmastokestävyys ja ympäristönsuojelu – 16285_Investoinnit kansalliseen kasteluverkostoon julkisen ja yksityisen </w:t>
            </w:r>
            <w:r>
              <w:rPr>
                <w:noProof/>
                <w:color w:val="006100"/>
                <w:sz w:val="18"/>
                <w:szCs w:val="18"/>
              </w:rPr>
              <w:t>sektorin kumppanuusjärjestelyjen avulla</w:t>
            </w:r>
          </w:p>
        </w:tc>
        <w:tc>
          <w:tcPr>
            <w:tcW w:w="15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Kasteluhankkeita koskevat sopimukset</w:t>
            </w:r>
          </w:p>
        </w:tc>
        <w:tc>
          <w:tcPr>
            <w:tcW w:w="170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Sopimusten tekeminen</w:t>
            </w:r>
          </w:p>
          <w:p w:rsidR="00B0093E" w:rsidRDefault="00B0093E">
            <w:pPr>
              <w:spacing w:after="0" w:line="240" w:lineRule="auto"/>
              <w:rPr>
                <w:rFonts w:eastAsia="Times New Roman" w:cs="Calibri"/>
                <w:noProof/>
                <w:color w:val="006100"/>
                <w:sz w:val="18"/>
                <w:szCs w:val="18"/>
                <w:lang w:eastAsia="en-GB"/>
              </w:rPr>
            </w:pPr>
          </w:p>
        </w:tc>
        <w:tc>
          <w:tcPr>
            <w:tcW w:w="89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2023</w:t>
            </w:r>
          </w:p>
        </w:tc>
        <w:tc>
          <w:tcPr>
            <w:tcW w:w="433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Julkisen ja yksityisen sektorin kumppanuussopimusten tekeminen lueteltujen 18 kasteluhankkeen rakentamiseksi ja toteuttamiseksi. Kunkin ali-investoinnin osalta on varmistettava EU:n lainsäädännön vaatimusten noudattaminen kaikilta osin, vesipolitiikan puit</w:t>
            </w:r>
            <w:r>
              <w:rPr>
                <w:noProof/>
                <w:color w:val="006100"/>
                <w:sz w:val="18"/>
                <w:szCs w:val="18"/>
              </w:rPr>
              <w:t>edirektiivi mukaan lukien, ennen rakennustöiden aloittamista ja niiden jälkeen. Julkista kuulemista varten julkaistavan ympäristövaikutusten arviointiluonnoksen yhteydessä olisi erityisesti perusteltava investoinnin tarkoitus vaihtoehtoihin verrattuna sekä</w:t>
            </w:r>
            <w:r>
              <w:rPr>
                <w:noProof/>
                <w:color w:val="006100"/>
                <w:sz w:val="18"/>
                <w:szCs w:val="18"/>
              </w:rPr>
              <w:t xml:space="preserve"> tavoitteen (kastellun maan laajuus verrattuna maaseudun kestävään elvyttämiseen) että keinojen (veden kysynnän vähentäminen ja luontoon perustuvat ratkaisut) osalta.  </w:t>
            </w:r>
          </w:p>
          <w:p w:rsidR="00B0093E" w:rsidRDefault="00B0093E">
            <w:pPr>
              <w:spacing w:after="0" w:line="240" w:lineRule="auto"/>
              <w:rPr>
                <w:rFonts w:cs="Calibri"/>
                <w:noProof/>
                <w:color w:val="006100"/>
                <w:sz w:val="18"/>
                <w:szCs w:val="18"/>
              </w:rPr>
            </w:pPr>
          </w:p>
          <w:p w:rsidR="00B0093E" w:rsidRDefault="00762CA6">
            <w:pPr>
              <w:spacing w:after="0" w:line="240" w:lineRule="auto"/>
              <w:rPr>
                <w:noProof/>
                <w:color w:val="006100"/>
                <w:sz w:val="18"/>
                <w:szCs w:val="18"/>
              </w:rPr>
            </w:pPr>
            <w:r>
              <w:rPr>
                <w:noProof/>
                <w:color w:val="006100"/>
                <w:sz w:val="18"/>
                <w:szCs w:val="18"/>
              </w:rPr>
              <w:t>Kaikissa patoihin tehtävissä investoinneissa on noudatettava seuraavia perusteita:</w:t>
            </w:r>
          </w:p>
          <w:p w:rsidR="00B0093E" w:rsidRDefault="00B0093E">
            <w:pPr>
              <w:spacing w:after="0" w:line="240" w:lineRule="auto"/>
              <w:rPr>
                <w:rFonts w:cs="Calibri"/>
                <w:noProof/>
                <w:color w:val="006100"/>
                <w:sz w:val="18"/>
                <w:szCs w:val="18"/>
              </w:rPr>
            </w:pPr>
          </w:p>
          <w:p w:rsidR="00B0093E" w:rsidRDefault="00762CA6">
            <w:pPr>
              <w:numPr>
                <w:ilvl w:val="0"/>
                <w:numId w:val="46"/>
              </w:numPr>
              <w:spacing w:before="120" w:after="0" w:line="240" w:lineRule="auto"/>
              <w:ind w:left="349" w:hanging="423"/>
              <w:jc w:val="both"/>
              <w:rPr>
                <w:rFonts w:eastAsia="Times New Roman"/>
                <w:noProof/>
                <w:color w:val="006100"/>
                <w:sz w:val="18"/>
                <w:szCs w:val="18"/>
              </w:rPr>
            </w:pPr>
            <w:r>
              <w:rPr>
                <w:noProof/>
                <w:color w:val="006100"/>
                <w:sz w:val="18"/>
                <w:szCs w:val="18"/>
              </w:rPr>
              <w:t>sä</w:t>
            </w:r>
            <w:r>
              <w:rPr>
                <w:noProof/>
                <w:color w:val="006100"/>
                <w:sz w:val="18"/>
                <w:szCs w:val="18"/>
              </w:rPr>
              <w:t xml:space="preserve">hköntuotannosta vesivoimalla aiheutuvat elinkaaren aikaiset kasvihuonekaasupäästöt ovat alle 100 g CO2e/kWh; tai sähköntuotantolaitoksen tehotiheys on yli 5 W/m² ja </w:t>
            </w:r>
          </w:p>
          <w:p w:rsidR="00B0093E" w:rsidRDefault="00762CA6">
            <w:pPr>
              <w:numPr>
                <w:ilvl w:val="0"/>
                <w:numId w:val="46"/>
              </w:numPr>
              <w:spacing w:before="120" w:after="0" w:line="240" w:lineRule="auto"/>
              <w:ind w:left="349" w:hanging="423"/>
              <w:jc w:val="both"/>
              <w:rPr>
                <w:rFonts w:eastAsia="Times New Roman"/>
                <w:noProof/>
                <w:color w:val="006100"/>
                <w:sz w:val="18"/>
                <w:szCs w:val="18"/>
              </w:rPr>
            </w:pPr>
            <w:r>
              <w:rPr>
                <w:noProof/>
                <w:color w:val="006100"/>
                <w:sz w:val="18"/>
                <w:szCs w:val="18"/>
              </w:rPr>
              <w:t>kaikki teknisesti toteutettavissa olevat ja ekologisesti merkittävät lieventävät toimenpit</w:t>
            </w:r>
            <w:r>
              <w:rPr>
                <w:noProof/>
                <w:color w:val="006100"/>
                <w:sz w:val="18"/>
                <w:szCs w:val="18"/>
              </w:rPr>
              <w:t>eet on toteutettu tai on toteutettava veteen ja merkityksellisiin luontotyyppeihin ja lajeihin kohdistuvien haitallisten vaikutusten vähentämiseksi ottaen huomioon myös ilmastonmuutoksen ennakoidut tulevat vaikutukset ja sopeutumistoimenpiteiden täytäntöön</w:t>
            </w:r>
            <w:r>
              <w:rPr>
                <w:noProof/>
                <w:color w:val="006100"/>
                <w:sz w:val="18"/>
                <w:szCs w:val="18"/>
              </w:rPr>
              <w:t xml:space="preserve">pano ja  </w:t>
            </w:r>
          </w:p>
          <w:p w:rsidR="00B0093E" w:rsidRDefault="00762CA6">
            <w:pPr>
              <w:numPr>
                <w:ilvl w:val="0"/>
                <w:numId w:val="46"/>
              </w:numPr>
              <w:spacing w:before="120" w:after="0" w:line="240" w:lineRule="auto"/>
              <w:ind w:left="349" w:hanging="423"/>
              <w:jc w:val="both"/>
              <w:rPr>
                <w:rFonts w:eastAsia="Times New Roman"/>
                <w:noProof/>
                <w:color w:val="006100"/>
                <w:sz w:val="18"/>
                <w:szCs w:val="18"/>
              </w:rPr>
            </w:pPr>
            <w:r>
              <w:rPr>
                <w:noProof/>
                <w:color w:val="006100"/>
                <w:sz w:val="18"/>
                <w:szCs w:val="18"/>
              </w:rPr>
              <w:t xml:space="preserve">varmistettava vasta rakennetun padon osalta, että se ei huononna eikä vaaranna asianomaisten ja siihen liittyvien vesistöjen hyvän tilan saavuttamista; ja </w:t>
            </w:r>
          </w:p>
          <w:p w:rsidR="00B0093E" w:rsidRDefault="00762CA6">
            <w:pPr>
              <w:numPr>
                <w:ilvl w:val="0"/>
                <w:numId w:val="46"/>
              </w:numPr>
              <w:spacing w:before="120" w:after="0" w:line="240" w:lineRule="auto"/>
              <w:ind w:left="349" w:hanging="423"/>
              <w:jc w:val="both"/>
              <w:rPr>
                <w:noProof/>
              </w:rPr>
            </w:pPr>
            <w:r>
              <w:rPr>
                <w:noProof/>
                <w:color w:val="006100"/>
                <w:sz w:val="18"/>
                <w:szCs w:val="18"/>
              </w:rPr>
              <w:t xml:space="preserve">muita mahdollisia vaihtoehtoja padon rakentamiselle on tutkittu, ja viranomaiset esittävät syyt siihen, miksi tällaiset vaihtoehdot eivät olleet soveltuvissa tapauksissa toteuttamiskelpoisia. </w:t>
            </w:r>
          </w:p>
        </w:tc>
      </w:tr>
      <w:tr w:rsidR="00B0093E">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313</w:t>
            </w:r>
          </w:p>
        </w:tc>
        <w:tc>
          <w:tcPr>
            <w:tcW w:w="183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xml:space="preserve"> 17-4.6. Keskeisten talouden alojen nykyaikaistaminen ja </w:t>
            </w:r>
            <w:r>
              <w:rPr>
                <w:noProof/>
                <w:color w:val="006100"/>
                <w:sz w:val="18"/>
                <w:szCs w:val="18"/>
              </w:rPr>
              <w:t>häiriönsietokyvyn parantaminen – 16653_Maatalouselintarvikealan digitalisaatio</w:t>
            </w:r>
          </w:p>
        </w:tc>
        <w:tc>
          <w:tcPr>
            <w:tcW w:w="158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Maatalouden digitalisaatiota koskevan hankkeen loppuun saattaminen</w:t>
            </w:r>
          </w:p>
        </w:tc>
        <w:tc>
          <w:tcPr>
            <w:tcW w:w="170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xml:space="preserve">Loppukertomus. Easy Agro Expo -alustaan sisällytetyt ulospäin suuntautuneet maatalouden </w:t>
            </w:r>
            <w:r>
              <w:rPr>
                <w:noProof/>
                <w:color w:val="006100"/>
                <w:sz w:val="18"/>
                <w:szCs w:val="18"/>
              </w:rPr>
              <w:t>digitaaliset palvelut.</w:t>
            </w:r>
          </w:p>
        </w:tc>
        <w:tc>
          <w:tcPr>
            <w:tcW w:w="89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Q2</w:t>
            </w:r>
          </w:p>
        </w:tc>
        <w:tc>
          <w:tcPr>
            <w:tcW w:w="68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2025 </w:t>
            </w:r>
          </w:p>
        </w:tc>
        <w:tc>
          <w:tcPr>
            <w:tcW w:w="433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noProof/>
                <w:color w:val="006100"/>
                <w:sz w:val="18"/>
                <w:szCs w:val="18"/>
              </w:rPr>
            </w:pPr>
            <w:r>
              <w:rPr>
                <w:noProof/>
                <w:color w:val="006100"/>
                <w:sz w:val="18"/>
                <w:szCs w:val="18"/>
              </w:rPr>
              <w:t>Kahden komponentin loppuun saattaminen:</w:t>
            </w:r>
          </w:p>
          <w:p w:rsidR="00B0093E" w:rsidRDefault="00762CA6">
            <w:pPr>
              <w:numPr>
                <w:ilvl w:val="0"/>
                <w:numId w:val="57"/>
              </w:numPr>
              <w:spacing w:before="120" w:after="0" w:line="259" w:lineRule="auto"/>
              <w:ind w:left="476"/>
              <w:contextualSpacing/>
              <w:jc w:val="both"/>
              <w:rPr>
                <w:noProof/>
                <w:color w:val="006100"/>
                <w:sz w:val="18"/>
                <w:szCs w:val="18"/>
              </w:rPr>
            </w:pPr>
            <w:r>
              <w:rPr>
                <w:noProof/>
                <w:color w:val="006100"/>
                <w:sz w:val="18"/>
                <w:szCs w:val="18"/>
              </w:rPr>
              <w:t>Maataloussektorin digitalisaatio, johon kuuluu laaja-alaisen avoimen digitaalisen maatalouden infrastruktuurin kehittäminen, mukaan lukien pilvipalveluinfrastruktuuri ja maapallon h</w:t>
            </w:r>
            <w:r>
              <w:rPr>
                <w:noProof/>
                <w:color w:val="006100"/>
                <w:sz w:val="18"/>
                <w:szCs w:val="18"/>
              </w:rPr>
              <w:t xml:space="preserve">avainnointiin (satelliittien avulla ja ilmasta käsin / miehittämättömien ilma-alusten avulla) liittyvän datan ja monialaisen teknologian laajat käsittelyvalmiudet; </w:t>
            </w:r>
          </w:p>
          <w:p w:rsidR="00B0093E" w:rsidRDefault="00762CA6">
            <w:pPr>
              <w:numPr>
                <w:ilvl w:val="0"/>
                <w:numId w:val="57"/>
              </w:numPr>
              <w:spacing w:before="120" w:after="0" w:line="259" w:lineRule="auto"/>
              <w:ind w:left="476"/>
              <w:contextualSpacing/>
              <w:jc w:val="both"/>
              <w:rPr>
                <w:rFonts w:eastAsia="Times New Roman"/>
                <w:noProof/>
                <w:color w:val="006100"/>
                <w:sz w:val="18"/>
                <w:szCs w:val="18"/>
              </w:rPr>
            </w:pPr>
            <w:r>
              <w:rPr>
                <w:noProof/>
                <w:color w:val="006100"/>
                <w:sz w:val="18"/>
                <w:szCs w:val="18"/>
              </w:rPr>
              <w:t>Ulospäin suuntautunut maatalous, johon kuuluu Easy Agro Expo -alustan parantaminen vientito</w:t>
            </w:r>
            <w:r>
              <w:rPr>
                <w:noProof/>
                <w:color w:val="006100"/>
                <w:sz w:val="18"/>
                <w:szCs w:val="18"/>
              </w:rPr>
              <w:t>distusten myöntämistä varten, tuontitietojen ja yhteisön sisäistä kauppaa koskevien tietojen hallintajärjestelmän kehittäminen, yritysten tiedustelujärjestelmän kehittäminen tuontia ja vientiä varten sekä tuotteiden myynninedistämisportaalin parantaminen k</w:t>
            </w:r>
            <w:r>
              <w:rPr>
                <w:noProof/>
                <w:color w:val="006100"/>
                <w:sz w:val="18"/>
                <w:szCs w:val="18"/>
              </w:rPr>
              <w:t>reikkalaisia maatiloja varten.</w:t>
            </w:r>
          </w:p>
        </w:tc>
      </w:tr>
      <w:tr w:rsidR="00B0093E">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314</w:t>
            </w:r>
          </w:p>
        </w:tc>
        <w:tc>
          <w:tcPr>
            <w:tcW w:w="183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17-4.6. Keskeisten talouden alojen nykyaikaistaminen ja niiden häiriönsietokyvyn parantaminen – 16626_maatalousalan taloudellinen muutos</w:t>
            </w:r>
          </w:p>
        </w:tc>
        <w:tc>
          <w:tcPr>
            <w:tcW w:w="158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Välitavoite</w:t>
            </w:r>
          </w:p>
        </w:tc>
        <w:tc>
          <w:tcPr>
            <w:tcW w:w="136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Maatalouden taloudellisen muutoksen loppuun saattaminen</w:t>
            </w:r>
          </w:p>
        </w:tc>
        <w:tc>
          <w:tcPr>
            <w:tcW w:w="170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 xml:space="preserve">Hankkeiden </w:t>
            </w:r>
            <w:r>
              <w:rPr>
                <w:noProof/>
                <w:color w:val="006100"/>
                <w:sz w:val="18"/>
                <w:szCs w:val="18"/>
              </w:rPr>
              <w:t>päättäminen ja maaseudun kehittämisestä vastaavan ministeriön hyväksymien tuensaajien antamien tarkastuslausuntojen antaminen.</w:t>
            </w:r>
          </w:p>
        </w:tc>
        <w:tc>
          <w:tcPr>
            <w:tcW w:w="89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87"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noProof/>
                <w:color w:val="006100"/>
                <w:sz w:val="18"/>
                <w:szCs w:val="18"/>
              </w:rPr>
            </w:pPr>
            <w:r>
              <w:rPr>
                <w:noProof/>
                <w:color w:val="006100"/>
                <w:sz w:val="18"/>
                <w:szCs w:val="18"/>
              </w:rPr>
              <w:t>2025</w:t>
            </w:r>
          </w:p>
        </w:tc>
        <w:tc>
          <w:tcPr>
            <w:tcW w:w="4332" w:type="dxa"/>
            <w:tcBorders>
              <w:top w:val="nil"/>
              <w:left w:val="nil"/>
              <w:bottom w:val="single" w:sz="4" w:space="0" w:color="auto"/>
              <w:right w:val="single" w:sz="4" w:space="0" w:color="auto"/>
            </w:tcBorders>
            <w:shd w:val="clear" w:color="auto" w:fill="C6EFCE"/>
            <w:noWrap/>
            <w:hideMark/>
          </w:tcPr>
          <w:p w:rsidR="00B0093E" w:rsidRDefault="00762CA6">
            <w:pPr>
              <w:spacing w:before="120" w:after="0" w:line="240" w:lineRule="auto"/>
              <w:jc w:val="both"/>
              <w:rPr>
                <w:noProof/>
                <w:color w:val="006100"/>
                <w:sz w:val="18"/>
                <w:szCs w:val="18"/>
              </w:rPr>
            </w:pPr>
            <w:r>
              <w:rPr>
                <w:noProof/>
                <w:color w:val="006100"/>
                <w:sz w:val="18"/>
                <w:szCs w:val="18"/>
              </w:rPr>
              <w:t xml:space="preserve">Maatalouden taloudellinen muutos: Kaikkien komponenttien päättämiseen liittyvä tilinpäätösprosessi: </w:t>
            </w:r>
          </w:p>
          <w:p w:rsidR="00B0093E" w:rsidRDefault="00762CA6">
            <w:pPr>
              <w:spacing w:after="0" w:line="259" w:lineRule="auto"/>
              <w:ind w:left="334"/>
              <w:contextualSpacing/>
              <w:rPr>
                <w:noProof/>
                <w:color w:val="006100"/>
                <w:sz w:val="18"/>
                <w:szCs w:val="18"/>
              </w:rPr>
            </w:pPr>
            <w:r>
              <w:rPr>
                <w:noProof/>
                <w:color w:val="006100"/>
                <w:sz w:val="18"/>
                <w:szCs w:val="18"/>
              </w:rPr>
              <w:t>1. Maataloustuott</w:t>
            </w:r>
            <w:r>
              <w:rPr>
                <w:noProof/>
                <w:color w:val="006100"/>
                <w:sz w:val="18"/>
                <w:szCs w:val="18"/>
              </w:rPr>
              <w:t>eiden jalostukseen liittyvä innovointi ja vihreä siirtymä</w:t>
            </w:r>
          </w:p>
          <w:p w:rsidR="00B0093E" w:rsidRDefault="00762CA6">
            <w:pPr>
              <w:spacing w:after="0" w:line="259" w:lineRule="auto"/>
              <w:ind w:left="334"/>
              <w:contextualSpacing/>
              <w:rPr>
                <w:noProof/>
                <w:color w:val="006100"/>
                <w:sz w:val="18"/>
                <w:szCs w:val="18"/>
              </w:rPr>
            </w:pPr>
            <w:r>
              <w:rPr>
                <w:noProof/>
                <w:color w:val="006100"/>
                <w:sz w:val="18"/>
                <w:szCs w:val="18"/>
              </w:rPr>
              <w:t>2. Alkutuotannon nykyaikaistaminen</w:t>
            </w:r>
          </w:p>
          <w:p w:rsidR="00B0093E" w:rsidRDefault="00762CA6">
            <w:pPr>
              <w:spacing w:after="0" w:line="259" w:lineRule="auto"/>
              <w:ind w:left="334"/>
              <w:contextualSpacing/>
              <w:rPr>
                <w:noProof/>
                <w:color w:val="006100"/>
                <w:sz w:val="18"/>
                <w:szCs w:val="18"/>
              </w:rPr>
            </w:pPr>
            <w:r>
              <w:rPr>
                <w:noProof/>
                <w:color w:val="006100"/>
                <w:sz w:val="18"/>
                <w:szCs w:val="18"/>
              </w:rPr>
              <w:t>3. Vihreä maaseutumatkailu</w:t>
            </w:r>
          </w:p>
          <w:p w:rsidR="00B0093E" w:rsidRDefault="00762CA6">
            <w:pPr>
              <w:spacing w:after="0" w:line="259" w:lineRule="auto"/>
              <w:ind w:left="334"/>
              <w:contextualSpacing/>
              <w:rPr>
                <w:noProof/>
                <w:color w:val="006100"/>
                <w:sz w:val="18"/>
                <w:szCs w:val="18"/>
              </w:rPr>
            </w:pPr>
            <w:r>
              <w:rPr>
                <w:noProof/>
                <w:color w:val="006100"/>
                <w:sz w:val="18"/>
                <w:szCs w:val="18"/>
              </w:rPr>
              <w:t>4. Viljelyn rakenneuudistus</w:t>
            </w:r>
          </w:p>
          <w:p w:rsidR="00B0093E" w:rsidRDefault="00762CA6">
            <w:pPr>
              <w:spacing w:after="0" w:line="259" w:lineRule="auto"/>
              <w:ind w:left="334"/>
              <w:contextualSpacing/>
              <w:rPr>
                <w:noProof/>
                <w:sz w:val="18"/>
                <w:szCs w:val="18"/>
              </w:rPr>
            </w:pPr>
            <w:r>
              <w:rPr>
                <w:noProof/>
                <w:color w:val="006100"/>
                <w:sz w:val="18"/>
                <w:szCs w:val="18"/>
              </w:rPr>
              <w:t>5. Eläinten geneettinen parantaminen</w:t>
            </w:r>
          </w:p>
        </w:tc>
      </w:tr>
      <w:tr w:rsidR="00B0093E">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315</w:t>
            </w:r>
          </w:p>
        </w:tc>
        <w:tc>
          <w:tcPr>
            <w:tcW w:w="18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17-4.6. Keskeisten talouden alojen nykyaikaistaminen ja </w:t>
            </w:r>
            <w:r>
              <w:rPr>
                <w:noProof/>
                <w:color w:val="006100"/>
                <w:sz w:val="18"/>
                <w:szCs w:val="18"/>
              </w:rPr>
              <w:t>häiriönsietokyvyn parantaminen – 16584_Ehdotukset vesiviljelyalan toimiksi</w:t>
            </w:r>
          </w:p>
        </w:tc>
        <w:tc>
          <w:tcPr>
            <w:tcW w:w="15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3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Vesiviljely saatettu päätökseen</w:t>
            </w:r>
          </w:p>
        </w:tc>
        <w:tc>
          <w:tcPr>
            <w:tcW w:w="170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Loppukertomus.</w:t>
            </w:r>
          </w:p>
        </w:tc>
        <w:tc>
          <w:tcPr>
            <w:tcW w:w="899" w:type="dxa"/>
            <w:tcBorders>
              <w:top w:val="single" w:sz="4" w:space="0" w:color="auto"/>
              <w:left w:val="nil"/>
              <w:bottom w:val="single" w:sz="4" w:space="0" w:color="auto"/>
              <w:right w:val="single" w:sz="4" w:space="0" w:color="auto"/>
            </w:tcBorders>
            <w:shd w:val="clear" w:color="auto" w:fill="C6EFCE"/>
            <w:noWrap/>
          </w:tcPr>
          <w:p w:rsidR="00B0093E" w:rsidRDefault="00B0093E">
            <w:pPr>
              <w:spacing w:before="120"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56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8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2025</w:t>
            </w:r>
          </w:p>
        </w:tc>
        <w:tc>
          <w:tcPr>
            <w:tcW w:w="43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 xml:space="preserve">Vesiviljely: Kaikki päätökseen saatetut toimet, joihin kuuluvat tuotantoyksiköiden, laitteiden, </w:t>
            </w:r>
            <w:r>
              <w:rPr>
                <w:noProof/>
                <w:color w:val="006100"/>
                <w:sz w:val="18"/>
                <w:szCs w:val="18"/>
              </w:rPr>
              <w:t>jätehuoltolaitteiden, uuden teknologian ja tieto- ja viestintätekniikan kehittäminen, uusien tuotteiden edistäminen, taitotiedon siirto, geenipankki, asiantuntijaneuvonta.</w:t>
            </w:r>
          </w:p>
        </w:tc>
      </w:tr>
      <w:tr w:rsidR="00B0093E">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316</w:t>
            </w:r>
          </w:p>
        </w:tc>
        <w:tc>
          <w:tcPr>
            <w:tcW w:w="18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4-1.4. Resurssien kestävä käyttö, ilmastokestävyys ja ympäristönsuojelu – </w:t>
            </w:r>
            <w:r>
              <w:rPr>
                <w:noProof/>
                <w:color w:val="006100"/>
                <w:sz w:val="18"/>
                <w:szCs w:val="18"/>
              </w:rPr>
              <w:t>16285_Investoinnit kansalliseen kasteluverkostoon julkisen ja yksityisen sektorin kumppanuusjärjestelyjen avulla</w:t>
            </w:r>
          </w:p>
        </w:tc>
        <w:tc>
          <w:tcPr>
            <w:tcW w:w="15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3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Kastelun loppuunsaattaminen</w:t>
            </w:r>
          </w:p>
        </w:tc>
        <w:tc>
          <w:tcPr>
            <w:tcW w:w="170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Hankkeen loppuun saattaminen maaseudun kehittämisestä vastaavan ministeriön hyväksymän riippumattoman i</w:t>
            </w:r>
            <w:r>
              <w:rPr>
                <w:noProof/>
                <w:color w:val="006100"/>
                <w:sz w:val="18"/>
                <w:szCs w:val="18"/>
              </w:rPr>
              <w:t>nsinöörin todistuksen mukaisesti.</w:t>
            </w:r>
          </w:p>
        </w:tc>
        <w:tc>
          <w:tcPr>
            <w:tcW w:w="899"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561"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noProof/>
                <w:color w:val="006100"/>
                <w:sz w:val="18"/>
                <w:szCs w:val="18"/>
                <w:lang w:eastAsia="en-GB"/>
              </w:rPr>
            </w:pPr>
          </w:p>
        </w:tc>
        <w:tc>
          <w:tcPr>
            <w:tcW w:w="82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Q4</w:t>
            </w:r>
          </w:p>
        </w:tc>
        <w:tc>
          <w:tcPr>
            <w:tcW w:w="68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2025</w:t>
            </w:r>
          </w:p>
        </w:tc>
        <w:tc>
          <w:tcPr>
            <w:tcW w:w="433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noProof/>
                <w:color w:val="006100"/>
                <w:sz w:val="18"/>
                <w:szCs w:val="18"/>
              </w:rPr>
            </w:pPr>
            <w:r>
              <w:rPr>
                <w:noProof/>
                <w:color w:val="006100"/>
                <w:sz w:val="18"/>
                <w:szCs w:val="18"/>
              </w:rPr>
              <w:t>Kastelu: Kaikki 18 hanketta on saatettu päätökseen ja ne ovat toiminnassa.</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81"/>
          <w:headerReference w:type="default" r:id="rId282"/>
          <w:footerReference w:type="even" r:id="rId283"/>
          <w:footerReference w:type="default" r:id="rId284"/>
          <w:headerReference w:type="first" r:id="rId285"/>
          <w:footerReference w:type="first" r:id="rId286"/>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R. KOMPONENTTI 4.7: KILPAILUKYVYN PARANTAMINEN JA YKSITYISTEN INVESTOINTIEN</w:t>
      </w:r>
      <w:r>
        <w:rPr>
          <w:rFonts w:ascii="Times New Roman" w:hAnsi="Times New Roman"/>
          <w:b/>
          <w:bCs/>
          <w:noProof/>
          <w:sz w:val="24"/>
        </w:rPr>
        <w:t xml:space="preserve"> JA VIENNIN EDISTÄMINEN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Kreikan elpymis- ja palautumissuunnitelman tällä osa-alueella pyritään kannustamaan yksityisiä investointeja ja lisäämään talouden ulospäin suuntautumista puuttumalla pitkän aikavälin rakenteellisiin ongelmiin ja luomalla liiketoimi</w:t>
      </w:r>
      <w:r>
        <w:rPr>
          <w:rFonts w:ascii="Times New Roman" w:hAnsi="Times New Roman"/>
          <w:noProof/>
          <w:sz w:val="24"/>
        </w:rPr>
        <w:t>ntaympäristö, joka edistää taloudellisen toiminnan kehitystä. Se koostuu toimenpiteistä, joilla edistetään yritysten koon kasvua mittakaavaetujen saavuttamiseksi ja autetaan niitä pääsemään ulkomaisille markkinoille, kevennetään yritysten liiallista hallin</w:t>
      </w:r>
      <w:r>
        <w:rPr>
          <w:rFonts w:ascii="Times New Roman" w:hAnsi="Times New Roman"/>
          <w:noProof/>
          <w:sz w:val="24"/>
        </w:rPr>
        <w:t>nollista taakkaa, edistetään sääntöjen noudattamista ja tasapuolisia toimintaedellytyksiä tehokkaalla markkinavalvonnalla sekä luodaan yksinkertaisempi ja ennakoitavampi sääntelykehys. Näitä toimenpiteitä täydennetään ehdotuksella käyttää elpymis- ja palau</w:t>
      </w:r>
      <w:r>
        <w:rPr>
          <w:rFonts w:ascii="Times New Roman" w:hAnsi="Times New Roman"/>
          <w:noProof/>
          <w:sz w:val="24"/>
        </w:rPr>
        <w:t>tumistukivälineen lainatukea helpottamaan taloudellisten kannustimien tarjoamista yksityiselle sektorille yksityisten investointien edistämiseksi. Tämä lainatuki on tarkoitus kanavoida talouteen kolmen eri kanavan kautta: rahoituslaitokset (yritysten joukk</w:t>
      </w:r>
      <w:r>
        <w:rPr>
          <w:rFonts w:ascii="Times New Roman" w:hAnsi="Times New Roman"/>
          <w:noProof/>
          <w:sz w:val="24"/>
        </w:rPr>
        <w:t>ovelkakirjojen ostojen tai syndikaattilainojen kautta), pääoma-alusta ja osa Kreikan InvestEU-osion kansallisesta osiosta. Komponentilla tuetaan julkisia ja yksityisiä investointeja koskevan maakohtaisen suosituksen (maakohtainen suositus 3 2020, ja maakoh</w:t>
      </w:r>
      <w:r>
        <w:rPr>
          <w:rFonts w:ascii="Times New Roman" w:hAnsi="Times New Roman"/>
          <w:noProof/>
          <w:sz w:val="24"/>
        </w:rPr>
        <w:t>tainen suositus 2 2019) noudattamista. Minkään tähän osa-alueeseen kuuluvan toimenpiteen ei odoteta aiheuttavan merkittävää haittaa asetuksen (EU) 2020/852 17 artiklassa tarkoitetuille ympäristötavoitteille, kun otetaan huomioon elpymis- ja palautumissuunn</w:t>
      </w:r>
      <w:r>
        <w:rPr>
          <w:rFonts w:ascii="Times New Roman" w:hAnsi="Times New Roman"/>
          <w:noProof/>
          <w:sz w:val="24"/>
        </w:rPr>
        <w:t>itelmassa esitettyjen toimenpiteiden kuvaus ja lieventävät toimet ”ei merkittävää haittaa -periaatteen” teknisten ohjeiden (2021/C58/01) mukaisesti.</w:t>
      </w:r>
    </w:p>
    <w:p w:rsidR="00B0093E" w:rsidRDefault="00762CA6">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R.1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w:t>
      </w:r>
      <w:r>
        <w:rPr>
          <w:rFonts w:ascii="Times New Roman" w:hAnsi="Times New Roman"/>
          <w:b/>
          <w:bCs/>
          <w:noProof/>
          <w:sz w:val="24"/>
        </w:rPr>
        <w:t>distus:</w:t>
      </w:r>
      <w:r>
        <w:rPr>
          <w:rFonts w:ascii="Times New Roman" w:hAnsi="Times New Roman"/>
          <w:noProof/>
          <w:sz w:val="24"/>
        </w:rPr>
        <w:t xml:space="preserve"> Toimet liiketoimintaympäristön yksinkertaistamiseksi ja sen laadun ja turvallisuuden parantamiseksi (toimenpiteen tunniste 16543)</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luomaan houkutteleva liiketoimintaympäristö investoinneille, helpottamaan yritysten markkinoill</w:t>
      </w:r>
      <w:r>
        <w:rPr>
          <w:rFonts w:ascii="Times New Roman" w:hAnsi="Times New Roman"/>
          <w:noProof/>
          <w:sz w:val="24"/>
        </w:rPr>
        <w:t>e pääsyä ja työpaikkojen luomista sekä varmistamaan tehokas markkinavalvonta. Uudistukseen sisältyy joukko toimia, joilla yksinkertaistetaan liiketoimintaan liittyviä menettelyjä ja vaatimuksia ja parannetaan samalla sääntelyn varmuutta ja laatua muun muas</w:t>
      </w:r>
      <w:r>
        <w:rPr>
          <w:rFonts w:ascii="Times New Roman" w:hAnsi="Times New Roman"/>
          <w:noProof/>
          <w:sz w:val="24"/>
        </w:rPr>
        <w:t xml:space="preserve">sa laajentamalla investointilupamenettelyjen yksinkertaistaminen koskemaan muuta taloudellista toimintaa, tarkistamalla Attikan alueella tapahtuvaa valmistustoimintaa koskevaa lainsäädäntökehystä ja kodifioimalla hajanaista lupalainsäädäntöä. Uudistukseen </w:t>
      </w:r>
      <w:r>
        <w:rPr>
          <w:rFonts w:ascii="Times New Roman" w:hAnsi="Times New Roman"/>
          <w:noProof/>
          <w:sz w:val="24"/>
        </w:rPr>
        <w:t>sisältyy myös toimia, joilla parannetaan markkinavalvontakehystä muun muassa tarkistamalla standardointia, akkreditointia ja vaatimustenmukaisuutta koskevaa laatupolitiikkaa, vahvistamalla markkinavalvontarakenteita ja vastuuviranomaisia sekä ulottamalla v</w:t>
      </w:r>
      <w:r>
        <w:rPr>
          <w:rFonts w:ascii="Times New Roman" w:hAnsi="Times New Roman"/>
          <w:noProof/>
          <w:sz w:val="24"/>
        </w:rPr>
        <w:t>alvontakehys uusille tarkastusaloille. Uudistus on määrä toteuttaa viimeistään 31 päivänä joulukuuta 2025.</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Uudistus:</w:t>
      </w:r>
      <w:r>
        <w:rPr>
          <w:rFonts w:ascii="Times New Roman" w:hAnsi="Times New Roman"/>
          <w:noProof/>
          <w:sz w:val="24"/>
        </w:rPr>
        <w:t xml:space="preserve"> Liiketoiminnan helppous (toimenpiteen tunniste 16591)</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parantamaan liiketoimintaympäristöä ja keventämään yritysten h</w:t>
      </w:r>
      <w:r>
        <w:rPr>
          <w:rFonts w:ascii="Times New Roman" w:hAnsi="Times New Roman"/>
          <w:noProof/>
          <w:sz w:val="24"/>
        </w:rPr>
        <w:t>allinnollista ja sääntelytaakkaa. Uudistuksella pyritään myös parantamaan Kreikan asemaa kansainvälisissä indikaattoreissa, erityisesti Maailmanpankin Doing Business -toiminnassa, eli luotonsaannissa, sähkön hankinnassa, kiinteistöjen rekisteröinnissä ja r</w:t>
      </w:r>
      <w:r>
        <w:rPr>
          <w:rFonts w:ascii="Times New Roman" w:hAnsi="Times New Roman"/>
          <w:noProof/>
          <w:sz w:val="24"/>
        </w:rPr>
        <w:t>akennusluvan saamisessa lyhentämällä menettelyjä, aikaa ja kustannuksia sekä varmistamalla vakaa ja ennustettava lainsäädäntökehys. Se koostuu erityisesti useista toimista, joilla pyritään vähentämään prosessien monimutkaisuutta, kustannuksia ja kuhunkin e</w:t>
      </w:r>
      <w:r>
        <w:rPr>
          <w:rFonts w:ascii="Times New Roman" w:hAnsi="Times New Roman"/>
          <w:noProof/>
          <w:sz w:val="24"/>
        </w:rPr>
        <w:t>dellä mainittuun alaan liittyvää aikaa sekä tällaisiin prosesseihin osallistuvan julkisen sektorin henkilöstön koulutusta ja keskeisten sidosryhmien tiedotustoimia. Uudistus on määrä toteuttaa viimeistään 30 päivänä kesäkuuta 2024.</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noProof/>
          <w:sz w:val="24"/>
        </w:rPr>
        <w:t>Uudistus:</w:t>
      </w:r>
      <w:r>
        <w:rPr>
          <w:rFonts w:ascii="Times New Roman" w:hAnsi="Times New Roman"/>
          <w:noProof/>
          <w:sz w:val="24"/>
        </w:rPr>
        <w:t xml:space="preserve"> Tuottavuutta j</w:t>
      </w:r>
      <w:r>
        <w:rPr>
          <w:rFonts w:ascii="Times New Roman" w:hAnsi="Times New Roman"/>
          <w:noProof/>
          <w:sz w:val="24"/>
        </w:rPr>
        <w:t>a yritysten ulospäin suuntautumista koskeva kannustinjärjestelmä (yritysten koon kasvattaminen) (toimenpiteen tunniste 16598)</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korjaamaan heikkouksia, jotka liittyvät pääasiassa kreikkalaisten yritysten pieneen kokoon. Sillä luodaan e</w:t>
      </w:r>
      <w:r>
        <w:rPr>
          <w:rFonts w:ascii="Times New Roman" w:hAnsi="Times New Roman"/>
          <w:noProof/>
          <w:sz w:val="24"/>
        </w:rPr>
        <w:t>rilaisia verokannustimia ja muita kannustimia, joilla kannustetaan itsenäisiä ammatinharjoittajia ja mikroyrityksiä sekä pieniä ja keskisuuria yrityksiä lisäämään mittakaavaetuja sulautumisten, muuntamisten, yritysostojen ja yhteistyöjärjestelyjen ja -alus</w:t>
      </w:r>
      <w:r>
        <w:rPr>
          <w:rFonts w:ascii="Times New Roman" w:hAnsi="Times New Roman"/>
          <w:noProof/>
          <w:sz w:val="24"/>
        </w:rPr>
        <w:t>tojen, kuten yhteisyritysten ja klusterien, avulla, jotka myös edistävät tuottavuutta ja lisäävät vientiä. Uudistus on määrä toteuttaa viimeistään 31 päivänä maaliskuuta 2022.</w:t>
      </w:r>
    </w:p>
    <w:p w:rsidR="00B0093E" w:rsidRDefault="00762CA6">
      <w:pPr>
        <w:spacing w:before="120" w:after="120" w:line="240" w:lineRule="auto"/>
        <w:ind w:left="709"/>
        <w:jc w:val="both"/>
        <w:rPr>
          <w:rFonts w:ascii="Times New Roman" w:hAnsi="Times New Roman" w:cs="Times New Roman"/>
          <w:noProof/>
          <w:sz w:val="24"/>
        </w:rPr>
      </w:pPr>
      <w:r>
        <w:rPr>
          <w:rFonts w:ascii="Times New Roman" w:hAnsi="Times New Roman"/>
          <w:i/>
          <w:iCs/>
          <w:noProof/>
          <w:color w:val="4F81BD"/>
          <w:sz w:val="24"/>
        </w:rPr>
        <w:t>.</w:t>
      </w: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87"/>
          <w:headerReference w:type="default" r:id="rId288"/>
          <w:footerReference w:type="even" r:id="rId289"/>
          <w:footerReference w:type="default" r:id="rId290"/>
          <w:headerReference w:type="first" r:id="rId291"/>
          <w:footerReference w:type="first" r:id="rId292"/>
          <w:pgSz w:w="11907" w:h="16839"/>
          <w:pgMar w:top="1134" w:right="1417" w:bottom="1134" w:left="1417"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noProof/>
          <w:sz w:val="24"/>
          <w:u w:val="single"/>
        </w:rPr>
      </w:pPr>
      <w:r>
        <w:rPr>
          <w:rFonts w:ascii="Times New Roman" w:hAnsi="Times New Roman"/>
          <w:b/>
          <w:bCs/>
          <w:noProof/>
          <w:sz w:val="24"/>
          <w:u w:val="single"/>
        </w:rPr>
        <w:t xml:space="preserve">R.2 </w:t>
      </w:r>
      <w:r>
        <w:rPr>
          <w:rFonts w:ascii="Times New Roman" w:hAnsi="Times New Roman"/>
          <w:b/>
          <w:noProof/>
          <w:sz w:val="24"/>
          <w:u w:val="single"/>
        </w:rPr>
        <w:tab/>
      </w:r>
      <w:r>
        <w:rPr>
          <w:rFonts w:ascii="Times New Roman" w:hAnsi="Times New Roman"/>
          <w:b/>
          <w:bCs/>
          <w:noProof/>
          <w:sz w:val="24"/>
          <w:u w:val="single"/>
        </w:rPr>
        <w:t xml:space="preserve">Seurantaa ja </w:t>
      </w:r>
      <w:r>
        <w:rPr>
          <w:rFonts w:ascii="Times New Roman" w:hAnsi="Times New Roman"/>
          <w:b/>
          <w:bCs/>
          <w:noProof/>
          <w:sz w:val="24"/>
          <w:u w:val="single"/>
        </w:rPr>
        <w:t>täytäntöönpanoa koskevat välitavoitteet, tavoitteet, indikaattorit ja aikataulu – rahoitustuki, jota ei makseta takaisin</w:t>
      </w:r>
    </w:p>
    <w:p w:rsidR="00B0093E" w:rsidRDefault="00B0093E">
      <w:pPr>
        <w:keepNext/>
        <w:keepLines/>
        <w:spacing w:before="40" w:after="0" w:line="240" w:lineRule="auto"/>
        <w:jc w:val="both"/>
        <w:outlineLvl w:val="4"/>
        <w:rPr>
          <w:rFonts w:ascii="Cambria" w:eastAsia="Times New Roman" w:hAnsi="Cambria"/>
          <w:noProof/>
          <w:color w:val="365F91"/>
          <w:sz w:val="24"/>
        </w:rPr>
      </w:pPr>
    </w:p>
    <w:p w:rsidR="00B0093E" w:rsidRDefault="00762CA6">
      <w:pPr>
        <w:keepNext/>
        <w:keepLines/>
        <w:spacing w:before="40" w:after="0" w:line="240" w:lineRule="auto"/>
        <w:jc w:val="both"/>
        <w:outlineLvl w:val="4"/>
        <w:rPr>
          <w:rFonts w:ascii="Cambria" w:eastAsia="Times New Roman" w:hAnsi="Cambria"/>
          <w:noProof/>
          <w:color w:val="365F91"/>
          <w:sz w:val="24"/>
          <w:szCs w:val="24"/>
        </w:rPr>
      </w:pPr>
      <w:r>
        <w:rPr>
          <w:rFonts w:ascii="Cambria" w:hAnsi="Cambria"/>
          <w:noProof/>
          <w:color w:val="365F91"/>
          <w:sz w:val="24"/>
        </w:rPr>
        <w:t xml:space="preserve">Keskeinen uudistus 10: Toimet liiketoimintaympäristön yksinkertaistamiseksi ja sen laadun ja turvallisuuden parantamiseksi – </w:t>
      </w:r>
      <w:r>
        <w:rPr>
          <w:rFonts w:ascii="Cambria" w:hAnsi="Cambria"/>
          <w:noProof/>
          <w:color w:val="365F91"/>
          <w:sz w:val="24"/>
        </w:rPr>
        <w:t>liiketoiminnan perusta</w:t>
      </w:r>
    </w:p>
    <w:tbl>
      <w:tblPr>
        <w:tblW w:w="15502" w:type="dxa"/>
        <w:tblInd w:w="113" w:type="dxa"/>
        <w:tblLook w:val="04A0" w:firstRow="1" w:lastRow="0" w:firstColumn="1" w:lastColumn="0" w:noHBand="0" w:noVBand="1"/>
      </w:tblPr>
      <w:tblGrid>
        <w:gridCol w:w="924"/>
        <w:gridCol w:w="1571"/>
        <w:gridCol w:w="1309"/>
        <w:gridCol w:w="1598"/>
        <w:gridCol w:w="2245"/>
        <w:gridCol w:w="1015"/>
        <w:gridCol w:w="797"/>
        <w:gridCol w:w="828"/>
        <w:gridCol w:w="1123"/>
        <w:gridCol w:w="596"/>
        <w:gridCol w:w="3496"/>
      </w:tblGrid>
      <w:tr w:rsidR="00B0093E">
        <w:trPr>
          <w:trHeight w:val="927"/>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Numero</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Toimenpide (uudistus tai investointi)</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Välitavoite/tavoite</w:t>
            </w:r>
          </w:p>
        </w:tc>
        <w:tc>
          <w:tcPr>
            <w:tcW w:w="1592"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Nimi</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Laadulliset indikaattorit   (välitavoitteiden osalta)</w:t>
            </w:r>
          </w:p>
        </w:tc>
        <w:tc>
          <w:tcPr>
            <w:tcW w:w="2667"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Määrälliset indikaattorit   (tavoitteiden osalta)</w:t>
            </w:r>
          </w:p>
        </w:tc>
        <w:tc>
          <w:tcPr>
            <w:tcW w:w="1694"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Alustava toteutusaikataulu </w:t>
            </w:r>
          </w:p>
        </w:tc>
        <w:tc>
          <w:tcPr>
            <w:tcW w:w="4449" w:type="dxa"/>
            <w:vMerge w:val="restart"/>
            <w:tcBorders>
              <w:top w:val="single" w:sz="4" w:space="0" w:color="auto"/>
              <w:left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Kunkin välitavoitteen ja </w:t>
            </w:r>
            <w:r>
              <w:rPr>
                <w:rFonts w:ascii="Times New Roman" w:hAnsi="Times New Roman"/>
                <w:b/>
                <w:bCs/>
                <w:noProof/>
                <w:sz w:val="18"/>
                <w:szCs w:val="18"/>
              </w:rPr>
              <w:t>tavoitteen kuvaus</w:t>
            </w:r>
          </w:p>
        </w:tc>
      </w:tr>
      <w:tr w:rsidR="00B0093E">
        <w:trPr>
          <w:trHeight w:val="1013"/>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592"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83"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Mittayksikkö</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Perustaso </w:t>
            </w:r>
          </w:p>
        </w:tc>
        <w:tc>
          <w:tcPr>
            <w:tcW w:w="82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Päämäärä </w:t>
            </w:r>
          </w:p>
        </w:tc>
        <w:tc>
          <w:tcPr>
            <w:tcW w:w="98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Vuosineljännes</w:t>
            </w:r>
          </w:p>
        </w:tc>
        <w:tc>
          <w:tcPr>
            <w:tcW w:w="707"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Vuosi</w:t>
            </w:r>
          </w:p>
        </w:tc>
        <w:tc>
          <w:tcPr>
            <w:tcW w:w="4449"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317</w:t>
            </w:r>
          </w:p>
        </w:tc>
        <w:tc>
          <w:tcPr>
            <w:tcW w:w="131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18 - 4.7. Kilpailukyvyn parantaminen sekä yksityisten investointien ja viennin edistäminen – 16543_Toimet liiketoimintaympäristön yksinkertaistamiseksi ja sen laadun ja </w:t>
            </w:r>
            <w:r>
              <w:rPr>
                <w:noProof/>
                <w:color w:val="006100"/>
                <w:sz w:val="18"/>
                <w:szCs w:val="18"/>
              </w:rPr>
              <w:t>turvallisuuden parantamiseksi</w:t>
            </w:r>
          </w:p>
        </w:tc>
        <w:tc>
          <w:tcPr>
            <w:tcW w:w="96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5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Laatupolitiikan ja laatuinfrastruktuuria koskevan uuden sääntelykehyksen laatiminen </w:t>
            </w:r>
          </w:p>
        </w:tc>
        <w:tc>
          <w:tcPr>
            <w:tcW w:w="1694"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Hyväksyy Kreikan laatuinfrastruktuuria koskevan kansallisen strategian ja antaa tarvittavat standardointia, metrologiaa, akkredit</w:t>
            </w:r>
            <w:r>
              <w:rPr>
                <w:noProof/>
                <w:color w:val="006100"/>
                <w:sz w:val="18"/>
                <w:szCs w:val="18"/>
              </w:rPr>
              <w:t>ointia ja vaatimustenmukaisuuden arviointia koskevat säännökset tarvittavilla säädöksillä (ilmoitetaan virallisen lehden viitetiedot); ja lainsäädäntömuutosten hyväksyminen lakiin 3325/2005 (B osa, joka koskee Attikan alueen valmistustoiminnan perustamista</w:t>
            </w:r>
            <w:r>
              <w:rPr>
                <w:noProof/>
                <w:color w:val="006100"/>
                <w:sz w:val="18"/>
                <w:szCs w:val="18"/>
              </w:rPr>
              <w:t>, laajentamista ja nykyaikaistamista)</w:t>
            </w:r>
          </w:p>
        </w:tc>
        <w:tc>
          <w:tcPr>
            <w:tcW w:w="983"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27"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7"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444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kehitetään Kreikan laatuinfrastruktuuria koskeva nykyaikainen sääntely-, organisaatio- ja toimintakehys vaatimustenmukaisuuden arviointilaitosten akkreditointia koskevan asetuksen 765/2008 mukaisesti; ja b) </w:t>
            </w:r>
            <w:r>
              <w:rPr>
                <w:noProof/>
                <w:color w:val="006100"/>
                <w:sz w:val="18"/>
                <w:szCs w:val="18"/>
              </w:rPr>
              <w:t>sellaisen lainsäädännön voimaantulo, jolla uudistetaan Attikassa tapahtuvaa valmistustoimintaa koskevaa sääntelykehystä, jotta voidaan poistaa liian korkeat rajoitukset, jotka eivät ole suhteettomia toimintapoliittisiin tavoitteisiin nähden.</w:t>
            </w:r>
          </w:p>
          <w:p w:rsidR="00B0093E" w:rsidRDefault="00B0093E">
            <w:pPr>
              <w:spacing w:after="0" w:line="240" w:lineRule="auto"/>
              <w:rPr>
                <w:rFonts w:eastAsia="Times New Roman" w:cs="Calibri"/>
                <w:noProof/>
                <w:color w:val="006100"/>
                <w:sz w:val="18"/>
                <w:szCs w:val="18"/>
                <w:lang w:eastAsia="en-GB"/>
              </w:rPr>
            </w:pPr>
          </w:p>
          <w:p w:rsidR="00B0093E" w:rsidRDefault="00762CA6">
            <w:pPr>
              <w:spacing w:after="0" w:line="240" w:lineRule="auto"/>
              <w:rPr>
                <w:rFonts w:eastAsia="Times New Roman" w:cs="Calibri"/>
                <w:noProof/>
                <w:color w:val="006100"/>
                <w:sz w:val="18"/>
                <w:szCs w:val="18"/>
              </w:rPr>
            </w:pPr>
            <w:r>
              <w:rPr>
                <w:noProof/>
                <w:color w:val="006100"/>
                <w:sz w:val="18"/>
                <w:szCs w:val="18"/>
              </w:rPr>
              <w:t>B alakohdan s</w:t>
            </w:r>
            <w:r>
              <w:rPr>
                <w:noProof/>
                <w:color w:val="006100"/>
                <w:sz w:val="18"/>
                <w:szCs w:val="18"/>
              </w:rPr>
              <w:t>oveltamisalaan kuuluvat Attikassa toimivien uusien teollisuusyksiköiden perustaminen ja nykyaikaistaminen sekä olemassa olevien laitosten siirtäminen ja laajentaminen Attikassa.</w:t>
            </w: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318</w:t>
            </w:r>
          </w:p>
        </w:tc>
        <w:tc>
          <w:tcPr>
            <w:tcW w:w="131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18 - 4.7. Kilpailukyvyn parantaminen ja yksityisten investointien ja </w:t>
            </w:r>
            <w:r>
              <w:rPr>
                <w:noProof/>
                <w:color w:val="006100"/>
                <w:sz w:val="18"/>
                <w:szCs w:val="18"/>
              </w:rPr>
              <w:t>viennin edistäminen – 16591_Ease of business</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5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Liiketoimintaympäristön parantaminen – liiketoiminnan helpottaminen</w:t>
            </w:r>
          </w:p>
        </w:tc>
        <w:tc>
          <w:tcPr>
            <w:tcW w:w="1694" w:type="dxa"/>
            <w:tcBorders>
              <w:top w:val="nil"/>
              <w:left w:val="nil"/>
              <w:bottom w:val="single" w:sz="4" w:space="0" w:color="auto"/>
              <w:right w:val="single" w:sz="4" w:space="0" w:color="auto"/>
            </w:tcBorders>
            <w:shd w:val="clear" w:color="auto" w:fill="C6EFCE"/>
            <w:noWrap/>
          </w:tcPr>
          <w:p w:rsidR="00B0093E" w:rsidRDefault="00762CA6">
            <w:pPr>
              <w:spacing w:after="0" w:line="259" w:lineRule="auto"/>
              <w:rPr>
                <w:rFonts w:ascii="Times New Roman" w:hAnsi="Times New Roman" w:cs="Times New Roman"/>
                <w:noProof/>
                <w:color w:val="006100"/>
                <w:sz w:val="18"/>
                <w:szCs w:val="18"/>
              </w:rPr>
            </w:pPr>
            <w:r>
              <w:rPr>
                <w:noProof/>
              </w:rPr>
              <w:t>– Lainsäädäntöä edellyttävien toimien osalta:</w:t>
            </w:r>
            <w:r>
              <w:rPr>
                <w:noProof/>
                <w:color w:val="006100"/>
                <w:sz w:val="18"/>
                <w:szCs w:val="18"/>
              </w:rPr>
              <w:t xml:space="preserve"> Lainsäädännön julkaiseminen Euroopan unionin virallisessa lehdessä (virallisen lehden viite)</w:t>
            </w:r>
          </w:p>
          <w:p w:rsidR="00B0093E" w:rsidRDefault="00762CA6">
            <w:pPr>
              <w:spacing w:after="0" w:line="259" w:lineRule="auto"/>
              <w:rPr>
                <w:rFonts w:ascii="Times New Roman" w:hAnsi="Times New Roman" w:cs="Times New Roman"/>
                <w:noProof/>
                <w:color w:val="006100"/>
                <w:sz w:val="18"/>
                <w:szCs w:val="18"/>
              </w:rPr>
            </w:pPr>
            <w:r>
              <w:rPr>
                <w:noProof/>
              </w:rPr>
              <w:t>– Yhteentoimivuustoimintojen, alustojen ja rekisterien osalta:</w:t>
            </w:r>
            <w:r>
              <w:rPr>
                <w:noProof/>
                <w:color w:val="006100"/>
                <w:sz w:val="18"/>
                <w:szCs w:val="18"/>
              </w:rPr>
              <w:t xml:space="preserve"> Järjestelmien toimintakuntoon saattaminen (todistettu raportilla) </w:t>
            </w:r>
          </w:p>
          <w:p w:rsidR="00B0093E" w:rsidRDefault="00762CA6">
            <w:pPr>
              <w:spacing w:after="0" w:line="259" w:lineRule="auto"/>
              <w:rPr>
                <w:rFonts w:ascii="Times New Roman" w:hAnsi="Times New Roman" w:cs="Times New Roman"/>
                <w:noProof/>
                <w:color w:val="006100"/>
                <w:sz w:val="18"/>
                <w:szCs w:val="18"/>
              </w:rPr>
            </w:pPr>
            <w:r>
              <w:rPr>
                <w:noProof/>
              </w:rPr>
              <w:t>– Laitteiden toimittaminen laitt</w:t>
            </w:r>
            <w:r>
              <w:rPr>
                <w:noProof/>
              </w:rPr>
              <w:t>eita varten (todistuksella ja ostotodistuksella)</w:t>
            </w:r>
          </w:p>
          <w:p w:rsidR="00B0093E" w:rsidRDefault="00762CA6">
            <w:pPr>
              <w:spacing w:after="0" w:line="240" w:lineRule="auto"/>
              <w:rPr>
                <w:rFonts w:eastAsia="Times New Roman" w:cs="Calibri"/>
                <w:noProof/>
                <w:color w:val="006100"/>
                <w:sz w:val="18"/>
                <w:szCs w:val="18"/>
              </w:rPr>
            </w:pPr>
            <w:r>
              <w:rPr>
                <w:noProof/>
              </w:rPr>
              <w:t>– Kampanjoiden loppuun saattaminen ja ohjeiden antaminen (todistettu ohjeilla/yleiskirjeillä)</w:t>
            </w:r>
            <w:r>
              <w:rPr>
                <w:rFonts w:ascii="Times New Roman" w:hAnsi="Times New Roman"/>
                <w:noProof/>
                <w:sz w:val="24"/>
              </w:rPr>
              <w:t xml:space="preserve">     </w:t>
            </w:r>
          </w:p>
        </w:tc>
        <w:tc>
          <w:tcPr>
            <w:tcW w:w="98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70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44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Saatetaan päätökseen uudistus, jolla vähennetään menettelyjen, ajan ja kustannusten monimutkaisuu</w:t>
            </w:r>
            <w:r>
              <w:rPr>
                <w:noProof/>
                <w:color w:val="006100"/>
                <w:sz w:val="18"/>
                <w:szCs w:val="18"/>
              </w:rPr>
              <w:t>tta neljällä osa-alueella: luoton saaminen, sähköliittymän hankkiminen, kiinteistön rekisteröinti ja rakennusluvan saaminen</w:t>
            </w:r>
          </w:p>
          <w:p w:rsidR="00B0093E" w:rsidRDefault="00762CA6">
            <w:pPr>
              <w:spacing w:after="0" w:line="240" w:lineRule="auto"/>
              <w:rPr>
                <w:rFonts w:eastAsia="Times New Roman" w:cs="Calibri"/>
                <w:noProof/>
                <w:color w:val="006100"/>
                <w:sz w:val="18"/>
                <w:szCs w:val="18"/>
              </w:rPr>
            </w:pPr>
            <w:r>
              <w:rPr>
                <w:noProof/>
                <w:color w:val="006100"/>
                <w:sz w:val="18"/>
                <w:szCs w:val="18"/>
              </w:rPr>
              <w:t>Uudistus sisältää erityisesti seuraavat osahankkeet ja toimet:</w:t>
            </w:r>
          </w:p>
          <w:p w:rsidR="00B0093E" w:rsidRDefault="00762CA6">
            <w:pPr>
              <w:spacing w:after="0" w:line="240" w:lineRule="auto"/>
              <w:rPr>
                <w:rFonts w:eastAsia="Times New Roman" w:cs="Calibri"/>
                <w:noProof/>
                <w:color w:val="006100"/>
                <w:sz w:val="18"/>
                <w:szCs w:val="18"/>
              </w:rPr>
            </w:pPr>
            <w:r>
              <w:rPr>
                <w:noProof/>
                <w:color w:val="006100"/>
                <w:sz w:val="18"/>
                <w:szCs w:val="18"/>
              </w:rPr>
              <w:t>1. Luotonsaanti</w:t>
            </w:r>
          </w:p>
          <w:p w:rsidR="00B0093E" w:rsidRDefault="00762CA6">
            <w:pPr>
              <w:spacing w:after="0" w:line="240" w:lineRule="auto"/>
              <w:rPr>
                <w:rFonts w:eastAsia="Times New Roman" w:cs="Calibri"/>
                <w:noProof/>
                <w:color w:val="006100"/>
                <w:sz w:val="18"/>
                <w:szCs w:val="18"/>
              </w:rPr>
            </w:pPr>
            <w:r>
              <w:rPr>
                <w:noProof/>
                <w:color w:val="006100"/>
                <w:sz w:val="18"/>
                <w:szCs w:val="18"/>
              </w:rPr>
              <w:t>Laaditaan nykyaikainen ja luotettava sääntelykehys ir</w:t>
            </w:r>
            <w:r>
              <w:rPr>
                <w:noProof/>
                <w:color w:val="006100"/>
                <w:sz w:val="18"/>
                <w:szCs w:val="18"/>
              </w:rPr>
              <w:t>taimeen omaisuuteen liittyville arvopapereille</w:t>
            </w:r>
          </w:p>
          <w:p w:rsidR="00B0093E" w:rsidRDefault="00762CA6">
            <w:pPr>
              <w:spacing w:after="0" w:line="240" w:lineRule="auto"/>
              <w:rPr>
                <w:rFonts w:eastAsia="Times New Roman" w:cs="Calibri"/>
                <w:noProof/>
                <w:color w:val="006100"/>
                <w:sz w:val="18"/>
                <w:szCs w:val="18"/>
              </w:rPr>
            </w:pPr>
            <w:r>
              <w:rPr>
                <w:noProof/>
                <w:color w:val="006100"/>
                <w:sz w:val="18"/>
                <w:szCs w:val="18"/>
              </w:rPr>
              <w:t>– Perustetaan rekisteri liiketoimien varmistamiseksi</w:t>
            </w:r>
          </w:p>
          <w:p w:rsidR="00B0093E" w:rsidRDefault="00762CA6">
            <w:pPr>
              <w:spacing w:after="0" w:line="240" w:lineRule="auto"/>
              <w:rPr>
                <w:rFonts w:eastAsia="Times New Roman" w:cs="Calibri"/>
                <w:noProof/>
                <w:color w:val="006100"/>
                <w:sz w:val="18"/>
                <w:szCs w:val="18"/>
              </w:rPr>
            </w:pPr>
            <w:r>
              <w:rPr>
                <w:noProof/>
                <w:color w:val="006100"/>
                <w:sz w:val="18"/>
                <w:szCs w:val="18"/>
              </w:rPr>
              <w:t>2. Rakennusluvan saaminen</w:t>
            </w:r>
          </w:p>
          <w:p w:rsidR="00B0093E" w:rsidRDefault="00762CA6">
            <w:pPr>
              <w:spacing w:after="0" w:line="240" w:lineRule="auto"/>
              <w:rPr>
                <w:rFonts w:eastAsia="Times New Roman" w:cs="Calibri"/>
                <w:noProof/>
                <w:color w:val="006100"/>
                <w:sz w:val="18"/>
                <w:szCs w:val="18"/>
              </w:rPr>
            </w:pPr>
            <w:r>
              <w:rPr>
                <w:noProof/>
                <w:color w:val="006100"/>
                <w:sz w:val="18"/>
                <w:szCs w:val="18"/>
              </w:rPr>
              <w:t>– Rakennuslupia koskevan e-ade-järjestelmän yhteentoimivuus muiden julkisten järjestelmien kanssa</w:t>
            </w:r>
          </w:p>
          <w:p w:rsidR="00B0093E" w:rsidRDefault="00762CA6">
            <w:pPr>
              <w:spacing w:after="0" w:line="240" w:lineRule="auto"/>
              <w:rPr>
                <w:rFonts w:eastAsia="Times New Roman" w:cs="Calibri"/>
                <w:noProof/>
                <w:color w:val="006100"/>
                <w:sz w:val="18"/>
                <w:szCs w:val="18"/>
              </w:rPr>
            </w:pPr>
            <w:r>
              <w:rPr>
                <w:noProof/>
                <w:color w:val="006100"/>
                <w:sz w:val="18"/>
                <w:szCs w:val="18"/>
              </w:rPr>
              <w:t>– Toteutetaan tiedotuskampanjoit</w:t>
            </w:r>
            <w:r>
              <w:rPr>
                <w:noProof/>
                <w:color w:val="006100"/>
                <w:sz w:val="18"/>
                <w:szCs w:val="18"/>
              </w:rPr>
              <w:t>a yksityisen sektorin sidosryhmien kanssa.</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Henkilöstön varustaminen ja koulutus </w:t>
            </w:r>
          </w:p>
          <w:p w:rsidR="00B0093E" w:rsidRDefault="00762CA6">
            <w:pPr>
              <w:spacing w:after="0" w:line="240" w:lineRule="auto"/>
              <w:rPr>
                <w:rFonts w:eastAsia="Times New Roman" w:cs="Calibri"/>
                <w:noProof/>
                <w:color w:val="006100"/>
                <w:sz w:val="18"/>
                <w:szCs w:val="18"/>
              </w:rPr>
            </w:pPr>
            <w:r>
              <w:rPr>
                <w:noProof/>
                <w:color w:val="006100"/>
                <w:sz w:val="18"/>
                <w:szCs w:val="18"/>
              </w:rPr>
              <w:t>– Verkossa saataville asetettavat ohjeet</w:t>
            </w:r>
          </w:p>
          <w:p w:rsidR="00B0093E" w:rsidRDefault="00762CA6">
            <w:pPr>
              <w:spacing w:after="0" w:line="240" w:lineRule="auto"/>
              <w:rPr>
                <w:rFonts w:eastAsia="Times New Roman" w:cs="Calibri"/>
                <w:noProof/>
                <w:color w:val="006100"/>
                <w:sz w:val="18"/>
                <w:szCs w:val="18"/>
              </w:rPr>
            </w:pPr>
            <w:r>
              <w:rPr>
                <w:noProof/>
                <w:color w:val="006100"/>
                <w:sz w:val="18"/>
                <w:szCs w:val="18"/>
              </w:rPr>
              <w:t>– Maksutaulukko saatavilla verkossa</w:t>
            </w:r>
          </w:p>
          <w:p w:rsidR="00B0093E" w:rsidRDefault="00762CA6">
            <w:pPr>
              <w:spacing w:after="0" w:line="240" w:lineRule="auto"/>
              <w:rPr>
                <w:rFonts w:eastAsia="Times New Roman" w:cs="Calibri"/>
                <w:noProof/>
                <w:color w:val="006100"/>
                <w:sz w:val="18"/>
                <w:szCs w:val="18"/>
              </w:rPr>
            </w:pPr>
            <w:r>
              <w:rPr>
                <w:noProof/>
                <w:color w:val="006100"/>
                <w:sz w:val="18"/>
                <w:szCs w:val="18"/>
              </w:rPr>
              <w:t>– Valtion sisäiset digitaaliset tarkastustoiminnot palokuntaa varten</w:t>
            </w:r>
          </w:p>
          <w:p w:rsidR="00B0093E" w:rsidRDefault="00762CA6">
            <w:pPr>
              <w:spacing w:after="0" w:line="240" w:lineRule="auto"/>
              <w:rPr>
                <w:rFonts w:eastAsia="Times New Roman" w:cs="Calibri"/>
                <w:noProof/>
                <w:color w:val="006100"/>
                <w:sz w:val="18"/>
                <w:szCs w:val="18"/>
              </w:rPr>
            </w:pPr>
            <w:r>
              <w:rPr>
                <w:noProof/>
                <w:color w:val="006100"/>
                <w:sz w:val="18"/>
                <w:szCs w:val="18"/>
              </w:rPr>
              <w:t>3. Sähkö</w:t>
            </w:r>
          </w:p>
          <w:p w:rsidR="00B0093E" w:rsidRDefault="00762CA6">
            <w:pPr>
              <w:spacing w:after="0" w:line="240" w:lineRule="auto"/>
              <w:rPr>
                <w:rFonts w:eastAsia="Times New Roman" w:cs="Calibri"/>
                <w:noProof/>
                <w:color w:val="006100"/>
                <w:sz w:val="18"/>
                <w:szCs w:val="18"/>
              </w:rPr>
            </w:pPr>
            <w:r>
              <w:rPr>
                <w:noProof/>
                <w:color w:val="006100"/>
                <w:sz w:val="18"/>
                <w:szCs w:val="18"/>
              </w:rPr>
              <w:t>– Yksinkertaisteta</w:t>
            </w:r>
            <w:r>
              <w:rPr>
                <w:noProof/>
                <w:color w:val="006100"/>
                <w:sz w:val="18"/>
                <w:szCs w:val="18"/>
              </w:rPr>
              <w:t>an/vähennetään vaatimuksia, joita sovelletaan HEDNOon, ja yhdenmukaistetaan järjestelmä neliömetrien ilmoittamiseksi kunnille</w:t>
            </w:r>
          </w:p>
          <w:p w:rsidR="00B0093E" w:rsidRDefault="00762CA6">
            <w:pPr>
              <w:spacing w:after="0" w:line="240" w:lineRule="auto"/>
              <w:rPr>
                <w:rFonts w:eastAsia="Times New Roman" w:cs="Calibri"/>
                <w:noProof/>
                <w:color w:val="006100"/>
                <w:sz w:val="18"/>
                <w:szCs w:val="18"/>
              </w:rPr>
            </w:pPr>
            <w:r>
              <w:rPr>
                <w:noProof/>
                <w:color w:val="006100"/>
                <w:sz w:val="18"/>
                <w:szCs w:val="18"/>
              </w:rPr>
              <w:t>4. Omaisuuden rekisteröinti</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Luodaan sähköinen alusta, jonka avulla ostajat voivat täyttää kaikki kiinteistön siirtämistä verkossa </w:t>
            </w:r>
            <w:r>
              <w:rPr>
                <w:noProof/>
                <w:color w:val="006100"/>
                <w:sz w:val="18"/>
                <w:szCs w:val="18"/>
              </w:rPr>
              <w:t>koskevat vaatimukset</w:t>
            </w:r>
          </w:p>
        </w:tc>
      </w:tr>
      <w:tr w:rsidR="00B0093E">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319</w:t>
            </w:r>
          </w:p>
        </w:tc>
        <w:tc>
          <w:tcPr>
            <w:tcW w:w="131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18 - 4.7. Kilpailukyvyn parantaminen sekä yksityisten investointien ja viennin edistäminen – 16543_Toimet liiketoimintaympäristön yksinkertaistamiseksi ja sen laadun ja turvallisuuden parantamiseksi</w:t>
            </w:r>
          </w:p>
        </w:tc>
        <w:tc>
          <w:tcPr>
            <w:tcW w:w="96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159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Liiketoimintaympäristön parantaminen – lupien yksinkertaistaminen ja markkinavalvonta</w:t>
            </w:r>
          </w:p>
        </w:tc>
        <w:tc>
          <w:tcPr>
            <w:tcW w:w="1694"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Lainsäädännön julkaiseminen Euroopan unionin virallisessa lehdessä (Virallinen lehti)</w:t>
            </w:r>
          </w:p>
          <w:p w:rsidR="00B0093E" w:rsidRDefault="00B0093E">
            <w:pPr>
              <w:spacing w:after="0" w:line="240" w:lineRule="auto"/>
              <w:rPr>
                <w:rFonts w:eastAsia="Times New Roman" w:cs="Calibri"/>
                <w:noProof/>
                <w:color w:val="006100"/>
                <w:sz w:val="18"/>
                <w:szCs w:val="18"/>
                <w:lang w:eastAsia="en-GB"/>
              </w:rPr>
            </w:pPr>
          </w:p>
        </w:tc>
        <w:tc>
          <w:tcPr>
            <w:tcW w:w="983"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27"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8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707"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444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Lainsäädännön voimaantulo uudistukseksi ja tarvittavien toimien </w:t>
            </w:r>
            <w:r>
              <w:rPr>
                <w:noProof/>
                <w:color w:val="006100"/>
                <w:sz w:val="18"/>
                <w:szCs w:val="18"/>
              </w:rPr>
              <w:t>toteuttamiseksi toimiluvan myöntämistä ja yritysten tehokasta valvontaa koskevan sääntelykehyksen parantamiseksi edelleen:</w:t>
            </w:r>
          </w:p>
          <w:p w:rsidR="00B0093E" w:rsidRDefault="00762CA6">
            <w:pPr>
              <w:spacing w:before="120" w:after="0" w:line="240" w:lineRule="auto"/>
              <w:jc w:val="both"/>
              <w:rPr>
                <w:rFonts w:eastAsia="Times New Roman" w:cs="Calibri"/>
                <w:noProof/>
                <w:color w:val="006100"/>
                <w:sz w:val="18"/>
                <w:szCs w:val="18"/>
              </w:rPr>
            </w:pPr>
            <w:r>
              <w:rPr>
                <w:noProof/>
                <w:color w:val="006100"/>
                <w:sz w:val="18"/>
                <w:szCs w:val="18"/>
              </w:rPr>
              <w:t>– toteuttamaan vuoden 2024 ensimmäiseen neljännekseen mennessä toteutetun lupajärjestelmän uudistuksen vaikutusten jälkiarvioinnin ja</w:t>
            </w:r>
            <w:r>
              <w:rPr>
                <w:noProof/>
                <w:color w:val="006100"/>
                <w:sz w:val="18"/>
                <w:szCs w:val="18"/>
              </w:rPr>
              <w:t xml:space="preserve"> panemaan täytäntöön toimintapoliittiset suositukset,</w:t>
            </w:r>
          </w:p>
          <w:p w:rsidR="00B0093E" w:rsidRDefault="00762CA6">
            <w:pPr>
              <w:spacing w:after="0" w:line="259" w:lineRule="auto"/>
              <w:ind w:left="12"/>
              <w:contextualSpacing/>
              <w:rPr>
                <w:rFonts w:eastAsia="Times New Roman" w:cs="Calibri"/>
                <w:noProof/>
                <w:color w:val="006100"/>
                <w:sz w:val="18"/>
                <w:szCs w:val="18"/>
              </w:rPr>
            </w:pPr>
            <w:r>
              <w:rPr>
                <w:noProof/>
                <w:color w:val="006100"/>
                <w:sz w:val="18"/>
                <w:szCs w:val="18"/>
              </w:rPr>
              <w:t>—tarkastellaan ja yksinkertaistetaan lain 4442/16 mukaisesti määriteltävän uuden taloudellisen toiminnan lupamenettelyjä vähentämällä vaatimuksia ja todistuksia, poistamalla prosessin muut kuin lisäarvo</w:t>
            </w:r>
            <w:r>
              <w:rPr>
                <w:noProof/>
                <w:color w:val="006100"/>
                <w:sz w:val="18"/>
                <w:szCs w:val="18"/>
              </w:rPr>
              <w:t xml:space="preserve">a tuottavat vaiheet, lyhentämällä hakemusten käsittelyaikoja ja rajoittamalla ennakkovalvonta ainoastaan riskialttiisiin toimintoihin lakien 4442/2016 ja 4512/2018 periaatteiden mukaisesti,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lakien 3325/2005, 3982/2011, 4302/2014 ja 4442/2016 kodifiointi, </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 kehitettävä markkinavalvontastrategia asetuksen (EU) N:o 1020/2019 mukaisesti, ja </w:t>
            </w:r>
          </w:p>
          <w:p w:rsidR="00B0093E" w:rsidRDefault="00762CA6">
            <w:pPr>
              <w:spacing w:after="0" w:line="240" w:lineRule="auto"/>
              <w:rPr>
                <w:rFonts w:eastAsia="Times New Roman" w:cs="Calibri"/>
                <w:noProof/>
                <w:color w:val="006100"/>
                <w:sz w:val="18"/>
                <w:szCs w:val="18"/>
              </w:rPr>
            </w:pPr>
            <w:r>
              <w:rPr>
                <w:noProof/>
                <w:color w:val="006100"/>
                <w:sz w:val="18"/>
                <w:szCs w:val="18"/>
              </w:rPr>
              <w:t>– pannaan tehokkaasti täytäntöön 4512/18 lainsäädäntöön perustuva uusi taloudellisten toimintojen valvontajärjestelmä antamalla asiaa koskeva säädös ja ottamalla käyttöön</w:t>
            </w:r>
            <w:r>
              <w:rPr>
                <w:noProof/>
                <w:color w:val="006100"/>
                <w:sz w:val="18"/>
                <w:szCs w:val="18"/>
              </w:rPr>
              <w:t xml:space="preserve"> tarkastusviranomaisten arviointijärjestelmä,</w:t>
            </w:r>
          </w:p>
          <w:p w:rsidR="00B0093E" w:rsidRDefault="00762CA6">
            <w:pPr>
              <w:spacing w:after="0" w:line="240" w:lineRule="auto"/>
              <w:rPr>
                <w:rFonts w:eastAsia="Times New Roman" w:cs="Calibri"/>
                <w:noProof/>
                <w:color w:val="006100"/>
                <w:sz w:val="18"/>
                <w:szCs w:val="18"/>
              </w:rPr>
            </w:pPr>
            <w:r>
              <w:rPr>
                <w:noProof/>
                <w:color w:val="006100"/>
                <w:sz w:val="18"/>
                <w:szCs w:val="18"/>
              </w:rPr>
              <w:t>—tietoteknisten välineiden käyttöönotto ja käyttöönotto markkinavalvontatoimintojen helpottamiseksi</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293"/>
          <w:headerReference w:type="default" r:id="rId294"/>
          <w:footerReference w:type="even" r:id="rId295"/>
          <w:footerReference w:type="default" r:id="rId296"/>
          <w:headerReference w:type="first" r:id="rId297"/>
          <w:footerReference w:type="first" r:id="rId298"/>
          <w:pgSz w:w="16839" w:h="11907" w:orient="landscape"/>
          <w:pgMar w:top="720" w:right="720" w:bottom="720" w:left="720" w:header="709" w:footer="709" w:gutter="0"/>
          <w:cols w:space="720"/>
          <w:docGrid w:linePitch="360"/>
        </w:sectPr>
      </w:pPr>
    </w:p>
    <w:p w:rsidR="00B0093E" w:rsidRDefault="00762CA6">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R.3 </w:t>
      </w:r>
      <w:r>
        <w:rPr>
          <w:rFonts w:ascii="Times New Roman" w:hAnsi="Times New Roman"/>
          <w:b/>
          <w:noProof/>
          <w:sz w:val="24"/>
          <w:u w:val="single"/>
        </w:rPr>
        <w:tab/>
      </w:r>
      <w:r>
        <w:rPr>
          <w:rFonts w:ascii="Times New Roman" w:hAnsi="Times New Roman"/>
          <w:b/>
          <w:bCs/>
          <w:noProof/>
          <w:sz w:val="24"/>
          <w:u w:val="single"/>
        </w:rPr>
        <w:t xml:space="preserve">Kuvaus lainatuella rahoitettavista uudistuksista ja investoinneista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Lainajärjestely (toimenpiteen tunniste 16980)</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koskee elpymis- ja palautumistukivälineen lainatuen käyttöä helpottamaan taloudellisten kannustimien tarjoamista yk</w:t>
      </w:r>
      <w:r>
        <w:rPr>
          <w:rFonts w:ascii="Times New Roman" w:hAnsi="Times New Roman"/>
          <w:noProof/>
          <w:sz w:val="24"/>
        </w:rPr>
        <w:t>sityiselle sektorille ja edistämään yksityisiä investointeja. Lainajärjestelyssä käytetään erilaisia jakelukanavia; rahoituslaitoksia (yritysten joukkovelkakirjojen ostojen tai syndikaattilainojen kautta 11728 miljoonaa euroa), pääomafoorumi (500 miljoonaa</w:t>
      </w:r>
      <w:r>
        <w:rPr>
          <w:rFonts w:ascii="Times New Roman" w:hAnsi="Times New Roman"/>
          <w:noProof/>
          <w:sz w:val="24"/>
        </w:rPr>
        <w:t xml:space="preserve"> euroa) ja InvestEU-ohjelman jäsenvaltio-osiota (500 miljoonaa euroa). Sen varmistamiseksi, että toimenpide on ”ei merkittävää haittaa” -periaatteen teknisten ohjeiden (2021/C58/01) mukainen, lainajärjestelyyn liittyvissä sopimuksissa on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 </w:t>
      </w:r>
      <w:r>
        <w:rPr>
          <w:rFonts w:ascii="Times New Roman" w:hAnsi="Times New Roman"/>
          <w:noProof/>
          <w:sz w:val="24"/>
        </w:rPr>
        <w:tab/>
        <w:t>edellyttää, et</w:t>
      </w:r>
      <w:r>
        <w:rPr>
          <w:rFonts w:ascii="Times New Roman" w:hAnsi="Times New Roman"/>
          <w:noProof/>
          <w:sz w:val="24"/>
        </w:rPr>
        <w:t>tä InvestEU-rahaston kestävyysarviointia koskevia komission teknisiä ohjeita sovelletaan;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ii. </w:t>
      </w:r>
      <w:r>
        <w:rPr>
          <w:rFonts w:ascii="Times New Roman" w:hAnsi="Times New Roman"/>
          <w:noProof/>
          <w:sz w:val="24"/>
        </w:rPr>
        <w:tab/>
        <w:t>suljettava pois seuraava luettelo toiminnoista ja omaisuuseristä: i) fossiilisiin polttoaineisiin liittyvät toimet, mukaan lukien tuotantoketjun loppupään käyttö</w:t>
      </w:r>
      <w:r>
        <w:rPr>
          <w:rFonts w:ascii="Times New Roman" w:hAnsi="Times New Roman" w:cs="Times New Roman"/>
          <w:noProof/>
          <w:sz w:val="24"/>
          <w:vertAlign w:val="superscript"/>
        </w:rPr>
        <w:footnoteReference w:id="42"/>
      </w:r>
      <w:r>
        <w:rPr>
          <w:rFonts w:ascii="Times New Roman" w:hAnsi="Times New Roman"/>
          <w:noProof/>
          <w:sz w:val="24"/>
        </w:rPr>
        <w:t>; ii) EU:n päästökauppajärjestelmän mukaiset toimet, joilla saavutetaan ennustetut kasvihuonekaasupäästöt, jotka eivät alita asiaankuuluvia vertailuarvoja</w:t>
      </w:r>
      <w:r>
        <w:rPr>
          <w:rFonts w:ascii="Times New Roman" w:hAnsi="Times New Roman" w:cs="Times New Roman"/>
          <w:noProof/>
          <w:sz w:val="24"/>
          <w:vertAlign w:val="superscript"/>
        </w:rPr>
        <w:footnoteReference w:id="43"/>
      </w:r>
      <w:r>
        <w:rPr>
          <w:rFonts w:ascii="Times New Roman" w:hAnsi="Times New Roman"/>
          <w:noProof/>
          <w:sz w:val="24"/>
        </w:rPr>
        <w:t>; iii) kaatopaikkoja, polttolaitoksia</w:t>
      </w:r>
      <w:r>
        <w:rPr>
          <w:rFonts w:ascii="Times New Roman" w:hAnsi="Times New Roman" w:cs="Times New Roman"/>
          <w:noProof/>
          <w:sz w:val="24"/>
          <w:vertAlign w:val="superscript"/>
        </w:rPr>
        <w:footnoteReference w:id="44"/>
      </w:r>
      <w:r>
        <w:rPr>
          <w:rFonts w:ascii="Times New Roman" w:hAnsi="Times New Roman"/>
          <w:noProof/>
          <w:sz w:val="24"/>
        </w:rPr>
        <w:t xml:space="preserve"> ja mekaanisia biologisia käsittelylaitoksia koskevat toimet</w:t>
      </w:r>
      <w:r>
        <w:rPr>
          <w:rFonts w:ascii="Times New Roman" w:hAnsi="Times New Roman" w:cs="Times New Roman"/>
          <w:noProof/>
          <w:sz w:val="24"/>
          <w:vertAlign w:val="superscript"/>
        </w:rPr>
        <w:footnoteReference w:id="45"/>
      </w:r>
      <w:r>
        <w:rPr>
          <w:rFonts w:ascii="Times New Roman" w:hAnsi="Times New Roman"/>
          <w:noProof/>
          <w:sz w:val="24"/>
        </w:rPr>
        <w:t>;</w:t>
      </w:r>
      <w:r>
        <w:rPr>
          <w:rFonts w:ascii="Times New Roman" w:hAnsi="Times New Roman"/>
          <w:noProof/>
          <w:sz w:val="24"/>
        </w:rPr>
        <w:t xml:space="preserve"> ja iv) toiminnot, joissa jätteiden pitkän aikavälin loppukäsittely voi aiheuttaa haittaa ympäristölle. ja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iii. </w:t>
      </w:r>
      <w:r>
        <w:rPr>
          <w:rFonts w:ascii="Times New Roman" w:hAnsi="Times New Roman"/>
          <w:noProof/>
          <w:sz w:val="24"/>
        </w:rPr>
        <w:tab/>
        <w:t>vaaditaan varmistamaan, että hankkeet ovat EU:n ja kansallisen ympäristölainsäädännön mukaisia kaikkien liiketoimien osalta, mukaan lukien toim</w:t>
      </w:r>
      <w:r>
        <w:rPr>
          <w:rFonts w:ascii="Times New Roman" w:hAnsi="Times New Roman"/>
          <w:noProof/>
          <w:sz w:val="24"/>
        </w:rPr>
        <w:t>et, jotka on vapautettu kestävyysarvioinnista.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Lisäksi lainajärjestelyssä rahoituslaitokset ja InvestEU sitoutuvat investoimaan vähintään 38,5 prosenttia varoista ilmastosiirtymän tukemiseen ja 20,8 prosenttia varoista digitaalisen siirtymän tukemiseen käy</w:t>
      </w:r>
      <w:r>
        <w:rPr>
          <w:rFonts w:ascii="Times New Roman" w:hAnsi="Times New Roman"/>
          <w:noProof/>
          <w:sz w:val="24"/>
        </w:rPr>
        <w:t xml:space="preserve">ttäen elpymis- ja palautumistukivälinettä koskevan asetuksen liitteissä VI ja VII esitettyä menetelmää.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Riippumattomat tarkastajat tarkastavat ennen kutakin maksupyyntöä, että ”ei merkittävää haittaa” -periaatetta, 38,5 prosentin ilmastotavoitetta sekä 20</w:t>
      </w:r>
      <w:r>
        <w:rPr>
          <w:rFonts w:ascii="Times New Roman" w:hAnsi="Times New Roman"/>
          <w:noProof/>
          <w:sz w:val="24"/>
        </w:rPr>
        <w:t>,8 prosentin digitaalista tavoitetta noudatetaan.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Investointi on määrä toteuttaa viimeistään 30 päivänä kesäkuuta 2026.</w:t>
      </w:r>
    </w:p>
    <w:p w:rsidR="00B0093E" w:rsidRDefault="00B0093E">
      <w:pPr>
        <w:spacing w:before="120" w:after="120" w:line="240" w:lineRule="auto"/>
        <w:jc w:val="both"/>
        <w:rPr>
          <w:rFonts w:ascii="Times New Roman" w:hAnsi="Times New Roman" w:cs="Times New Roman"/>
          <w:i/>
          <w:noProof/>
          <w:sz w:val="24"/>
          <w:u w:val="single"/>
        </w:rPr>
      </w:pPr>
    </w:p>
    <w:p w:rsidR="00B0093E" w:rsidRDefault="00B0093E">
      <w:pPr>
        <w:spacing w:before="120" w:after="120" w:line="240" w:lineRule="auto"/>
        <w:jc w:val="both"/>
        <w:rPr>
          <w:rFonts w:ascii="Times New Roman" w:hAnsi="Times New Roman" w:cs="Times New Roman"/>
          <w:i/>
          <w:noProof/>
          <w:sz w:val="24"/>
          <w:u w:val="single"/>
        </w:rPr>
      </w:pPr>
    </w:p>
    <w:p w:rsidR="00B0093E" w:rsidRDefault="00B0093E">
      <w:pPr>
        <w:spacing w:after="160" w:line="259" w:lineRule="auto"/>
        <w:ind w:left="709"/>
        <w:contextualSpacing/>
        <w:jc w:val="both"/>
        <w:rPr>
          <w:noProof/>
        </w:rPr>
        <w:sectPr w:rsidR="00B0093E">
          <w:headerReference w:type="even" r:id="rId299"/>
          <w:headerReference w:type="default" r:id="rId300"/>
          <w:footerReference w:type="even" r:id="rId301"/>
          <w:footerReference w:type="default" r:id="rId302"/>
          <w:headerReference w:type="first" r:id="rId303"/>
          <w:footerReference w:type="first" r:id="rId304"/>
          <w:pgSz w:w="11907" w:h="16839"/>
          <w:pgMar w:top="1134" w:right="1417" w:bottom="1134" w:left="1417" w:header="709" w:footer="709" w:gutter="0"/>
          <w:cols w:space="720"/>
          <w:docGrid w:linePitch="360"/>
        </w:sectPr>
      </w:pPr>
    </w:p>
    <w:p w:rsidR="00B0093E" w:rsidRDefault="00762CA6">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R.4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w:t>
      </w:r>
      <w:r>
        <w:rPr>
          <w:rFonts w:ascii="Times New Roman" w:hAnsi="Times New Roman"/>
          <w:b/>
          <w:bCs/>
          <w:noProof/>
          <w:sz w:val="24"/>
          <w:u w:val="single"/>
        </w:rPr>
        <w:t xml:space="preserve">attorit ja aikataulu – lainatuki  </w:t>
      </w:r>
    </w:p>
    <w:p w:rsidR="00B0093E" w:rsidRDefault="00762CA6">
      <w:pPr>
        <w:keepNext/>
        <w:keepLines/>
        <w:spacing w:before="40" w:after="240" w:line="240" w:lineRule="auto"/>
        <w:jc w:val="both"/>
        <w:outlineLvl w:val="4"/>
        <w:rPr>
          <w:rFonts w:ascii="Cambria" w:eastAsia="Times New Roman" w:hAnsi="Cambria"/>
          <w:noProof/>
          <w:color w:val="365F91"/>
          <w:sz w:val="24"/>
        </w:rPr>
      </w:pPr>
      <w:r>
        <w:rPr>
          <w:rFonts w:ascii="Cambria" w:hAnsi="Cambria"/>
          <w:noProof/>
          <w:color w:val="365F91"/>
          <w:sz w:val="24"/>
        </w:rPr>
        <w:t>Lainajärjestely (16890)</w:t>
      </w:r>
    </w:p>
    <w:tbl>
      <w:tblPr>
        <w:tblW w:w="15871" w:type="dxa"/>
        <w:jc w:val="center"/>
        <w:tblLayout w:type="fixed"/>
        <w:tblLook w:val="04A0" w:firstRow="1" w:lastRow="0" w:firstColumn="1" w:lastColumn="0" w:noHBand="0" w:noVBand="1"/>
      </w:tblPr>
      <w:tblGrid>
        <w:gridCol w:w="1413"/>
        <w:gridCol w:w="1276"/>
        <w:gridCol w:w="1095"/>
        <w:gridCol w:w="889"/>
        <w:gridCol w:w="1210"/>
        <w:gridCol w:w="1058"/>
        <w:gridCol w:w="992"/>
        <w:gridCol w:w="709"/>
        <w:gridCol w:w="851"/>
        <w:gridCol w:w="652"/>
        <w:gridCol w:w="5726"/>
      </w:tblGrid>
      <w:tr w:rsidR="00B0093E">
        <w:trPr>
          <w:trHeight w:val="939"/>
          <w:tblHeader/>
          <w:jc w:val="center"/>
        </w:trPr>
        <w:tc>
          <w:tcPr>
            <w:tcW w:w="1413" w:type="dxa"/>
            <w:vMerge w:val="restart"/>
            <w:tcBorders>
              <w:top w:val="single" w:sz="4" w:space="0" w:color="auto"/>
              <w:left w:val="single" w:sz="4" w:space="0" w:color="auto"/>
              <w:right w:val="single" w:sz="4" w:space="0" w:color="auto"/>
            </w:tcBorders>
            <w:shd w:val="clear" w:color="auto" w:fill="BDD7EE"/>
            <w:hideMark/>
          </w:tcPr>
          <w:p w:rsidR="00B0093E" w:rsidRDefault="00762CA6">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Numero</w:t>
            </w:r>
          </w:p>
        </w:tc>
        <w:tc>
          <w:tcPr>
            <w:tcW w:w="1276" w:type="dxa"/>
            <w:vMerge w:val="restart"/>
            <w:tcBorders>
              <w:top w:val="single" w:sz="4" w:space="0" w:color="auto"/>
              <w:left w:val="single" w:sz="4" w:space="0" w:color="auto"/>
              <w:right w:val="single" w:sz="4" w:space="0" w:color="auto"/>
            </w:tcBorders>
            <w:shd w:val="clear" w:color="auto" w:fill="BDD7EE"/>
            <w:hideMark/>
          </w:tcPr>
          <w:p w:rsidR="00B0093E" w:rsidRDefault="00762CA6">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Toimenpide (uudistus tai investointi)</w:t>
            </w:r>
          </w:p>
        </w:tc>
        <w:tc>
          <w:tcPr>
            <w:tcW w:w="1095" w:type="dxa"/>
            <w:vMerge w:val="restart"/>
            <w:tcBorders>
              <w:top w:val="single" w:sz="4" w:space="0" w:color="auto"/>
              <w:left w:val="single" w:sz="4" w:space="0" w:color="auto"/>
              <w:right w:val="single" w:sz="4" w:space="0" w:color="auto"/>
            </w:tcBorders>
            <w:shd w:val="clear" w:color="auto" w:fill="BDD7EE"/>
            <w:hideMark/>
          </w:tcPr>
          <w:p w:rsidR="00B0093E" w:rsidRDefault="00762CA6">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Välitavoite/tavoite</w:t>
            </w:r>
          </w:p>
        </w:tc>
        <w:tc>
          <w:tcPr>
            <w:tcW w:w="889" w:type="dxa"/>
            <w:vMerge w:val="restart"/>
            <w:tcBorders>
              <w:top w:val="single" w:sz="4" w:space="0" w:color="auto"/>
              <w:left w:val="nil"/>
              <w:right w:val="single" w:sz="4" w:space="0" w:color="auto"/>
            </w:tcBorders>
            <w:shd w:val="clear" w:color="auto" w:fill="BDD7EE"/>
            <w:hideMark/>
          </w:tcPr>
          <w:p w:rsidR="00B0093E" w:rsidRDefault="00762CA6">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Nimi</w:t>
            </w:r>
          </w:p>
        </w:tc>
        <w:tc>
          <w:tcPr>
            <w:tcW w:w="1210" w:type="dxa"/>
            <w:vMerge w:val="restart"/>
            <w:tcBorders>
              <w:top w:val="single" w:sz="4" w:space="0" w:color="auto"/>
              <w:left w:val="single" w:sz="4" w:space="0" w:color="auto"/>
              <w:right w:val="single" w:sz="4" w:space="0" w:color="auto"/>
            </w:tcBorders>
            <w:shd w:val="clear" w:color="auto" w:fill="BDD7EE"/>
            <w:hideMark/>
          </w:tcPr>
          <w:p w:rsidR="00B0093E" w:rsidRDefault="00762CA6">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 xml:space="preserve">Laadulliset indikaattorit </w:t>
            </w:r>
            <w:r>
              <w:rPr>
                <w:rFonts w:ascii="Times New Roman" w:hAnsi="Times New Roman"/>
                <w:b/>
                <w:noProof/>
                <w:sz w:val="20"/>
              </w:rPr>
              <w:t xml:space="preserve"> </w:t>
            </w:r>
            <w:r>
              <w:rPr>
                <w:rFonts w:ascii="Times New Roman" w:hAnsi="Times New Roman"/>
                <w:b/>
                <w:noProof/>
                <w:sz w:val="20"/>
              </w:rPr>
              <w:br/>
            </w:r>
            <w:r>
              <w:rPr>
                <w:rFonts w:ascii="Times New Roman" w:hAnsi="Times New Roman"/>
                <w:b/>
                <w:noProof/>
                <w:sz w:val="20"/>
                <w:szCs w:val="20"/>
              </w:rPr>
              <w:t>(välitavoitteiden osalta)</w:t>
            </w:r>
          </w:p>
        </w:tc>
        <w:tc>
          <w:tcPr>
            <w:tcW w:w="2759" w:type="dxa"/>
            <w:gridSpan w:val="3"/>
            <w:tcBorders>
              <w:top w:val="single" w:sz="4" w:space="0" w:color="auto"/>
              <w:left w:val="nil"/>
              <w:bottom w:val="single" w:sz="4" w:space="0" w:color="auto"/>
              <w:right w:val="single" w:sz="4" w:space="0" w:color="auto"/>
            </w:tcBorders>
            <w:shd w:val="clear" w:color="auto" w:fill="BDD7EE"/>
            <w:hideMark/>
          </w:tcPr>
          <w:p w:rsidR="00B0093E" w:rsidRDefault="00762CA6">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 xml:space="preserve">Määrälliset indikaattorit </w:t>
            </w:r>
            <w:r>
              <w:rPr>
                <w:rFonts w:ascii="Times New Roman" w:hAnsi="Times New Roman"/>
                <w:b/>
                <w:bCs/>
                <w:noProof/>
                <w:sz w:val="20"/>
                <w:szCs w:val="24"/>
              </w:rPr>
              <w:br/>
            </w:r>
            <w:r>
              <w:rPr>
                <w:rFonts w:ascii="Times New Roman" w:hAnsi="Times New Roman"/>
                <w:b/>
                <w:noProof/>
                <w:sz w:val="20"/>
                <w:szCs w:val="20"/>
              </w:rPr>
              <w:t>(tavoitteiden osalta)</w:t>
            </w:r>
          </w:p>
        </w:tc>
        <w:tc>
          <w:tcPr>
            <w:tcW w:w="1503" w:type="dxa"/>
            <w:gridSpan w:val="2"/>
            <w:tcBorders>
              <w:top w:val="single" w:sz="4" w:space="0" w:color="auto"/>
              <w:left w:val="nil"/>
              <w:bottom w:val="single" w:sz="4" w:space="0" w:color="auto"/>
              <w:right w:val="single" w:sz="4" w:space="0" w:color="auto"/>
            </w:tcBorders>
            <w:shd w:val="clear" w:color="auto" w:fill="BDD7EE"/>
            <w:hideMark/>
          </w:tcPr>
          <w:p w:rsidR="00B0093E" w:rsidRDefault="00762CA6">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 xml:space="preserve">Alustava toteutusaikataulu </w:t>
            </w:r>
          </w:p>
        </w:tc>
        <w:tc>
          <w:tcPr>
            <w:tcW w:w="5726" w:type="dxa"/>
            <w:vMerge w:val="restart"/>
            <w:tcBorders>
              <w:top w:val="single" w:sz="4" w:space="0" w:color="auto"/>
              <w:left w:val="single" w:sz="4" w:space="0" w:color="auto"/>
              <w:right w:val="single" w:sz="4" w:space="0" w:color="auto"/>
            </w:tcBorders>
            <w:shd w:val="clear" w:color="auto" w:fill="BDD7EE"/>
            <w:hideMark/>
          </w:tcPr>
          <w:p w:rsidR="00B0093E" w:rsidRDefault="00762CA6">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szCs w:val="20"/>
              </w:rPr>
              <w:t>Kunkin välitavoitteen ja tavoitteen kuvaus</w:t>
            </w:r>
          </w:p>
        </w:tc>
      </w:tr>
      <w:tr w:rsidR="00B0093E">
        <w:trPr>
          <w:trHeight w:val="1027"/>
          <w:tblHeader/>
          <w:jc w:val="center"/>
        </w:trPr>
        <w:tc>
          <w:tcPr>
            <w:tcW w:w="1413" w:type="dxa"/>
            <w:vMerge/>
            <w:tcBorders>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24"/>
                <w:szCs w:val="24"/>
                <w:lang w:eastAsia="en-GB"/>
              </w:rPr>
            </w:pPr>
          </w:p>
        </w:tc>
        <w:tc>
          <w:tcPr>
            <w:tcW w:w="1276" w:type="dxa"/>
            <w:vMerge/>
            <w:tcBorders>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24"/>
                <w:szCs w:val="24"/>
                <w:lang w:eastAsia="en-GB"/>
              </w:rPr>
            </w:pPr>
          </w:p>
        </w:tc>
        <w:tc>
          <w:tcPr>
            <w:tcW w:w="1095" w:type="dxa"/>
            <w:vMerge/>
            <w:tcBorders>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24"/>
                <w:szCs w:val="24"/>
                <w:lang w:eastAsia="en-GB"/>
              </w:rPr>
            </w:pPr>
          </w:p>
        </w:tc>
        <w:tc>
          <w:tcPr>
            <w:tcW w:w="889" w:type="dxa"/>
            <w:vMerge/>
            <w:tcBorders>
              <w:left w:val="nil"/>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24"/>
                <w:szCs w:val="24"/>
                <w:lang w:eastAsia="en-GB"/>
              </w:rPr>
            </w:pPr>
          </w:p>
        </w:tc>
        <w:tc>
          <w:tcPr>
            <w:tcW w:w="1210" w:type="dxa"/>
            <w:vMerge/>
            <w:tcBorders>
              <w:left w:val="single" w:sz="4" w:space="0" w:color="auto"/>
              <w:bottom w:val="single" w:sz="4" w:space="0" w:color="000000"/>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24"/>
                <w:szCs w:val="24"/>
                <w:lang w:eastAsia="en-GB"/>
              </w:rPr>
            </w:pPr>
          </w:p>
        </w:tc>
        <w:tc>
          <w:tcPr>
            <w:tcW w:w="1058"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Mittayksikkö</w:t>
            </w:r>
          </w:p>
        </w:tc>
        <w:tc>
          <w:tcPr>
            <w:tcW w:w="99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 xml:space="preserve">Perustaso </w:t>
            </w:r>
          </w:p>
        </w:tc>
        <w:tc>
          <w:tcPr>
            <w:tcW w:w="709"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 xml:space="preserve">Päämäärä </w:t>
            </w:r>
          </w:p>
        </w:tc>
        <w:tc>
          <w:tcPr>
            <w:tcW w:w="851"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Vuosineljännes</w:t>
            </w:r>
          </w:p>
        </w:tc>
        <w:tc>
          <w:tcPr>
            <w:tcW w:w="652" w:type="dxa"/>
            <w:tcBorders>
              <w:top w:val="nil"/>
              <w:left w:val="nil"/>
              <w:bottom w:val="single" w:sz="4" w:space="0" w:color="auto"/>
              <w:right w:val="single" w:sz="4" w:space="0" w:color="auto"/>
            </w:tcBorders>
            <w:shd w:val="clear" w:color="auto" w:fill="BDD7EE"/>
            <w:vAlign w:val="center"/>
            <w:hideMark/>
          </w:tcPr>
          <w:p w:rsidR="00B0093E" w:rsidRDefault="00762CA6">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Vuosi</w:t>
            </w:r>
          </w:p>
        </w:tc>
        <w:tc>
          <w:tcPr>
            <w:tcW w:w="5726" w:type="dxa"/>
            <w:vMerge/>
            <w:tcBorders>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24"/>
                <w:szCs w:val="24"/>
                <w:lang w:eastAsia="en-GB"/>
              </w:rPr>
            </w:pPr>
          </w:p>
        </w:tc>
      </w:tr>
      <w:tr w:rsidR="00B0093E">
        <w:trPr>
          <w:trHeight w:val="313"/>
          <w:jc w:val="center"/>
        </w:trPr>
        <w:tc>
          <w:tcPr>
            <w:tcW w:w="1413"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320</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4.7. Kilpailukyvyn parantaminen ja yksityisten investointien ja viennin edistäminen – 16980_RRP-lainajärjestely</w:t>
            </w:r>
          </w:p>
        </w:tc>
        <w:tc>
          <w:tcPr>
            <w:tcW w:w="109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Operatiiviset sopimukset kansainvälisten rahoituslaitosten kanssa</w:t>
            </w:r>
          </w:p>
        </w:tc>
        <w:tc>
          <w:tcPr>
            <w:tcW w:w="12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Yhden kansainvälisen rahoituslaitoksen kanssa allekirjoitettu operatiivinen sopimus</w:t>
            </w:r>
          </w:p>
        </w:tc>
        <w:tc>
          <w:tcPr>
            <w:tcW w:w="105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6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572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Valtiovarainministeriön ja vähintään yhden kansainvälisen rahoituslaitoksen väliste</w:t>
            </w:r>
            <w:r>
              <w:rPr>
                <w:noProof/>
                <w:color w:val="006100"/>
                <w:sz w:val="18"/>
                <w:szCs w:val="18"/>
              </w:rPr>
              <w:t>n operatiivisten sopimusten allekirjoittaminen, mukaan lukien</w:t>
            </w:r>
          </w:p>
          <w:p w:rsidR="00B0093E" w:rsidRDefault="00762CA6">
            <w:pPr>
              <w:spacing w:after="0" w:line="240" w:lineRule="auto"/>
              <w:rPr>
                <w:rFonts w:eastAsia="Times New Roman" w:cs="Calibri"/>
                <w:noProof/>
                <w:color w:val="006100"/>
                <w:sz w:val="18"/>
                <w:szCs w:val="18"/>
              </w:rPr>
            </w:pPr>
            <w:r>
              <w:rPr>
                <w:noProof/>
                <w:color w:val="006100"/>
                <w:sz w:val="18"/>
                <w:szCs w:val="18"/>
              </w:rPr>
              <w:t>a) valintakriteerit ”ei merkittävää haittaa” -periaatteen teknisten ohjeiden (2021/C58/01) noudattamiseksi sellaisissa tuetuissa toimissa, jotka edellyttävät kestävyysarvioinnin käyttöä, poissul</w:t>
            </w:r>
            <w:r>
              <w:rPr>
                <w:noProof/>
                <w:color w:val="006100"/>
                <w:sz w:val="18"/>
                <w:szCs w:val="18"/>
              </w:rPr>
              <w:t>kemisluetteloa ja pakollisia lainsäädännön noudattamisen tarkastuksia asiaa koskevan EU:n ja kansallisen ympäristölainsäädännön kanssa.</w:t>
            </w:r>
          </w:p>
          <w:p w:rsidR="00B0093E" w:rsidRDefault="00762CA6">
            <w:pPr>
              <w:spacing w:after="0" w:line="240" w:lineRule="auto"/>
              <w:rPr>
                <w:rFonts w:eastAsia="Times New Roman" w:cs="Calibri"/>
                <w:noProof/>
                <w:color w:val="006100"/>
                <w:sz w:val="18"/>
                <w:szCs w:val="18"/>
              </w:rPr>
            </w:pPr>
            <w:r>
              <w:rPr>
                <w:noProof/>
                <w:color w:val="006100"/>
                <w:sz w:val="18"/>
                <w:szCs w:val="18"/>
              </w:rPr>
              <w:t>b) sitoumus investoida vähintään 38,5 prosenttia varoista, joilla tuetaan ilmastosiirtymää, ja 20,8 prosenttia varoista,</w:t>
            </w:r>
            <w:r>
              <w:rPr>
                <w:noProof/>
                <w:color w:val="006100"/>
                <w:sz w:val="18"/>
                <w:szCs w:val="18"/>
              </w:rPr>
              <w:t xml:space="preserve"> joilla tuetaan digitaalista siirtymää, käyttäen elpymis- ja palautumistukivälinettä koskevan asetuksen liitteissä VI ja VII esitettyä menetelmää.</w:t>
            </w:r>
          </w:p>
        </w:tc>
      </w:tr>
      <w:tr w:rsidR="00B0093E">
        <w:trPr>
          <w:trHeight w:val="313"/>
          <w:jc w:val="center"/>
        </w:trPr>
        <w:tc>
          <w:tcPr>
            <w:tcW w:w="1413" w:type="dxa"/>
            <w:tcBorders>
              <w:top w:val="nil"/>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321</w:t>
            </w:r>
          </w:p>
        </w:tc>
        <w:tc>
          <w:tcPr>
            <w:tcW w:w="127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4.7. Kilpailukyvyn parantaminen ja yksityisten investointien ja viennin edistäminen – </w:t>
            </w:r>
            <w:r>
              <w:rPr>
                <w:noProof/>
                <w:color w:val="006100"/>
                <w:sz w:val="18"/>
                <w:szCs w:val="18"/>
              </w:rPr>
              <w:t>16980_RRP-lainajärjestely</w:t>
            </w:r>
          </w:p>
        </w:tc>
        <w:tc>
          <w:tcPr>
            <w:tcW w:w="1095"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89"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Liikepankkien puhelujen käynnistäminen</w:t>
            </w:r>
          </w:p>
        </w:tc>
        <w:tc>
          <w:tcPr>
            <w:tcW w:w="1210"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Ehdotuspyynnön käynnistäminen</w:t>
            </w:r>
          </w:p>
        </w:tc>
        <w:tc>
          <w:tcPr>
            <w:tcW w:w="1058"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Q3</w:t>
            </w:r>
          </w:p>
        </w:tc>
        <w:tc>
          <w:tcPr>
            <w:tcW w:w="652"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2021</w:t>
            </w:r>
          </w:p>
        </w:tc>
        <w:tc>
          <w:tcPr>
            <w:tcW w:w="5726" w:type="dxa"/>
            <w:tcBorders>
              <w:top w:val="nil"/>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Liikepankkien valintaa koskevan ehdotuspyynnön käynnistäminen, mukaan lukien</w:t>
            </w:r>
          </w:p>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 valintakriteerit ”ei merkittävää haittaa” -periaatteen </w:t>
            </w:r>
            <w:r>
              <w:rPr>
                <w:noProof/>
                <w:color w:val="006100"/>
                <w:sz w:val="18"/>
                <w:szCs w:val="18"/>
              </w:rPr>
              <w:t>teknisten ohjeiden (2021/C58/01) noudattamiseksi sellaisissa tuetuissa toimissa, jotka edellyttävät kestävyysarvioinnin käyttöä, poissulkemisluetteloa ja pakollisia lainsäädännön noudattamisen tarkastuksia asiaa koskevan EU:n ja kansallisen ympäristölainsä</w:t>
            </w:r>
            <w:r>
              <w:rPr>
                <w:noProof/>
                <w:color w:val="006100"/>
                <w:sz w:val="18"/>
                <w:szCs w:val="18"/>
              </w:rPr>
              <w:t>ädännön kanssa.</w:t>
            </w:r>
          </w:p>
          <w:p w:rsidR="00B0093E" w:rsidRDefault="00762CA6">
            <w:pPr>
              <w:spacing w:after="0" w:line="240" w:lineRule="auto"/>
              <w:rPr>
                <w:rFonts w:eastAsia="Times New Roman" w:cs="Calibri"/>
                <w:noProof/>
                <w:color w:val="006100"/>
                <w:sz w:val="18"/>
                <w:szCs w:val="18"/>
              </w:rPr>
            </w:pPr>
            <w:r>
              <w:rPr>
                <w:noProof/>
                <w:color w:val="006100"/>
                <w:sz w:val="18"/>
                <w:szCs w:val="18"/>
              </w:rPr>
              <w:t>b) sitoumus investoida vähintään 38,5 prosenttia varoista, joilla tuetaan ilmastosiirtymää, ja 20,8 prosenttia varoista, joilla tuetaan digitaalista siirtymää, käyttäen elpymis- ja palautumistukivälinettä koskevan asetuksen liitteissä VI ja</w:t>
            </w:r>
            <w:r>
              <w:rPr>
                <w:noProof/>
                <w:color w:val="006100"/>
                <w:sz w:val="18"/>
                <w:szCs w:val="18"/>
              </w:rPr>
              <w:t xml:space="preserve"> VII esitettyä menetelmää.</w:t>
            </w:r>
          </w:p>
        </w:tc>
      </w:tr>
      <w:tr w:rsidR="00B0093E">
        <w:trPr>
          <w:trHeight w:val="313"/>
          <w:jc w:val="center"/>
        </w:trPr>
        <w:tc>
          <w:tcPr>
            <w:tcW w:w="1413"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rPr>
            </w:pPr>
            <w:r>
              <w:rPr>
                <w:noProof/>
                <w:color w:val="006100"/>
              </w:rPr>
              <w:t> 322</w:t>
            </w:r>
          </w:p>
        </w:tc>
        <w:tc>
          <w:tcPr>
            <w:tcW w:w="127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4.7. Kilpailukyvyn parantaminen ja yksityisten investointien ja viennin edistäminen – 16980_RRP-lainajärjestely</w:t>
            </w:r>
          </w:p>
        </w:tc>
        <w:tc>
          <w:tcPr>
            <w:tcW w:w="1095"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8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Sopimus pääomafoorumista</w:t>
            </w:r>
          </w:p>
        </w:tc>
        <w:tc>
          <w:tcPr>
            <w:tcW w:w="121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Valtuutussopimus allekirjoitettu</w:t>
            </w:r>
          </w:p>
        </w:tc>
        <w:tc>
          <w:tcPr>
            <w:tcW w:w="1058"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65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72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Valtiovarainministeriön ja </w:t>
            </w:r>
            <w:r>
              <w:rPr>
                <w:noProof/>
                <w:color w:val="006100"/>
                <w:sz w:val="18"/>
                <w:szCs w:val="18"/>
              </w:rPr>
              <w:t>Kreikan kehityspankin, joka hallinnoi rahaston Mezzanine-rahastoa ja Innovate Now Equifund -rahastoa, välinen valtuutussopimus allekirjoitetaan. Valtuutussopimukseen sisällytetään valintakriteerit ”ei merkittävää haittaa” -periaatteen teknisten ohjeiden (2</w:t>
            </w:r>
            <w:r>
              <w:rPr>
                <w:noProof/>
                <w:color w:val="006100"/>
                <w:sz w:val="18"/>
                <w:szCs w:val="18"/>
              </w:rPr>
              <w:t>021/C58/01) noudattamiseksi sellaisissa tuetuissa yrityksissä, jotka edellyttävät kestävyysarvioinnin käyttöä, poissulkemisluetteloa ja pakollisia lainsäädännön noudattamisen tarkastuksia asiaa koskevan EU:n ja kansallisen ympäristölainsäädännön kanssa.</w:t>
            </w:r>
          </w:p>
        </w:tc>
      </w:tr>
      <w:tr w:rsidR="00B0093E">
        <w:trPr>
          <w:trHeight w:val="313"/>
          <w:jc w:val="center"/>
        </w:trPr>
        <w:tc>
          <w:tcPr>
            <w:tcW w:w="1413" w:type="dxa"/>
            <w:tcBorders>
              <w:top w:val="nil"/>
              <w:left w:val="single" w:sz="4" w:space="0" w:color="auto"/>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rPr>
            </w:pPr>
            <w:r>
              <w:rPr>
                <w:noProof/>
                <w:color w:val="006100"/>
              </w:rPr>
              <w:t> 323</w:t>
            </w:r>
          </w:p>
        </w:tc>
        <w:tc>
          <w:tcPr>
            <w:tcW w:w="127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 4.7. Kilpailukyvyn parantaminen ja yksityisten investointien ja viennin edistäminen – 16980_RRP-lainajärjestely</w:t>
            </w:r>
          </w:p>
        </w:tc>
        <w:tc>
          <w:tcPr>
            <w:tcW w:w="1095"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Välitavoite</w:t>
            </w:r>
          </w:p>
        </w:tc>
        <w:tc>
          <w:tcPr>
            <w:tcW w:w="889"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InvestEU-rahoitussopimus</w:t>
            </w:r>
          </w:p>
        </w:tc>
        <w:tc>
          <w:tcPr>
            <w:tcW w:w="1210"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Rahoitusosuussopimus allekirjoitettu</w:t>
            </w:r>
          </w:p>
        </w:tc>
        <w:tc>
          <w:tcPr>
            <w:tcW w:w="1058"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hideMark/>
          </w:tcPr>
          <w:p w:rsidR="00B0093E" w:rsidRDefault="00B0093E">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Q1</w:t>
            </w:r>
          </w:p>
        </w:tc>
        <w:tc>
          <w:tcPr>
            <w:tcW w:w="652"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726" w:type="dxa"/>
            <w:tcBorders>
              <w:top w:val="nil"/>
              <w:left w:val="nil"/>
              <w:bottom w:val="single" w:sz="4" w:space="0" w:color="auto"/>
              <w:right w:val="single" w:sz="4" w:space="0" w:color="auto"/>
            </w:tcBorders>
            <w:shd w:val="clear" w:color="auto" w:fill="C6EFCE"/>
            <w:noWrap/>
            <w:hideMark/>
          </w:tcPr>
          <w:p w:rsidR="00B0093E" w:rsidRDefault="00762CA6">
            <w:pPr>
              <w:spacing w:after="0" w:line="240" w:lineRule="auto"/>
              <w:rPr>
                <w:rFonts w:eastAsia="Times New Roman" w:cs="Calibri"/>
                <w:noProof/>
                <w:color w:val="006100"/>
                <w:sz w:val="18"/>
                <w:szCs w:val="18"/>
              </w:rPr>
            </w:pPr>
            <w:r>
              <w:rPr>
                <w:noProof/>
                <w:color w:val="006100"/>
                <w:sz w:val="18"/>
                <w:szCs w:val="18"/>
              </w:rPr>
              <w:t>Valtiovarainministeriön ja Euroopan komission välisen</w:t>
            </w:r>
            <w:r>
              <w:rPr>
                <w:noProof/>
                <w:color w:val="006100"/>
                <w:sz w:val="18"/>
                <w:szCs w:val="18"/>
              </w:rPr>
              <w:t xml:space="preserve"> InvestEU-rahoitussopimuksen allekirjoittaminen, mukaan lukien</w:t>
            </w:r>
          </w:p>
          <w:p w:rsidR="00B0093E" w:rsidRDefault="00762CA6">
            <w:pPr>
              <w:spacing w:after="0" w:line="240" w:lineRule="auto"/>
              <w:rPr>
                <w:rFonts w:eastAsia="Times New Roman" w:cs="Calibri"/>
                <w:noProof/>
                <w:color w:val="006100"/>
                <w:sz w:val="18"/>
                <w:szCs w:val="18"/>
              </w:rPr>
            </w:pPr>
            <w:r>
              <w:rPr>
                <w:noProof/>
                <w:color w:val="006100"/>
                <w:sz w:val="18"/>
                <w:szCs w:val="18"/>
              </w:rPr>
              <w:t>a) valintakriteerit ”ei merkittävää haittaa” -periaatteen teknisten ohjeiden (2021/C58/01) noudattamiseksi sellaisissa tuetuissa yrityksissä, jotka edellyttävät kestävyysarvioinnin käyttöä, poi</w:t>
            </w:r>
            <w:r>
              <w:rPr>
                <w:noProof/>
                <w:color w:val="006100"/>
                <w:sz w:val="18"/>
                <w:szCs w:val="18"/>
              </w:rPr>
              <w:t>ssulkemisluetteloa ja pakollisia lainsäädännön noudattamisen tarkastuksia asiaa koskevan EU:n ja kansallisen ympäristölainsäädännön kanssa.</w:t>
            </w:r>
          </w:p>
          <w:p w:rsidR="00B0093E" w:rsidRDefault="00762CA6">
            <w:pPr>
              <w:spacing w:after="0" w:line="240" w:lineRule="auto"/>
              <w:rPr>
                <w:rFonts w:eastAsia="Times New Roman" w:cs="Calibri"/>
                <w:noProof/>
                <w:color w:val="006100"/>
                <w:sz w:val="18"/>
                <w:szCs w:val="18"/>
              </w:rPr>
            </w:pPr>
            <w:r>
              <w:rPr>
                <w:noProof/>
                <w:color w:val="006100"/>
                <w:sz w:val="18"/>
                <w:szCs w:val="18"/>
              </w:rPr>
              <w:t>b) sitoumus investoida vähintään 38,5 prosenttia varoista, joilla tuetaan ilmastosiirtymää, ja 20,8 prosenttia varoi</w:t>
            </w:r>
            <w:r>
              <w:rPr>
                <w:noProof/>
                <w:color w:val="006100"/>
                <w:sz w:val="18"/>
                <w:szCs w:val="18"/>
              </w:rPr>
              <w:t>sta, joilla tuetaan digitaalista siirtymää, käyttäen elpymis- ja palautumistukivälinettä koskevan asetuksen liitteissä VI ja VII esitettyä menetelmää.</w:t>
            </w:r>
          </w:p>
        </w:tc>
      </w:tr>
      <w:tr w:rsidR="00B0093E">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324</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sz w:val="18"/>
                <w:szCs w:val="18"/>
              </w:rPr>
              <w:t xml:space="preserve">4.7. Kilpailukyvyn parantaminen ja yksityisten investointien ja viennin edistäminen – </w:t>
            </w:r>
            <w:r>
              <w:rPr>
                <w:noProof/>
                <w:color w:val="006100"/>
                <w:sz w:val="18"/>
                <w:szCs w:val="18"/>
              </w:rPr>
              <w:t>16980_RRP-lainajärjestely</w:t>
            </w:r>
          </w:p>
        </w:tc>
        <w:tc>
          <w:tcPr>
            <w:tcW w:w="109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586,4 miljoonaa euroa rahoituslaitosten varoja allekirjoitettu lopullisten edunsaajien kanssa</w:t>
            </w:r>
          </w:p>
        </w:tc>
        <w:tc>
          <w:tcPr>
            <w:tcW w:w="1210"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Allekirjoitettujen varojen prosenttiosuus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2022</w:t>
            </w:r>
          </w:p>
        </w:tc>
        <w:tc>
          <w:tcPr>
            <w:tcW w:w="5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Lopullisille tuensaajille on allekirjoitettu 586,4 miljoonaa euroa </w:t>
            </w:r>
            <w:r>
              <w:rPr>
                <w:noProof/>
                <w:color w:val="006100"/>
                <w:sz w:val="18"/>
                <w:szCs w:val="18"/>
              </w:rPr>
              <w:t>(hallinnointipalkkiot mukaan luettuina) kansainvälisiin rahoituslaitoksiin ja liikepankkeihin liittyvistä elpymis- ja palautumistukivälineen lainajärjestelyistä välitavoitteissa määritellyn toimeksiannon mukaisesti ja sen jälkeen, kun riippumattomat tarkas</w:t>
            </w:r>
            <w:r>
              <w:rPr>
                <w:noProof/>
                <w:color w:val="006100"/>
                <w:sz w:val="18"/>
                <w:szCs w:val="18"/>
              </w:rPr>
              <w:t>tajat ovat etukäteen tarkastaneet, että ”ei merkittävää haittaa koskevia teknisiä ohjeita” (2021/C58/01) sekä 38,5 prosentin ilmastotavoitetta ja 20,8 prosentin digitaalista tavoitetta on noudatettu.</w:t>
            </w:r>
          </w:p>
        </w:tc>
      </w:tr>
      <w:tr w:rsidR="00B0093E">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325</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sz w:val="18"/>
                <w:szCs w:val="18"/>
              </w:rPr>
              <w:t xml:space="preserve">4.7. Kilpailukyvyn parantaminen ja yksityisten </w:t>
            </w:r>
            <w:r>
              <w:rPr>
                <w:noProof/>
                <w:color w:val="006100"/>
                <w:sz w:val="18"/>
                <w:szCs w:val="18"/>
              </w:rPr>
              <w:t>investointien ja viennin edistäminen – 16980_RRP-lainajärjestely</w:t>
            </w:r>
          </w:p>
        </w:tc>
        <w:tc>
          <w:tcPr>
            <w:tcW w:w="109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3518,4 miljoonaa euroa rahoituslaitosten varoja, jotka on allekirjoitettu lopullisten edunsaajien kanssa</w:t>
            </w:r>
          </w:p>
        </w:tc>
        <w:tc>
          <w:tcPr>
            <w:tcW w:w="1210"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Allekirjoitettujen varojen prosenttiosuus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2023</w:t>
            </w:r>
          </w:p>
        </w:tc>
        <w:tc>
          <w:tcPr>
            <w:tcW w:w="5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Lopullisille </w:t>
            </w:r>
            <w:r>
              <w:rPr>
                <w:noProof/>
                <w:color w:val="006100"/>
                <w:sz w:val="18"/>
                <w:szCs w:val="18"/>
              </w:rPr>
              <w:t>tuensaajille on allekirjoitettu 3 518,4 miljoonaa euroa (hallinnointipalkkiot mukaan luettuina) kansainvälisiin rahoituslaitoksiin ja liikepankkeihin liittyvistä elpymis- ja palautumistukivälineen lainajärjestelyistä välitavoitteissa määritellyn toimeksian</w:t>
            </w:r>
            <w:r>
              <w:rPr>
                <w:noProof/>
                <w:color w:val="006100"/>
                <w:sz w:val="18"/>
                <w:szCs w:val="18"/>
              </w:rPr>
              <w:t>non mukaisesti ja sen jälkeen, kun riippumattomat tarkastajat ovat etukäteen tarkastaneet, että ”ei merkittävää haittaa koskevia teknisiä ohjeita” (2021/C58/01) sekä 38,5 prosentin ilmastotavoitetta ja 20,8 prosentin digitaalista tavoitetta on noudatettu.</w:t>
            </w:r>
          </w:p>
        </w:tc>
      </w:tr>
      <w:tr w:rsidR="00B0093E">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326</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sz w:val="18"/>
                <w:szCs w:val="18"/>
              </w:rPr>
              <w:t>4.7. Kilpailukyvyn parantaminen ja yksityisten investointien ja viennin edistäminen – 16980_RRP-lainajärjestely</w:t>
            </w:r>
          </w:p>
        </w:tc>
        <w:tc>
          <w:tcPr>
            <w:tcW w:w="109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5864 miljoonaa euroa rahoituslaitosten varoja allekirjoitettu lopullisten edunsaajien kanssa</w:t>
            </w:r>
          </w:p>
        </w:tc>
        <w:tc>
          <w:tcPr>
            <w:tcW w:w="1210"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Allekirjoitettujen varojen </w:t>
            </w:r>
            <w:r>
              <w:rPr>
                <w:noProof/>
                <w:color w:val="006100"/>
                <w:sz w:val="18"/>
                <w:szCs w:val="18"/>
              </w:rPr>
              <w:t>prosenttiosuus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30</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2024</w:t>
            </w:r>
          </w:p>
        </w:tc>
        <w:tc>
          <w:tcPr>
            <w:tcW w:w="5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Lopullisille tuensaajille on allekirjoitettu 5864 miljoonaa euroa (hallinnointipalkkiot mukaan luettuina) kansainvälisiin rahoituslaitoksiin ja liikepankkeihin liittyvistä elpymis- ja palautumistukivälineen lainajärjestelyistä </w:t>
            </w:r>
            <w:r>
              <w:rPr>
                <w:noProof/>
                <w:color w:val="006100"/>
                <w:sz w:val="18"/>
                <w:szCs w:val="18"/>
              </w:rPr>
              <w:t xml:space="preserve">välitavoitteissa määritellyn toimeksiannon mukaisesti ja sen jälkeen, kun riippumattomat tarkastajat ovat etukäteen tarkastaneet, että ”ei merkittävää haittaa koskevia teknisiä ohjeita” (2021/C58/01) sekä 38,5 prosentin ilmastotavoitetta ja 20,8 prosentin </w:t>
            </w:r>
            <w:r>
              <w:rPr>
                <w:noProof/>
                <w:color w:val="006100"/>
                <w:sz w:val="18"/>
                <w:szCs w:val="18"/>
              </w:rPr>
              <w:t>digitaalista tavoitetta on noudatettu.</w:t>
            </w:r>
          </w:p>
        </w:tc>
      </w:tr>
      <w:tr w:rsidR="00B0093E">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327</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4.7. Kilpailukyvyn parantaminen ja yksityisten investointien ja viennin edistäminen – 16980_RRP-lainajärjestely</w:t>
            </w:r>
          </w:p>
        </w:tc>
        <w:tc>
          <w:tcPr>
            <w:tcW w:w="109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9382,4 miljoonaa euroa rahoituslaitosten varoja, jotka on allekirjoitettu lopullisten </w:t>
            </w:r>
            <w:r>
              <w:rPr>
                <w:noProof/>
                <w:color w:val="006100"/>
                <w:sz w:val="18"/>
                <w:szCs w:val="18"/>
              </w:rPr>
              <w:t>edunsaajien kanssa</w:t>
            </w:r>
          </w:p>
        </w:tc>
        <w:tc>
          <w:tcPr>
            <w:tcW w:w="1210" w:type="dxa"/>
            <w:tcBorders>
              <w:top w:val="single" w:sz="4" w:space="0" w:color="auto"/>
              <w:left w:val="nil"/>
              <w:bottom w:val="single" w:sz="4" w:space="0" w:color="auto"/>
              <w:right w:val="single" w:sz="4" w:space="0" w:color="auto"/>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Allekirjoitettujen varojen prosenttiosuus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50</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Q4</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2025</w:t>
            </w:r>
          </w:p>
        </w:tc>
        <w:tc>
          <w:tcPr>
            <w:tcW w:w="5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Lopullisille tuensaajille on allekirjoitettu 9382,4 miljoonaa euroa (hallinnointipalkkiot mukaan luettuina) kansainvälisiin rahoituslaitoksiin ja liikepankkeihin liittyvistä </w:t>
            </w:r>
            <w:r>
              <w:rPr>
                <w:noProof/>
                <w:color w:val="006100"/>
                <w:sz w:val="18"/>
                <w:szCs w:val="18"/>
              </w:rPr>
              <w:t>elpymis- ja palautumistukivälineen lainajärjestelyistä välitavoitteissa määritellyn toimeksiannon mukaisesti ja sen jälkeen, kun riippumattomat tarkastajat ovat etukäteen tarkastaneet, että ”ei merkittävää haittaa koskevia teknisiä ohjeita” (2021/C58/01) s</w:t>
            </w:r>
            <w:r>
              <w:rPr>
                <w:noProof/>
                <w:color w:val="006100"/>
                <w:sz w:val="18"/>
                <w:szCs w:val="18"/>
              </w:rPr>
              <w:t>ekä 38,5 prosentin ilmastotavoitetta ja 20,8 prosentin digitaalista tavoitetta on noudatettu.</w:t>
            </w:r>
          </w:p>
        </w:tc>
      </w:tr>
      <w:tr w:rsidR="00B0093E">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328</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4.7. Kilpailukyvyn parantaminen ja yksityisten investointien ja viennin edistäminen – 16980_RRP-lainajärjestely</w:t>
            </w:r>
          </w:p>
        </w:tc>
        <w:tc>
          <w:tcPr>
            <w:tcW w:w="109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11728 miljoonaa euroa </w:t>
            </w:r>
            <w:r>
              <w:rPr>
                <w:noProof/>
                <w:color w:val="006100"/>
                <w:sz w:val="18"/>
                <w:szCs w:val="18"/>
              </w:rPr>
              <w:t>rahoituslaitosten varoja allekirjoitettu lopullisten edunsaajien kanssa</w:t>
            </w:r>
          </w:p>
        </w:tc>
        <w:tc>
          <w:tcPr>
            <w:tcW w:w="1210" w:type="dxa"/>
            <w:tcBorders>
              <w:top w:val="single" w:sz="4" w:space="0" w:color="auto"/>
              <w:left w:val="nil"/>
              <w:bottom w:val="single" w:sz="4" w:space="0" w:color="auto"/>
              <w:right w:val="single" w:sz="4" w:space="0" w:color="auto"/>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Allekirjoitettujen varojen prosenttiosuus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80</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2026</w:t>
            </w:r>
          </w:p>
        </w:tc>
        <w:tc>
          <w:tcPr>
            <w:tcW w:w="5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Lopullisille tuensaajille on allekirjoitettu 11728 miljoonaa euroa (hallinnointipalkkiot mukaan luettuina) kansainvälisiin </w:t>
            </w:r>
            <w:r>
              <w:rPr>
                <w:noProof/>
                <w:color w:val="006100"/>
                <w:sz w:val="18"/>
                <w:szCs w:val="18"/>
              </w:rPr>
              <w:t xml:space="preserve">rahoituslaitoksiin ja liikepankkeihin liittyvistä elpymis- ja palautumistukivälineen lainajärjestelyistä välitavoitteissa määritellyn toimeksiannon mukaisesti ja sen jälkeen, kun riippumattomat tarkastajat ovat etukäteen tarkastaneet, että ”ei merkittävää </w:t>
            </w:r>
            <w:r>
              <w:rPr>
                <w:noProof/>
                <w:color w:val="006100"/>
                <w:sz w:val="18"/>
                <w:szCs w:val="18"/>
              </w:rPr>
              <w:t>haittaa koskevia teknisiä ohjeita” (2021/C58/01) sekä 38,5 prosentin ilmastotavoitetta ja 20,8 prosentin digitaalista tavoitetta on noudatettu.</w:t>
            </w:r>
          </w:p>
        </w:tc>
      </w:tr>
      <w:tr w:rsidR="00B0093E">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329</w:t>
            </w:r>
          </w:p>
          <w:p w:rsidR="00B0093E" w:rsidRDefault="00B0093E">
            <w:pPr>
              <w:spacing w:after="0" w:line="240" w:lineRule="auto"/>
              <w:rPr>
                <w:rFonts w:eastAsia="Times New Roman" w:cs="Calibri"/>
                <w:noProof/>
                <w:color w:val="006100"/>
                <w:lang w:eastAsia="en-GB"/>
              </w:rPr>
            </w:pPr>
          </w:p>
          <w:p w:rsidR="00B0093E" w:rsidRDefault="00B0093E">
            <w:pPr>
              <w:jc w:val="center"/>
              <w:rPr>
                <w:rFonts w:eastAsia="Times New Roman" w:cs="Calibri"/>
                <w:noProof/>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4.7. Kilpailukyvyn parantaminen ja yksityisten investointien ja viennin edistäminen – </w:t>
            </w:r>
            <w:r>
              <w:rPr>
                <w:noProof/>
                <w:color w:val="006100"/>
                <w:sz w:val="18"/>
                <w:szCs w:val="18"/>
              </w:rPr>
              <w:t>16980_RRP-lainajärjestely</w:t>
            </w:r>
          </w:p>
        </w:tc>
        <w:tc>
          <w:tcPr>
            <w:tcW w:w="109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 xml:space="preserve">100 % oman pääoman ehtoisesta tuesta </w:t>
            </w:r>
          </w:p>
        </w:tc>
        <w:tc>
          <w:tcPr>
            <w:tcW w:w="1210" w:type="dxa"/>
            <w:tcBorders>
              <w:top w:val="single" w:sz="4" w:space="0" w:color="auto"/>
              <w:left w:val="nil"/>
              <w:bottom w:val="single" w:sz="4" w:space="0" w:color="auto"/>
              <w:right w:val="single" w:sz="4" w:space="0" w:color="auto"/>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Sijoitetun oman pääoman ehtoisen tuen prosenttiosuus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2026</w:t>
            </w:r>
          </w:p>
        </w:tc>
        <w:tc>
          <w:tcPr>
            <w:tcW w:w="5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highlight w:val="yellow"/>
              </w:rPr>
            </w:pPr>
            <w:r>
              <w:rPr>
                <w:noProof/>
                <w:color w:val="006100"/>
                <w:sz w:val="18"/>
                <w:szCs w:val="18"/>
              </w:rPr>
              <w:t>Pääomatuen investoiminen 100-prosenttisesti, välitavoitteissa määritellyn toimeksiantosopimuksen mukaisesti, johon o</w:t>
            </w:r>
            <w:r>
              <w:rPr>
                <w:noProof/>
                <w:color w:val="006100"/>
                <w:sz w:val="18"/>
                <w:szCs w:val="18"/>
              </w:rPr>
              <w:t xml:space="preserve">n sisällyttävä valintaperusteet tukea saavien yritysten ”ei merkittävää haittaa” -periaatteen teknisten ohjeiden (2021/C58/01) noudattamiseksi, ja joka edellyttää kestävyysarvioinnin käyttöä, poissulkemisluetteloa ja pakollisia lainsäädännön noudattamisen </w:t>
            </w:r>
            <w:r>
              <w:rPr>
                <w:noProof/>
                <w:color w:val="006100"/>
                <w:sz w:val="18"/>
                <w:szCs w:val="18"/>
              </w:rPr>
              <w:t>tarkastuksia asiaa koskevan EU:n ja kansallisen ympäristölainsäädännön kanssa.</w:t>
            </w:r>
          </w:p>
        </w:tc>
      </w:tr>
      <w:tr w:rsidR="00B0093E">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rPr>
            </w:pPr>
            <w:r>
              <w:rPr>
                <w:noProof/>
                <w:color w:val="006100"/>
              </w:rPr>
              <w:t>330</w:t>
            </w:r>
          </w:p>
        </w:tc>
        <w:tc>
          <w:tcPr>
            <w:tcW w:w="127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4.7. Kilpailukyvyn parantaminen ja yksityisten investointien ja viennin edistäminen – 16980_RRP-lainajärjestely</w:t>
            </w:r>
          </w:p>
        </w:tc>
        <w:tc>
          <w:tcPr>
            <w:tcW w:w="109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Tavoite</w:t>
            </w:r>
          </w:p>
        </w:tc>
        <w:tc>
          <w:tcPr>
            <w:tcW w:w="88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Toimien hyväksyminen InvestEU-ohjelmassa</w:t>
            </w:r>
          </w:p>
        </w:tc>
        <w:tc>
          <w:tcPr>
            <w:tcW w:w="1210" w:type="dxa"/>
            <w:tcBorders>
              <w:top w:val="single" w:sz="4" w:space="0" w:color="auto"/>
              <w:left w:val="nil"/>
              <w:bottom w:val="single" w:sz="4" w:space="0" w:color="auto"/>
              <w:right w:val="single" w:sz="4" w:space="0" w:color="auto"/>
            </w:tcBorders>
            <w:shd w:val="clear" w:color="auto" w:fill="C6EFCE"/>
          </w:tcPr>
          <w:p w:rsidR="00B0093E" w:rsidRDefault="00B0093E">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Hyväksyttyjen investointitoimien prosenttiosuus</w:t>
            </w:r>
          </w:p>
        </w:tc>
        <w:tc>
          <w:tcPr>
            <w:tcW w:w="99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100</w:t>
            </w:r>
          </w:p>
        </w:tc>
        <w:tc>
          <w:tcPr>
            <w:tcW w:w="851"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Q2</w:t>
            </w:r>
          </w:p>
        </w:tc>
        <w:tc>
          <w:tcPr>
            <w:tcW w:w="65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2026</w:t>
            </w:r>
          </w:p>
        </w:tc>
        <w:tc>
          <w:tcPr>
            <w:tcW w:w="5726"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InvestEU-investointikomitea hyväksyy investointitoimet, joiden osuus on 100 prosenttia kohdennetun rahoituksen (tai liikkeelle saatujen investointien) kokonaismäärästä 38,5 prosentin ilmastotavo</w:t>
            </w:r>
            <w:r>
              <w:rPr>
                <w:noProof/>
                <w:color w:val="006100"/>
                <w:sz w:val="18"/>
                <w:szCs w:val="18"/>
              </w:rPr>
              <w:t>itteen ja 20,8 prosentin digitaalisen tavoitteen mukaisesti.</w:t>
            </w:r>
          </w:p>
        </w:tc>
      </w:tr>
    </w:tbl>
    <w:p w:rsidR="00B0093E" w:rsidRDefault="00B0093E">
      <w:pPr>
        <w:spacing w:before="120" w:after="120" w:line="240" w:lineRule="auto"/>
        <w:jc w:val="both"/>
        <w:rPr>
          <w:rFonts w:ascii="Times New Roman" w:hAnsi="Times New Roman" w:cs="Times New Roman"/>
          <w:noProof/>
          <w:sz w:val="24"/>
        </w:rPr>
        <w:sectPr w:rsidR="00B0093E">
          <w:headerReference w:type="even" r:id="rId305"/>
          <w:headerReference w:type="default" r:id="rId306"/>
          <w:footerReference w:type="even" r:id="rId307"/>
          <w:footerReference w:type="default" r:id="rId308"/>
          <w:headerReference w:type="first" r:id="rId309"/>
          <w:footerReference w:type="first" r:id="rId310"/>
          <w:pgSz w:w="16839" w:h="11907" w:orient="landscape"/>
          <w:pgMar w:top="720" w:right="720" w:bottom="720" w:left="720" w:header="709" w:footer="709" w:gutter="0"/>
          <w:cols w:space="720"/>
          <w:docGrid w:linePitch="360"/>
        </w:sectPr>
      </w:pPr>
    </w:p>
    <w:p w:rsidR="00B0093E" w:rsidRDefault="00762CA6">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S. TEKNINEN TUKI</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 Kreikan elpymis- ja palautumissuunnitelman komponentti koostuu toimenpiteistä, joilla vahvistetaan elpymis- ja </w:t>
      </w:r>
      <w:r>
        <w:rPr>
          <w:rFonts w:ascii="Times New Roman" w:hAnsi="Times New Roman"/>
          <w:noProof/>
          <w:sz w:val="24"/>
        </w:rPr>
        <w:t>palautumistukivälineen viraston hallinnollisia valmiuksia. Virasto on vasta perustettu rakenne, joka on tarkoitettu yksinomaan Kreikan elpymis- ja palautumissuunnitelman koordinointiin ja täytäntöönpanoon. Toimenpiteen tarkoituksena on antaa Kreikan virano</w:t>
      </w:r>
      <w:r>
        <w:rPr>
          <w:rFonts w:ascii="Times New Roman" w:hAnsi="Times New Roman"/>
          <w:noProof/>
          <w:sz w:val="24"/>
        </w:rPr>
        <w:t>maisille tarvittavaa apua elpymis- ja palautumissuunnitelman täytäntöönpanon ohjaamiseksi onnistuneesti. Sen odotetaan näin ollen edistävän epäsuorasti elpymis- ja palautumissuunnitelman tavoitteita, joita tuetaan neljään pilariin sisältyvillä toimenpiteil</w:t>
      </w:r>
      <w:r>
        <w:rPr>
          <w:rFonts w:ascii="Times New Roman" w:hAnsi="Times New Roman"/>
          <w:noProof/>
          <w:sz w:val="24"/>
        </w:rPr>
        <w:t>lä, ja tukevan Kreikkaa koskevien maakohtaisten suositusten noudattamista eli julkisia ja yksityisiä investointeja (maakohtainen suositus 2 2019 ja maakohtainen suositus 3 2020), julkista taloutta ja terveydenhuoltoa (maakohtainen suositus 1 2020) sekä työ</w:t>
      </w:r>
      <w:r>
        <w:rPr>
          <w:rFonts w:ascii="Times New Roman" w:hAnsi="Times New Roman"/>
          <w:noProof/>
          <w:sz w:val="24"/>
        </w:rPr>
        <w:t>markkina- ja sosiaalipolitiikkaa (maakohtainen suositus 2 2020).</w:t>
      </w:r>
    </w:p>
    <w:p w:rsidR="00B0093E" w:rsidRDefault="00762CA6">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S.1 </w:t>
      </w:r>
      <w:r>
        <w:rPr>
          <w:rFonts w:ascii="Times New Roman" w:hAnsi="Times New Roman"/>
          <w:b/>
          <w:noProof/>
          <w:sz w:val="24"/>
          <w:u w:val="single"/>
        </w:rPr>
        <w:tab/>
      </w:r>
      <w:r>
        <w:rPr>
          <w:rFonts w:ascii="Times New Roman" w:hAnsi="Times New Roman"/>
          <w:b/>
          <w:bCs/>
          <w:noProof/>
          <w:sz w:val="24"/>
          <w:u w:val="single"/>
        </w:rPr>
        <w:t>Kuvaus uudistuksista ja investoinneista, joita rahoitetaan rahoitustuella, jota ei makseta takaisin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b/>
          <w:bCs/>
          <w:noProof/>
          <w:sz w:val="24"/>
        </w:rPr>
        <w:t>Investoinnit:</w:t>
      </w:r>
      <w:r>
        <w:rPr>
          <w:rFonts w:ascii="Times New Roman" w:hAnsi="Times New Roman"/>
          <w:noProof/>
          <w:sz w:val="24"/>
        </w:rPr>
        <w:t xml:space="preserve"> Tekninen apu (toimenpiteen tunniste 16968)</w:t>
      </w:r>
    </w:p>
    <w:p w:rsidR="00B0093E" w:rsidRDefault="00762CA6">
      <w:pPr>
        <w:spacing w:before="120" w:after="120" w:line="240" w:lineRule="auto"/>
        <w:jc w:val="both"/>
        <w:rPr>
          <w:rFonts w:ascii="Times New Roman" w:hAnsi="Times New Roman" w:cs="Times New Roman"/>
          <w:i/>
          <w:noProof/>
          <w:color w:val="4F81BD"/>
          <w:sz w:val="24"/>
        </w:rPr>
      </w:pPr>
      <w:r>
        <w:rPr>
          <w:rFonts w:ascii="Times New Roman" w:hAnsi="Times New Roman"/>
          <w:noProof/>
          <w:sz w:val="24"/>
        </w:rPr>
        <w:t xml:space="preserve">Investointi koostuu kuudesta </w:t>
      </w:r>
      <w:r>
        <w:rPr>
          <w:rFonts w:ascii="Times New Roman" w:hAnsi="Times New Roman"/>
          <w:noProof/>
          <w:sz w:val="24"/>
        </w:rPr>
        <w:t>alahankkeesta: Järjestelmien ja välineiden kehittäminen työn organisointia varten, 2) palvelujen hankkiminen ulkopuolisilta tarkastajilta tarkastusten, tarkastusten ja todistusten tekemiseksi tapauksissa, joissa tarvitaan erityisasiantuntemusta, ja kattava</w:t>
      </w:r>
      <w:r>
        <w:rPr>
          <w:rFonts w:ascii="Times New Roman" w:hAnsi="Times New Roman"/>
          <w:noProof/>
          <w:sz w:val="24"/>
        </w:rPr>
        <w:t>n metodologisen kehyksen kehittäminen tarkastuksia, tarkastuksia ja sertifiointeja varten elpymis- ja palautumistukivälineen viraston valvontatoiminnon tueksi suunnitelman toimenpiteiden täytäntöönpanon osalta, 3) keskeisten investointien ja suunnitelman m</w:t>
      </w:r>
      <w:r>
        <w:rPr>
          <w:rFonts w:ascii="Times New Roman" w:hAnsi="Times New Roman"/>
          <w:noProof/>
          <w:sz w:val="24"/>
        </w:rPr>
        <w:t>ukaisten uudistusten tiedotus- ja mainontatoimet, 4) selvitykset ja ulkopuolisen hankinta-asiantuntemuksen hankinta erityishankkeissa, 5) toimistorakennushankkeiden päivittäiset hankintamenot; Alahanke 3 toteutetaan hyvien hallintokäytäntöjen vahvistamisen</w:t>
      </w:r>
      <w:r>
        <w:rPr>
          <w:rFonts w:ascii="Times New Roman" w:hAnsi="Times New Roman"/>
          <w:noProof/>
          <w:sz w:val="24"/>
        </w:rPr>
        <w:t xml:space="preserve"> yhteydessä. Asiaankuuluvista toimista tulee olennainen ja pysyvä osa julkista kuulemismenettelyä, ja niitä käytetään välineenä, jolla helpotetaan sidosryhmien sitoutumista ja varmistetaan suunnitelman mukaisten uudistusten ja investointien kestävä täytänt</w:t>
      </w:r>
      <w:r>
        <w:rPr>
          <w:rFonts w:ascii="Times New Roman" w:hAnsi="Times New Roman"/>
          <w:noProof/>
          <w:sz w:val="24"/>
        </w:rPr>
        <w:t>öönpano. Alahankkeen 5 rahoitus on väliaikaista eli sitä jatketaan niin pitkään kuin on tarpeen elpymis- ja palautumistukivälineen viraston tukemiseksi, jotta se voi hoitaa tehtävänsä tehokkaasti. Toimenpide koskee myös hallinto-, tarkastus- ja valvontajär</w:t>
      </w:r>
      <w:r>
        <w:rPr>
          <w:rFonts w:ascii="Times New Roman" w:hAnsi="Times New Roman"/>
          <w:noProof/>
          <w:sz w:val="24"/>
        </w:rPr>
        <w:t xml:space="preserve">jestelmien perustamista. Investointi on määrä toteuttaa viimeistään 30 päivänä kesäkuuta 2026. </w:t>
      </w:r>
    </w:p>
    <w:p w:rsidR="00B0093E" w:rsidRDefault="00762CA6">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S.2 </w:t>
      </w:r>
      <w:r>
        <w:rPr>
          <w:rFonts w:ascii="Times New Roman" w:hAnsi="Times New Roman"/>
          <w:b/>
          <w:noProof/>
          <w:sz w:val="24"/>
          <w:u w:val="single"/>
        </w:rPr>
        <w:tab/>
      </w:r>
      <w:r>
        <w:rPr>
          <w:rFonts w:ascii="Times New Roman" w:hAnsi="Times New Roman"/>
          <w:b/>
          <w:bCs/>
          <w:noProof/>
          <w:sz w:val="24"/>
          <w:u w:val="single"/>
        </w:rPr>
        <w:t>Seurantaa ja täytäntöönpanoa koskevat välitavoitteet, tavoitteet, indikaattorit ja aikataulu – rahoitustuki, jota ei makseta takaisin</w:t>
      </w:r>
    </w:p>
    <w:p w:rsidR="00B0093E" w:rsidRDefault="00B0093E">
      <w:pPr>
        <w:spacing w:before="120" w:after="120" w:line="240" w:lineRule="auto"/>
        <w:ind w:left="709"/>
        <w:jc w:val="both"/>
        <w:rPr>
          <w:rFonts w:ascii="Times New Roman" w:hAnsi="Times New Roman" w:cs="Times New Roman"/>
          <w:noProof/>
          <w:sz w:val="24"/>
        </w:rPr>
      </w:pPr>
    </w:p>
    <w:p w:rsidR="00B0093E" w:rsidRDefault="00B0093E">
      <w:pPr>
        <w:spacing w:before="120" w:after="120" w:line="240" w:lineRule="auto"/>
        <w:ind w:left="709"/>
        <w:jc w:val="both"/>
        <w:rPr>
          <w:rFonts w:ascii="Times New Roman" w:hAnsi="Times New Roman" w:cs="Times New Roman"/>
          <w:noProof/>
          <w:sz w:val="24"/>
        </w:rPr>
        <w:sectPr w:rsidR="00B0093E">
          <w:headerReference w:type="even" r:id="rId311"/>
          <w:headerReference w:type="default" r:id="rId312"/>
          <w:footerReference w:type="even" r:id="rId313"/>
          <w:footerReference w:type="default" r:id="rId314"/>
          <w:headerReference w:type="first" r:id="rId315"/>
          <w:footerReference w:type="first" r:id="rId316"/>
          <w:pgSz w:w="11907" w:h="16839"/>
          <w:pgMar w:top="1134" w:right="1417" w:bottom="1134" w:left="1417" w:header="709" w:footer="709" w:gutter="0"/>
          <w:cols w:space="720"/>
          <w:docGrid w:linePitch="360"/>
        </w:sectPr>
      </w:pPr>
    </w:p>
    <w:p w:rsidR="00B0093E" w:rsidRDefault="00762CA6">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Tekninen tuki</w:t>
      </w:r>
    </w:p>
    <w:tbl>
      <w:tblPr>
        <w:tblW w:w="15502" w:type="dxa"/>
        <w:tblInd w:w="113" w:type="dxa"/>
        <w:tblLook w:val="04A0" w:firstRow="1" w:lastRow="0" w:firstColumn="1" w:lastColumn="0" w:noHBand="0" w:noVBand="1"/>
      </w:tblPr>
      <w:tblGrid>
        <w:gridCol w:w="920"/>
        <w:gridCol w:w="1293"/>
        <w:gridCol w:w="1442"/>
        <w:gridCol w:w="1633"/>
        <w:gridCol w:w="1564"/>
        <w:gridCol w:w="1113"/>
        <w:gridCol w:w="934"/>
        <w:gridCol w:w="903"/>
        <w:gridCol w:w="1234"/>
        <w:gridCol w:w="697"/>
        <w:gridCol w:w="3769"/>
      </w:tblGrid>
      <w:tr w:rsidR="00B0093E">
        <w:trPr>
          <w:trHeight w:val="927"/>
          <w:tblHeader/>
        </w:trPr>
        <w:tc>
          <w:tcPr>
            <w:tcW w:w="10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Numero</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Toimenpide (uudistus tai investointi)</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Välitavoite/tavoite</w:t>
            </w:r>
          </w:p>
        </w:tc>
        <w:tc>
          <w:tcPr>
            <w:tcW w:w="1755" w:type="dxa"/>
            <w:vMerge w:val="restart"/>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Nimi</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Laadulliset indikaattorit   (välitavoitteiden osalta)</w:t>
            </w:r>
          </w:p>
        </w:tc>
        <w:tc>
          <w:tcPr>
            <w:tcW w:w="2752" w:type="dxa"/>
            <w:gridSpan w:val="3"/>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Määrälliset indikaattorit   (tavoitteiden osalta)</w:t>
            </w:r>
          </w:p>
        </w:tc>
        <w:tc>
          <w:tcPr>
            <w:tcW w:w="1614" w:type="dxa"/>
            <w:gridSpan w:val="2"/>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Alustava toteutusaikataulu </w:t>
            </w:r>
          </w:p>
        </w:tc>
        <w:tc>
          <w:tcPr>
            <w:tcW w:w="430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Kunkin välitavoitteen ja tavoitteen kuvaus</w:t>
            </w:r>
          </w:p>
        </w:tc>
      </w:tr>
      <w:tr w:rsidR="00B0093E">
        <w:trPr>
          <w:trHeight w:val="1013"/>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755" w:type="dxa"/>
            <w:vMerge/>
            <w:tcBorders>
              <w:top w:val="single" w:sz="4" w:space="0" w:color="auto"/>
              <w:left w:val="nil"/>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c>
          <w:tcPr>
            <w:tcW w:w="865"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Mittayksikkö</w:t>
            </w:r>
          </w:p>
        </w:tc>
        <w:tc>
          <w:tcPr>
            <w:tcW w:w="1042"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Perustaso </w:t>
            </w:r>
          </w:p>
        </w:tc>
        <w:tc>
          <w:tcPr>
            <w:tcW w:w="845"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Päämäärä </w:t>
            </w:r>
          </w:p>
        </w:tc>
        <w:tc>
          <w:tcPr>
            <w:tcW w:w="845"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Vuosineljännes</w:t>
            </w:r>
          </w:p>
        </w:tc>
        <w:tc>
          <w:tcPr>
            <w:tcW w:w="769" w:type="dxa"/>
            <w:tcBorders>
              <w:top w:val="single" w:sz="4" w:space="0" w:color="auto"/>
              <w:left w:val="nil"/>
              <w:bottom w:val="single" w:sz="4" w:space="0" w:color="auto"/>
              <w:right w:val="single" w:sz="4" w:space="0" w:color="auto"/>
            </w:tcBorders>
            <w:shd w:val="clear" w:color="auto" w:fill="BDD7EE"/>
            <w:vAlign w:val="center"/>
            <w:hideMark/>
          </w:tcPr>
          <w:p w:rsidR="00B0093E" w:rsidRDefault="00762CA6">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Vuosi</w:t>
            </w:r>
          </w:p>
        </w:tc>
        <w:tc>
          <w:tcPr>
            <w:tcW w:w="4302" w:type="dxa"/>
            <w:vMerge/>
            <w:tcBorders>
              <w:top w:val="single" w:sz="4" w:space="0" w:color="auto"/>
              <w:left w:val="single" w:sz="4" w:space="0" w:color="auto"/>
              <w:bottom w:val="single" w:sz="4" w:space="0" w:color="auto"/>
              <w:right w:val="single" w:sz="4" w:space="0" w:color="auto"/>
            </w:tcBorders>
            <w:vAlign w:val="center"/>
            <w:hideMark/>
          </w:tcPr>
          <w:p w:rsidR="00B0093E" w:rsidRDefault="00B0093E">
            <w:pPr>
              <w:spacing w:after="0" w:line="240" w:lineRule="auto"/>
              <w:rPr>
                <w:rFonts w:ascii="Times New Roman" w:eastAsia="Times New Roman" w:hAnsi="Times New Roman" w:cs="Times New Roman"/>
                <w:b/>
                <w:bCs/>
                <w:noProof/>
                <w:sz w:val="18"/>
                <w:szCs w:val="18"/>
                <w:lang w:eastAsia="en-GB"/>
              </w:rPr>
            </w:pPr>
          </w:p>
        </w:tc>
      </w:tr>
      <w:tr w:rsidR="00B0093E">
        <w:trPr>
          <w:trHeight w:val="309"/>
        </w:trPr>
        <w:tc>
          <w:tcPr>
            <w:tcW w:w="1026" w:type="dxa"/>
            <w:tcBorders>
              <w:top w:val="single" w:sz="4" w:space="0" w:color="auto"/>
              <w:left w:val="single" w:sz="4" w:space="0" w:color="auto"/>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color w:val="006100"/>
                <w:sz w:val="18"/>
                <w:szCs w:val="18"/>
              </w:rPr>
              <w:t>331</w:t>
            </w:r>
          </w:p>
        </w:tc>
        <w:tc>
          <w:tcPr>
            <w:tcW w:w="145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19-16968_Tekninen apu</w:t>
            </w:r>
          </w:p>
        </w:tc>
        <w:tc>
          <w:tcPr>
            <w:tcW w:w="96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Välitavoite</w:t>
            </w:r>
          </w:p>
        </w:tc>
        <w:tc>
          <w:tcPr>
            <w:tcW w:w="175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EDEL:n oikeudellinen toimeksianto ja hallinnointi-, valvonta- ja tarkastusjärjestelmien perustaminen </w:t>
            </w:r>
          </w:p>
        </w:tc>
        <w:tc>
          <w:tcPr>
            <w:tcW w:w="1633"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 xml:space="preserve">EDEL:n voimassa oleva oikeudellinen toimeksianto ja hallinnointi-, valvonta- ja tarkastusjärjestelmät </w:t>
            </w:r>
          </w:p>
        </w:tc>
        <w:tc>
          <w:tcPr>
            <w:tcW w:w="86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1042"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5" w:type="dxa"/>
            <w:tcBorders>
              <w:top w:val="single" w:sz="4" w:space="0" w:color="auto"/>
              <w:left w:val="nil"/>
              <w:bottom w:val="single" w:sz="4" w:space="0" w:color="auto"/>
              <w:right w:val="single" w:sz="4" w:space="0" w:color="auto"/>
            </w:tcBorders>
            <w:shd w:val="clear" w:color="auto" w:fill="C6EFCE"/>
            <w:noWrap/>
          </w:tcPr>
          <w:p w:rsidR="00B0093E" w:rsidRDefault="00B0093E">
            <w:pPr>
              <w:spacing w:after="0" w:line="240" w:lineRule="auto"/>
              <w:rPr>
                <w:rFonts w:eastAsia="Times New Roman" w:cs="Calibri"/>
                <w:noProof/>
                <w:color w:val="006100"/>
                <w:sz w:val="18"/>
                <w:szCs w:val="18"/>
                <w:lang w:eastAsia="en-GB"/>
              </w:rPr>
            </w:pPr>
          </w:p>
        </w:tc>
        <w:tc>
          <w:tcPr>
            <w:tcW w:w="845"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Q3</w:t>
            </w:r>
          </w:p>
        </w:tc>
        <w:tc>
          <w:tcPr>
            <w:tcW w:w="769"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noProof/>
                <w:color w:val="006100"/>
                <w:sz w:val="18"/>
                <w:szCs w:val="18"/>
              </w:rPr>
            </w:pPr>
            <w:r>
              <w:rPr>
                <w:noProof/>
                <w:color w:val="006100"/>
                <w:sz w:val="18"/>
                <w:szCs w:val="18"/>
              </w:rPr>
              <w:t>2021</w:t>
            </w:r>
          </w:p>
        </w:tc>
        <w:tc>
          <w:tcPr>
            <w:tcW w:w="4302" w:type="dxa"/>
            <w:tcBorders>
              <w:top w:val="single" w:sz="4" w:space="0" w:color="auto"/>
              <w:left w:val="nil"/>
              <w:bottom w:val="single" w:sz="4" w:space="0" w:color="auto"/>
              <w:right w:val="single" w:sz="4" w:space="0" w:color="auto"/>
            </w:tcBorders>
            <w:shd w:val="clear" w:color="auto" w:fill="C6EFCE"/>
            <w:noWrap/>
          </w:tcPr>
          <w:p w:rsidR="00B0093E" w:rsidRDefault="00762CA6">
            <w:pPr>
              <w:spacing w:after="0" w:line="240" w:lineRule="auto"/>
              <w:rPr>
                <w:rFonts w:eastAsia="Times New Roman" w:cs="Calibri"/>
                <w:noProof/>
                <w:color w:val="006100"/>
                <w:sz w:val="18"/>
                <w:szCs w:val="18"/>
              </w:rPr>
            </w:pPr>
            <w:r>
              <w:rPr>
                <w:noProof/>
                <w:sz w:val="18"/>
                <w:szCs w:val="18"/>
              </w:rPr>
              <w:t>EDEL:n oikeudellisen toimeksiannon voimaantulo ja tarkastus- ja valvontajärjestelmän perustaminen. Järjestelmän avulla varmistetaan tietojen keruu ja välitavoitteiden ja tavoitteiden saavuttamisen seuranta;</w:t>
            </w:r>
            <w:r>
              <w:rPr>
                <w:noProof/>
                <w:color w:val="008000"/>
                <w:sz w:val="18"/>
                <w:szCs w:val="18"/>
              </w:rPr>
              <w:t xml:space="preserve"> mahdollistaa johdon vahvistuslausumien ja tilinta</w:t>
            </w:r>
            <w:r>
              <w:rPr>
                <w:noProof/>
                <w:color w:val="008000"/>
                <w:sz w:val="18"/>
                <w:szCs w:val="18"/>
              </w:rPr>
              <w:t>rkastuksen tiivistelmän sekä maksupyyntöjen laatimisen ja c) vahvistaa tarvittavat menettelyt tuensaajia, toimeksisaajia, alihankkijoita ja tosiasiallisia omistajia ja edunsaajia koskevien tietojen keräämiseksi ja tallentamiseksi asetuksen (EU) 2021/241 22</w:t>
            </w:r>
            <w:r>
              <w:rPr>
                <w:noProof/>
                <w:color w:val="008000"/>
                <w:sz w:val="18"/>
                <w:szCs w:val="18"/>
              </w:rPr>
              <w:t xml:space="preserve"> artiklan mukaisesti ennen ensimmäisen maksupyynnön esittämistä. </w:t>
            </w:r>
            <w:r>
              <w:rPr>
                <w:iCs/>
                <w:noProof/>
                <w:color w:val="008000"/>
                <w:sz w:val="18"/>
                <w:szCs w:val="18"/>
              </w:rPr>
              <w:t>Järjestelmästä olisi laadittava erityinen tarkastuskertomus. Järjestelmästä olisi laadittava erityinen tarkastuskertomus.</w:t>
            </w:r>
          </w:p>
        </w:tc>
      </w:tr>
    </w:tbl>
    <w:p w:rsidR="00B0093E" w:rsidRDefault="00B0093E">
      <w:pPr>
        <w:spacing w:before="120" w:after="120" w:line="240" w:lineRule="auto"/>
        <w:ind w:left="709"/>
        <w:jc w:val="both"/>
        <w:rPr>
          <w:rFonts w:ascii="Times New Roman" w:hAnsi="Times New Roman" w:cs="Times New Roman"/>
          <w:noProof/>
          <w:sz w:val="24"/>
          <w:szCs w:val="24"/>
        </w:rPr>
      </w:pPr>
    </w:p>
    <w:p w:rsidR="00B0093E" w:rsidRDefault="00B0093E">
      <w:pPr>
        <w:spacing w:before="120" w:after="120" w:line="240" w:lineRule="auto"/>
        <w:jc w:val="both"/>
        <w:rPr>
          <w:rFonts w:ascii="Times New Roman" w:hAnsi="Times New Roman" w:cs="Times New Roman"/>
          <w:noProof/>
          <w:sz w:val="24"/>
        </w:rPr>
        <w:sectPr w:rsidR="00B0093E">
          <w:headerReference w:type="even" r:id="rId317"/>
          <w:headerReference w:type="default" r:id="rId318"/>
          <w:footerReference w:type="even" r:id="rId319"/>
          <w:footerReference w:type="default" r:id="rId320"/>
          <w:headerReference w:type="first" r:id="rId321"/>
          <w:footerReference w:type="first" r:id="rId322"/>
          <w:pgSz w:w="16839" w:h="11907" w:orient="landscape"/>
          <w:pgMar w:top="720" w:right="720" w:bottom="720" w:left="720" w:header="709" w:footer="709" w:gutter="0"/>
          <w:cols w:space="720"/>
          <w:docGrid w:linePitch="360"/>
        </w:sectPr>
      </w:pPr>
    </w:p>
    <w:p w:rsidR="00B0093E" w:rsidRDefault="00762CA6">
      <w:pPr>
        <w:keepNext/>
        <w:spacing w:before="40" w:after="0" w:line="259" w:lineRule="auto"/>
        <w:ind w:left="130" w:firstLine="720"/>
        <w:jc w:val="both"/>
        <w:outlineLvl w:val="1"/>
        <w:rPr>
          <w:rFonts w:ascii="Times New Roman" w:eastAsia="Times New Roman" w:hAnsi="Times New Roman" w:cs="Times New Roman"/>
          <w:b/>
          <w:noProof/>
          <w:sz w:val="24"/>
          <w:u w:val="single"/>
        </w:rPr>
      </w:pPr>
      <w:bookmarkStart w:id="2" w:name="_Toc71726494"/>
      <w:bookmarkStart w:id="3" w:name="_Toc72228136"/>
      <w:r>
        <w:rPr>
          <w:rFonts w:ascii="Times New Roman" w:hAnsi="Times New Roman"/>
          <w:b/>
          <w:noProof/>
          <w:sz w:val="24"/>
          <w:u w:val="single"/>
        </w:rPr>
        <w:t xml:space="preserve">2. </w:t>
      </w:r>
      <w:r>
        <w:rPr>
          <w:rFonts w:ascii="Times New Roman" w:hAnsi="Times New Roman"/>
          <w:b/>
          <w:noProof/>
          <w:sz w:val="24"/>
          <w:u w:val="single"/>
        </w:rPr>
        <w:t>Elpymis- ja palautumissuunnitelman arvioidut kokonaiskustannukset</w:t>
      </w:r>
      <w:bookmarkEnd w:id="2"/>
      <w:bookmarkEnd w:id="3"/>
    </w:p>
    <w:p w:rsidR="00B0093E" w:rsidRDefault="00762CA6">
      <w:pPr>
        <w:keepNext/>
        <w:spacing w:before="40" w:after="0" w:line="259" w:lineRule="auto"/>
        <w:jc w:val="both"/>
        <w:rPr>
          <w:rFonts w:ascii="Times New Roman" w:eastAsia="Times New Roman" w:hAnsi="Times New Roman" w:cs="Times New Roman"/>
          <w:noProof/>
          <w:sz w:val="24"/>
        </w:rPr>
      </w:pPr>
      <w:r>
        <w:rPr>
          <w:rFonts w:ascii="Times New Roman" w:hAnsi="Times New Roman"/>
          <w:noProof/>
          <w:sz w:val="24"/>
        </w:rPr>
        <w:t>Kreikan elpymis- ja palautumissuunnitelman arvioidut kokonaiskustannukset ovat 31 164 331 515 euroa.</w:t>
      </w:r>
    </w:p>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rPr>
          <w:rFonts w:ascii="Times New Roman" w:eastAsia="Times New Roman" w:hAnsi="Times New Roman" w:cs="Times New Roman"/>
          <w:b/>
          <w:smallCaps/>
          <w:noProof/>
          <w:sz w:val="24"/>
          <w:szCs w:val="28"/>
        </w:rPr>
      </w:pPr>
      <w:bookmarkStart w:id="4" w:name="_Toc72228137"/>
      <w:bookmarkStart w:id="5" w:name="_Toc71726495"/>
      <w:r>
        <w:rPr>
          <w:noProof/>
        </w:rPr>
        <w:br w:type="page"/>
      </w:r>
    </w:p>
    <w:p w:rsidR="00B0093E" w:rsidRDefault="00762CA6">
      <w:pPr>
        <w:keepNext/>
        <w:tabs>
          <w:tab w:val="num" w:pos="850"/>
        </w:tabs>
        <w:spacing w:before="360" w:after="0" w:line="259" w:lineRule="auto"/>
        <w:ind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OSIO 2: RAHOITUSTUKI</w:t>
      </w:r>
      <w:bookmarkEnd w:id="4"/>
      <w:r>
        <w:rPr>
          <w:rFonts w:ascii="Times New Roman" w:hAnsi="Times New Roman"/>
          <w:b/>
          <w:smallCaps/>
          <w:noProof/>
          <w:sz w:val="24"/>
        </w:rPr>
        <w:t xml:space="preserve"> </w:t>
      </w:r>
      <w:bookmarkEnd w:id="5"/>
    </w:p>
    <w:p w:rsidR="00B0093E" w:rsidRDefault="00762CA6">
      <w:pPr>
        <w:keepNext/>
        <w:numPr>
          <w:ilvl w:val="1"/>
          <w:numId w:val="67"/>
        </w:numPr>
        <w:spacing w:before="40" w:after="0" w:line="259" w:lineRule="auto"/>
        <w:ind w:left="0"/>
        <w:jc w:val="both"/>
        <w:outlineLvl w:val="1"/>
        <w:rPr>
          <w:rFonts w:ascii="Times New Roman" w:eastAsia="Times New Roman" w:hAnsi="Times New Roman" w:cs="Times New Roman"/>
          <w:b/>
          <w:noProof/>
          <w:sz w:val="24"/>
          <w:u w:val="single"/>
        </w:rPr>
      </w:pPr>
      <w:bookmarkStart w:id="6" w:name="_Toc72228138"/>
      <w:bookmarkStart w:id="7" w:name="_Toc71726496"/>
      <w:r>
        <w:rPr>
          <w:rFonts w:ascii="Times New Roman" w:hAnsi="Times New Roman"/>
          <w:b/>
          <w:noProof/>
          <w:sz w:val="24"/>
          <w:u w:val="single"/>
        </w:rPr>
        <w:t>Rahoitusosuus</w:t>
      </w:r>
      <w:bookmarkEnd w:id="6"/>
      <w:r>
        <w:rPr>
          <w:rFonts w:ascii="Times New Roman" w:hAnsi="Times New Roman"/>
          <w:b/>
          <w:noProof/>
          <w:sz w:val="24"/>
          <w:u w:val="single"/>
        </w:rPr>
        <w:t xml:space="preserve"> </w:t>
      </w:r>
      <w:bookmarkEnd w:id="7"/>
    </w:p>
    <w:p w:rsidR="00B0093E" w:rsidRDefault="00762CA6">
      <w:pPr>
        <w:keepNext/>
        <w:spacing w:before="40" w:after="0" w:line="259" w:lineRule="auto"/>
        <w:jc w:val="both"/>
        <w:rPr>
          <w:rFonts w:ascii="Times New Roman" w:eastAsia="Times New Roman" w:hAnsi="Times New Roman" w:cs="Times New Roman"/>
          <w:noProof/>
          <w:sz w:val="24"/>
        </w:rPr>
      </w:pPr>
      <w:r>
        <w:rPr>
          <w:rFonts w:ascii="Times New Roman" w:hAnsi="Times New Roman"/>
          <w:noProof/>
          <w:sz w:val="24"/>
        </w:rPr>
        <w:t xml:space="preserve">Päätöksen 2 artiklan 2 kohdassa tarkoitetut erät </w:t>
      </w:r>
      <w:r>
        <w:rPr>
          <w:rFonts w:ascii="Times New Roman" w:hAnsi="Times New Roman"/>
          <w:noProof/>
          <w:sz w:val="24"/>
        </w:rPr>
        <w:t>muodostetaan seuraavasti:</w:t>
      </w:r>
    </w:p>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Ensimmäinen maksupyyntö (tuki, jota ei makseta takaisin): </w:t>
      </w:r>
    </w:p>
    <w:tbl>
      <w:tblPr>
        <w:tblW w:w="9519" w:type="dxa"/>
        <w:tblInd w:w="113" w:type="dxa"/>
        <w:tblLook w:val="04A0" w:firstRow="1" w:lastRow="0" w:firstColumn="1" w:lastColumn="0" w:noHBand="0" w:noVBand="1"/>
      </w:tblPr>
      <w:tblGrid>
        <w:gridCol w:w="1804"/>
        <w:gridCol w:w="4283"/>
        <w:gridCol w:w="1556"/>
        <w:gridCol w:w="2153"/>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27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2153"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2153"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20</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2 - 1.2. Kunnostaminen – 16872_Asuinrakennusten energiaperuskorjaus</w:t>
            </w:r>
          </w:p>
        </w:tc>
        <w:tc>
          <w:tcPr>
            <w:tcW w:w="1279"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Asuinrakennus kunnostaminen – ensimmäisen kierroksen käynnistäminen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2 - 1.2. Kunnostaminen – 16920_Energiaköyhyyden toimintasuunnitelma</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Energiaköyhyys – toimintasuunnitelman hyväksyminen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42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3 – 1.3. Lataus ja tankkaus – 16281_Järjestelmä </w:t>
            </w:r>
            <w:r>
              <w:rPr>
                <w:rFonts w:ascii="Times New Roman" w:hAnsi="Times New Roman"/>
                <w:noProof/>
                <w:sz w:val="18"/>
                <w:szCs w:val="18"/>
              </w:rPr>
              <w:t>sähköajoneuvojen latausinfrastruktuurin asentamista ja käyttöä varten</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Sähkökäyttöisten ajoneuvojen latauspisteet – lainsäädäntökehyksen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16772_Jätehu</w:t>
            </w:r>
            <w:r>
              <w:rPr>
                <w:rFonts w:ascii="Times New Roman" w:hAnsi="Times New Roman"/>
                <w:noProof/>
                <w:sz w:val="18"/>
                <w:szCs w:val="18"/>
              </w:rPr>
              <w:t>oltolaki kestävän kaatopaikkatoiminnan ja kierrätyksen täytäntöönpanemiseksi</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Jätehuoltolain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77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4 - 1.4. Resurssien kestävä käyttö, ilmastokestävyys ja ympäristönsuojelu – 16283_Alueellisten pelastuspalvelukeskusten (PEKEPP) </w:t>
            </w:r>
            <w:r>
              <w:rPr>
                <w:rFonts w:ascii="Times New Roman" w:hAnsi="Times New Roman"/>
                <w:noProof/>
                <w:sz w:val="18"/>
                <w:szCs w:val="18"/>
              </w:rPr>
              <w:t>täytäntöönpano julkisen ja yksityisen sektorin kumppanuusjärjestelmien avulla</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13 aluekeskusta koskeva tarjouspyyntö</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133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8 - 3.1. Työpaikkojen luomisen ja työmarkkinoille osallistumisen edistäminen – 16744_työlainsäädännön nykyaikaistaminen ja </w:t>
            </w:r>
            <w:r>
              <w:rPr>
                <w:rFonts w:ascii="Times New Roman" w:hAnsi="Times New Roman"/>
                <w:noProof/>
                <w:sz w:val="18"/>
                <w:szCs w:val="18"/>
              </w:rPr>
              <w:t>yksinkertaistaminen</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Työlainsäädännön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141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8 - 3.1. Edistetään työpaikkojen luomista ja osallistumista työmarkkinoille – 16941_OAED:n paikallisten julkisten työvoimapalvelujen uudelleenjärjestely ja -brändäys (KPA2)</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OAED:n organisaatiouudistus lainsäädännön voimaantulo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153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10 - 3.3. Terveydenhuollon häiriönsietokyvyn, saatavuuden ja kestävyyden parantaminen – 16816_Terveydenhuoltoalan uudistukset ja siihen kohdistettavien investointien vauhdittaminen – Sairaanhoitom</w:t>
            </w:r>
            <w:r>
              <w:rPr>
                <w:rFonts w:ascii="Times New Roman" w:hAnsi="Times New Roman"/>
                <w:noProof/>
                <w:sz w:val="18"/>
                <w:szCs w:val="18"/>
              </w:rPr>
              <w:t>enojen vähentäminen ja järkeistäminen</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Takaisinperintä – Lainsäädännön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199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12 - 4.1. Veroista kasvua edistävä ja verohallinnon ja veronkannon parantaminen – 16643_Verolainsäädännön kodifiointi ja yksinkertaistaminen</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Luettelo verokodifikaatiosta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200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18 - 4.7. Kilpailukyvyn parantaminen ja yksityisten investointien ja kaupan edistäminen – 16598_Kannustinjärjestelmä tuottavuuden lisäämiseksi ja yritysten suuntautumiselle ulospäin (yritysten koon kasvattaminen)</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w:t>
            </w:r>
            <w:r>
              <w:rPr>
                <w:rFonts w:ascii="Times New Roman" w:hAnsi="Times New Roman"/>
                <w:noProof/>
                <w:sz w:val="18"/>
                <w:szCs w:val="18"/>
              </w:rPr>
              <w:t>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Lainsäädäntöehdotus yritysten ulospäin suuntautumisen edistämiseksi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222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14 - 4.3. Oikeuslaitoksen tehokkuuden parantaminen – 16292_Uudet oikeuslaitoksen rakennukset</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Tunnistaminen – Tukikelpoiset rakennukset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263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w:t>
            </w:r>
            <w:r>
              <w:rPr>
                <w:rFonts w:ascii="Times New Roman" w:hAnsi="Times New Roman"/>
                <w:noProof/>
                <w:sz w:val="18"/>
                <w:szCs w:val="18"/>
              </w:rPr>
              <w:t>talouden alojen nykyaikaistaminen ja häiriönsietokyvyn parantaminen – 16982_Rautatiealan organisaatiouudistus</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Etenemissuunnitelma rautateiden uudistamiseksi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331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19 - 16968_Tekninen tuki</w:t>
            </w:r>
          </w:p>
        </w:tc>
        <w:tc>
          <w:tcPr>
            <w:tcW w:w="1279"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5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EDEL:n oikeudellinen toimeksianto ja hallinnointi-, valvonta- ja tarkastusjärjestelmien perustaminen </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rPr>
                <w:rFonts w:ascii="Times New Roman" w:eastAsia="Times New Roman" w:hAnsi="Times New Roman" w:cs="Times New Roman"/>
                <w:bCs/>
                <w:noProof/>
                <w:sz w:val="18"/>
                <w:szCs w:val="18"/>
                <w:lang w:eastAsia="en-GB"/>
              </w:rPr>
            </w:pPr>
          </w:p>
        </w:tc>
        <w:tc>
          <w:tcPr>
            <w:tcW w:w="1279"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rPr>
                <w:rFonts w:ascii="Times New Roman" w:eastAsia="Times New Roman" w:hAnsi="Times New Roman" w:cs="Times New Roman"/>
                <w:bCs/>
                <w:noProof/>
                <w:sz w:val="18"/>
                <w:szCs w:val="18"/>
              </w:rPr>
            </w:pPr>
            <w:r>
              <w:rPr>
                <w:rFonts w:ascii="Times New Roman" w:hAnsi="Times New Roman"/>
                <w:noProof/>
                <w:sz w:val="18"/>
                <w:szCs w:val="18"/>
              </w:rPr>
              <w:t>Erän suuruus</w:t>
            </w:r>
          </w:p>
        </w:tc>
        <w:tc>
          <w:tcPr>
            <w:tcW w:w="2153"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rPr>
                <w:rFonts w:ascii="Times New Roman" w:eastAsia="Times New Roman" w:hAnsi="Times New Roman" w:cs="Times New Roman"/>
                <w:bCs/>
                <w:noProof/>
                <w:sz w:val="18"/>
                <w:szCs w:val="18"/>
              </w:rPr>
            </w:pPr>
            <w:r>
              <w:rPr>
                <w:rFonts w:ascii="Times New Roman" w:hAnsi="Times New Roman"/>
                <w:noProof/>
                <w:sz w:val="18"/>
                <w:szCs w:val="18"/>
              </w:rPr>
              <w:t>1 974 438 067 euroa</w:t>
            </w:r>
          </w:p>
        </w:tc>
      </w:tr>
    </w:tbl>
    <w:p w:rsidR="00B0093E" w:rsidRDefault="00B0093E">
      <w:pPr>
        <w:keepNext/>
        <w:spacing w:before="120" w:after="160" w:line="259" w:lineRule="auto"/>
        <w:ind w:hanging="360"/>
        <w:contextualSpacing/>
        <w:jc w:val="both"/>
        <w:rPr>
          <w:rFonts w:ascii="Times New Roman" w:eastAsia="Times New Roman" w:hAnsi="Times New Roman" w:cs="Times New Roman"/>
          <w:bCs/>
          <w:noProof/>
          <w:sz w:val="24"/>
          <w:szCs w:val="24"/>
        </w:rPr>
      </w:pPr>
    </w:p>
    <w:p w:rsidR="00B0093E" w:rsidRDefault="00B0093E">
      <w:pPr>
        <w:keepNext/>
        <w:spacing w:before="120" w:after="160" w:line="259" w:lineRule="auto"/>
        <w:ind w:hanging="360"/>
        <w:contextualSpacing/>
        <w:jc w:val="both"/>
        <w:rPr>
          <w:rFonts w:ascii="Times New Roman" w:eastAsia="Times New Roman" w:hAnsi="Times New Roman" w:cs="Times New Roman"/>
          <w:bCs/>
          <w:noProof/>
          <w:sz w:val="24"/>
          <w:szCs w:val="24"/>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Toinen maksupyyntö (tuki, jota ei makseta takaisin): </w:t>
      </w:r>
    </w:p>
    <w:tbl>
      <w:tblPr>
        <w:tblW w:w="9519" w:type="dxa"/>
        <w:tblInd w:w="113" w:type="dxa"/>
        <w:tblLook w:val="04A0" w:firstRow="1" w:lastRow="0" w:firstColumn="1" w:lastColumn="0" w:noHBand="0" w:noVBand="1"/>
      </w:tblPr>
      <w:tblGrid>
        <w:gridCol w:w="1804"/>
        <w:gridCol w:w="4283"/>
        <w:gridCol w:w="1692"/>
        <w:gridCol w:w="191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40"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44</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Lataus ja tankkaus – 16924_ Sähköinen liikkuvuus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Julkinen liikenne – Julkisen palvelun velvoitetta koskevan markkinasääntelyn voimaantulo (linja-autot)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197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12 - 4.1. Veroista tehdään kasvua edistäviä </w:t>
            </w:r>
            <w:r>
              <w:rPr>
                <w:rFonts w:ascii="Times New Roman" w:hAnsi="Times New Roman"/>
                <w:noProof/>
                <w:sz w:val="18"/>
                <w:szCs w:val="18"/>
              </w:rPr>
              <w:t>ja verohallintoa ja veronkantoa parannetaan – 16863_Super – vihreää taloutta, energiaa ja digitaalista siirtymää koskevien menojen vähentäminen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Pk-yritysten vihreisiin ja digitaalisiin investointeihin liittyvä ylimääräinen vähennys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198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12 - </w:t>
            </w:r>
            <w:r>
              <w:rPr>
                <w:rFonts w:ascii="Times New Roman" w:hAnsi="Times New Roman"/>
                <w:noProof/>
                <w:sz w:val="18"/>
                <w:szCs w:val="18"/>
              </w:rPr>
              <w:t>4.1. Veroista kasvua suosivampi ja verohallinnon ja veronkannon parantaminen – 16616_toimenpiteiden ja kannustimien hyväksyminen sähköisten transaktioiden lisäämiseksi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Sähköisiä maksutapahtumia edistävä lainsäädäntö</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240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15 - 4.4. Rahoitusalan </w:t>
            </w:r>
            <w:r>
              <w:rPr>
                <w:rFonts w:ascii="Times New Roman" w:hAnsi="Times New Roman"/>
                <w:noProof/>
                <w:sz w:val="18"/>
                <w:szCs w:val="18"/>
              </w:rPr>
              <w:t>ja pääomamarkkinoiden lujittaminen – 16581_Pääomamarkkinoiden valvonnan ja luotettavuuden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Pääomamarkkinat, valvonta, valvontaprosessien digitalisointi, pääomamarkkinaunioni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299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w:t>
            </w:r>
            <w:r>
              <w:rPr>
                <w:rFonts w:ascii="Times New Roman" w:hAnsi="Times New Roman"/>
                <w:noProof/>
                <w:sz w:val="18"/>
                <w:szCs w:val="18"/>
              </w:rPr>
              <w:t>nykyaikaistaminen ja häiriönsietokyvyn parantaminen – 16593_Strategisten investointien houkuttelemista koskevan oikeudellisen kehyksen muuttaminen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Strategiset investoinnit – lainsäädäntöuudistus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1687</w:t>
            </w:r>
            <w:r>
              <w:rPr>
                <w:rFonts w:ascii="Times New Roman" w:hAnsi="Times New Roman"/>
                <w:noProof/>
                <w:sz w:val="18"/>
                <w:szCs w:val="18"/>
              </w:rPr>
              <w:t>1_Elvytystoimet eniten kärsineillä alueilla (oikeudenmukaisen siirtymän alueet)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Maaperän kunnostaminen – puitelaki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130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7 - 2.3. Yritysten digitalisointi – 16706_pk-yritysten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Pk-yritysten digitalisaatio – ehdotuspyynnöt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174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sosiaalipolitiikan saatavuuden parantaminen – 16904_Vammaisuus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Henkilökohtaista apua koskeva vammaislainsäädäntö ja ensimmäisen vaiheen pilottijärjestelmän k</w:t>
            </w:r>
            <w:r>
              <w:rPr>
                <w:rFonts w:ascii="Times New Roman" w:hAnsi="Times New Roman"/>
                <w:noProof/>
                <w:sz w:val="18"/>
                <w:szCs w:val="18"/>
              </w:rPr>
              <w:t>äyttöönotto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188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Veroista tehdään kasvua edistäviä ja verohallintoa ja veronkantoa parannetaan – 16614_Sähköiset rekisteröivät kassakoneet ja kauppapaikat (uudistus)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Riippumaton julkisten tulojen virasto (IAPR): Sähköiset </w:t>
            </w:r>
            <w:r>
              <w:rPr>
                <w:rFonts w:ascii="Times New Roman" w:hAnsi="Times New Roman"/>
                <w:noProof/>
                <w:sz w:val="18"/>
                <w:szCs w:val="18"/>
              </w:rPr>
              <w:t>rekisteröivät kassakoneet ja kauppapaikat  – Lainsäädäntökehyksen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190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Veroista tehdään kasvua edistäviä ja verohallintoa ja veronkantoa parannetaan – 16656_Uusi kehys salakuljetuksen torjumiseksi, pääasiassa valmisteveron alaisten tu</w:t>
            </w:r>
            <w:r>
              <w:rPr>
                <w:rFonts w:ascii="Times New Roman" w:hAnsi="Times New Roman"/>
                <w:noProof/>
                <w:sz w:val="18"/>
                <w:szCs w:val="18"/>
              </w:rPr>
              <w:t>otteiden osalta (tupakka, alkoholi ja energia)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Salakuljetuksen torjunta – sääntelypäätösten etenemissuunnitelma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201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18 - 4.7. Kilpailukyvyn parantaminen ja yksityisten investointien ja kaupan edistäminen – 16598_Kannustinjärjestelmä tuottavuud</w:t>
            </w:r>
            <w:r>
              <w:rPr>
                <w:rFonts w:ascii="Times New Roman" w:hAnsi="Times New Roman"/>
                <w:noProof/>
                <w:sz w:val="18"/>
                <w:szCs w:val="18"/>
              </w:rPr>
              <w:t>en lisäämiseksi ja yritysten suuntautumiselle ulospäin (yritysten koon kasvattaminen)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Yritysten ulospäin suuntautumista edistävä lainsäädäntö</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224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14 - 4.3. Oikeusjärjestelmän tehostaminen – 16733_Tuomareiden ja oikeuslaitoksen työntekijöiden </w:t>
            </w:r>
            <w:r>
              <w:rPr>
                <w:rFonts w:ascii="Times New Roman" w:hAnsi="Times New Roman"/>
                <w:noProof/>
                <w:sz w:val="18"/>
                <w:szCs w:val="18"/>
              </w:rPr>
              <w:t>(oikeushenkilökunnan) taidot ja digitaaliset taidot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Koulutus – tuomarit ja kirjaajat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245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Tutkimuksen ja innovoinnin edistäminen – 16618_Perus- ja soveltava tutkimus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Perus- ja soveltavaa tutkimusta koskeva lainsäädäntö</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246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w:t>
            </w:r>
            <w:r>
              <w:rPr>
                <w:rFonts w:ascii="Times New Roman" w:hAnsi="Times New Roman"/>
                <w:noProof/>
                <w:sz w:val="18"/>
                <w:szCs w:val="18"/>
              </w:rPr>
              <w:t xml:space="preserve"> - 4.5. Tutkimuksen ja innovoinnin edistäminen – 16624_Creation – Expansion – Tutkimuskeskusten infrastruktuurien parantaminen, jota valvoo tutkimuksen ja innovoinnin pääsihteeristö (GSRI)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Tutkimuskeskuksia koskeva ehdotuspyyntö</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292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w:t>
            </w:r>
            <w:r>
              <w:rPr>
                <w:rFonts w:ascii="Times New Roman" w:hAnsi="Times New Roman"/>
                <w:noProof/>
                <w:sz w:val="18"/>
                <w:szCs w:val="18"/>
              </w:rPr>
              <w:t>Keskeisten talouden alojen nykyaikaistaminen ja häiriönsietokyvyn parantaminen – 16931_Matkailun kehittäminen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Matkailun kehittäminen: matkailusatamia koskevat uudistukset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300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niiden </w:t>
            </w:r>
            <w:r>
              <w:rPr>
                <w:rFonts w:ascii="Times New Roman" w:hAnsi="Times New Roman"/>
                <w:noProof/>
                <w:sz w:val="18"/>
                <w:szCs w:val="18"/>
              </w:rPr>
              <w:t>häiriönsietokyvyn parantaminen – 16721_Älykkään valmistuksen vauhdittaminen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Valmistusta koskevien ehdotuspyyntöjen käynnistäminen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301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16634_Uudet teolli</w:t>
            </w:r>
            <w:r>
              <w:rPr>
                <w:rFonts w:ascii="Times New Roman" w:hAnsi="Times New Roman"/>
                <w:noProof/>
                <w:sz w:val="18"/>
                <w:szCs w:val="18"/>
              </w:rPr>
              <w:t>suusalueet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Ehdotuspyyntöjen käynnistäminen teollisuusalueita varten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310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niiden häiriönsietokyvyn parantaminen – 16626_maatalousalan taloudellinen muutos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Maatalouden </w:t>
            </w:r>
            <w:r>
              <w:rPr>
                <w:rFonts w:ascii="Times New Roman" w:hAnsi="Times New Roman"/>
                <w:noProof/>
                <w:sz w:val="18"/>
                <w:szCs w:val="18"/>
              </w:rPr>
              <w:t>taloudellinen muutos: Ohjelman käynnistäminen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16865_ Uusiutuvien energialähteiden yhteistuotantotilin tulojen uudelleenjärjestely ja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Uusiutuvien energialähteiden tili – lainsäädäntö, jol</w:t>
            </w:r>
            <w:r>
              <w:rPr>
                <w:rFonts w:ascii="Times New Roman" w:hAnsi="Times New Roman"/>
                <w:noProof/>
                <w:sz w:val="18"/>
                <w:szCs w:val="18"/>
              </w:rPr>
              <w:t>la muutetaan asetusta (EU) N:o 4001/2011; ministeriöiden, kansallisen sääntelyviranomaisen (RAE) ja uusiutuvien energialähteiden ja alkuperätakuiden hallinnoijan (DAPEEP) kaikkien asiaankuuluvien päätösten, myös sääntöjen,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w:t>
            </w:r>
            <w:r>
              <w:rPr>
                <w:rFonts w:ascii="Times New Roman" w:hAnsi="Times New Roman"/>
                <w:noProof/>
                <w:sz w:val="18"/>
                <w:szCs w:val="18"/>
              </w:rPr>
              <w:t>tuotannon tehostaminen – 16860_Virtaviivaistetaan uuden sähkömarkkinamallin tehokasta toimintaa ja uusien uusiutuvia energialähteitä käyttävien laitosten kehittämistä kansallisten energia- ja ilmastosuunnitelmien tavoitteiden saavuttamiseksi ottamalla käyt</w:t>
            </w:r>
            <w:r>
              <w:rPr>
                <w:rFonts w:ascii="Times New Roman" w:hAnsi="Times New Roman"/>
                <w:noProof/>
                <w:sz w:val="18"/>
                <w:szCs w:val="18"/>
              </w:rPr>
              <w:t>töön seurantamekanismi, osallistumalla kysyntäjoustoon ja uudistamalla laajasti uusien uusiutuvien energialähteiden lupamenettelyä.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Uusiutuvien energialähteiden tili – markkinauudistukset ja lupamenettelyn yksinkertaistaminen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138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9 - 3.2. </w:t>
            </w:r>
            <w:r>
              <w:rPr>
                <w:rFonts w:ascii="Times New Roman" w:hAnsi="Times New Roman"/>
                <w:noProof/>
                <w:sz w:val="18"/>
                <w:szCs w:val="18"/>
              </w:rPr>
              <w:t>Yleissivistävä ja ammatillinen koulutus sekä osaaminen – 16913_Elinikäistä oppimista koskeva strategia: Kreikan täydennys- ja uudelleenkoulutusjärjestelmän nykyaikaistaminen ja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Elinikäisen oppimisen strategia lainsäädännön voimaant</w:t>
            </w:r>
            <w:r>
              <w:rPr>
                <w:rFonts w:ascii="Times New Roman" w:hAnsi="Times New Roman"/>
                <w:noProof/>
                <w:sz w:val="18"/>
                <w:szCs w:val="18"/>
              </w:rPr>
              <w: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202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4.1. Veroista kasvua edistävä ja verohallinnon ja veronkannon parantaminen – 16643_Verolainsäädännön kodifiointi ja yksinkertaistaminen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Verotuksen kodifiointivalmiuksien lisääminen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205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Julkishallinnon nykyaikaistaminen muun</w:t>
            </w:r>
            <w:r>
              <w:rPr>
                <w:rFonts w:ascii="Times New Roman" w:hAnsi="Times New Roman"/>
                <w:noProof/>
                <w:sz w:val="18"/>
                <w:szCs w:val="18"/>
              </w:rPr>
              <w:t xml:space="preserve"> muassa nopeuttamalla julkisten investointien toteuttamista, parantamalla julkisten hankintojen kehystä, toteuttamalla valmiuksien kehittämistoimia ja torjumalla korruptiota – 16972_Julkisen hallinnon uudistaminen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Julkishallinto – tulosperustei</w:t>
            </w:r>
            <w:r>
              <w:rPr>
                <w:rFonts w:ascii="Times New Roman" w:hAnsi="Times New Roman"/>
                <w:noProof/>
                <w:sz w:val="18"/>
                <w:szCs w:val="18"/>
              </w:rPr>
              <w:t>sen maksujärjestelmän käyttöönotto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254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16628_Keski-Kreikan valtatie E-65: Trikala–Egnatia-osuus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Rakennustöiden aloittaminen E-65:ssä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264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w:t>
            </w:r>
            <w:r>
              <w:rPr>
                <w:rFonts w:ascii="Times New Roman" w:hAnsi="Times New Roman"/>
                <w:noProof/>
                <w:sz w:val="18"/>
                <w:szCs w:val="18"/>
              </w:rPr>
              <w:t>Keskeisten talouden alojen nykyaikaistaminen ja häiriönsietokyvyn parantaminen – 16982_Rautatiealan organisaatiouudistus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Rautatiealan uudistuslaki</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40"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euroa</w:t>
            </w:r>
          </w:p>
        </w:tc>
      </w:tr>
    </w:tbl>
    <w:p w:rsidR="00B0093E" w:rsidRDefault="00B0093E">
      <w:pPr>
        <w:keepNext/>
        <w:spacing w:before="40" w:after="0" w:line="259" w:lineRule="auto"/>
        <w:jc w:val="both"/>
        <w:rPr>
          <w:rFonts w:ascii="Times New Roman" w:eastAsia="Times New Roman" w:hAnsi="Times New Roman" w:cs="Times New Roman"/>
          <w:bCs/>
          <w:noProof/>
          <w:sz w:val="24"/>
          <w:szCs w:val="26"/>
        </w:rPr>
        <w:sectPr w:rsidR="00B0093E">
          <w:headerReference w:type="even" r:id="rId323"/>
          <w:headerReference w:type="default" r:id="rId324"/>
          <w:footerReference w:type="even" r:id="rId325"/>
          <w:footerReference w:type="default" r:id="rId326"/>
          <w:headerReference w:type="first" r:id="rId327"/>
          <w:footerReference w:type="first" r:id="rId328"/>
          <w:pgSz w:w="11907" w:h="16839"/>
          <w:pgMar w:top="1134" w:right="1417" w:bottom="1134" w:left="1417" w:header="709" w:footer="709" w:gutter="0"/>
          <w:cols w:space="720"/>
          <w:docGrid w:linePitch="360"/>
        </w:sectPr>
      </w:pPr>
    </w:p>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Kolmas maksupyyntö (tuki, jota ei makseta takaisin):</w:t>
      </w:r>
    </w:p>
    <w:p w:rsidR="00B0093E" w:rsidRDefault="00B0093E">
      <w:pPr>
        <w:keepNext/>
        <w:spacing w:before="40" w:after="160" w:line="259" w:lineRule="auto"/>
        <w:contextualSpacing/>
        <w:jc w:val="both"/>
        <w:rPr>
          <w:rFonts w:ascii="Times New Roman" w:eastAsia="Times New Roman" w:hAnsi="Times New Roman" w:cs="Times New Roman"/>
          <w:noProof/>
          <w:sz w:val="24"/>
        </w:rPr>
      </w:pPr>
    </w:p>
    <w:tbl>
      <w:tblPr>
        <w:tblW w:w="9519" w:type="dxa"/>
        <w:tblInd w:w="113" w:type="dxa"/>
        <w:tblLook w:val="04A0" w:firstRow="1" w:lastRow="0" w:firstColumn="1" w:lastColumn="0" w:noHBand="0" w:noVBand="1"/>
      </w:tblPr>
      <w:tblGrid>
        <w:gridCol w:w="1804"/>
        <w:gridCol w:w="4283"/>
        <w:gridCol w:w="1692"/>
        <w:gridCol w:w="241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40"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21</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16872_Asuinrakennusten energiaperuskorjaus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Asuntojen kunnostaminen – toisen kierroksen</w:t>
            </w:r>
            <w:r>
              <w:rPr>
                <w:rFonts w:ascii="Times New Roman" w:hAnsi="Times New Roman"/>
                <w:noProof/>
                <w:sz w:val="18"/>
                <w:szCs w:val="18"/>
              </w:rPr>
              <w:t xml:space="preserve"> käynnistäminen, mukaan lukien energiaköyhät kotitaloudet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45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Lataus ja tankkaus – 16924_ Sähköinen liikkuvuus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Julkinen liikenne – julkisen palvelun velvoitetta koskevan uuden markkinasääntelyn täytäntöönpano (bussit)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w:t>
            </w:r>
            <w:r>
              <w:rPr>
                <w:rFonts w:ascii="Times New Roman" w:hAnsi="Times New Roman"/>
                <w:noProof/>
                <w:sz w:val="18"/>
                <w:szCs w:val="18"/>
              </w:rPr>
              <w:t>Luonnonvarojen kestävä käyttö, ilmastokestävyys ja ympäristönsuojelu – 16772_Jätehuoltolaki kestävän kaatopaikkatoiminnan ja kierrätyksen täytäntöönpanemiseksi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Jätehuoltoa säätelevän lain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Connect – 16818_Fiber optinen i</w:t>
            </w:r>
            <w:r>
              <w:rPr>
                <w:rFonts w:ascii="Times New Roman" w:hAnsi="Times New Roman"/>
                <w:noProof/>
                <w:sz w:val="18"/>
                <w:szCs w:val="18"/>
              </w:rPr>
              <w:t>nfrastruktuuri rakennuksissa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”Rakennusten vapaavalintaista infrastruktuuria” koskevan hankkeen hankintasopimusten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16929_Kohti julkishallinnon asiakaslähtöisiä palveluja yksinkertaistamalla ja parantama</w:t>
            </w:r>
            <w:r>
              <w:rPr>
                <w:rFonts w:ascii="Times New Roman" w:hAnsi="Times New Roman"/>
                <w:noProof/>
                <w:sz w:val="18"/>
                <w:szCs w:val="18"/>
              </w:rPr>
              <w:t>lla prosesseja, järjestelmien parannuksia ja EU:n strategioiden ja politiikkojen noudattamista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Kansallisen menettelyrekisterin perustaminen ja prosessin yksinkertaistamista koskevan kansallisen suunnitelman täytäntöönpano (ensimmäinen vaihe)</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8 - 3.1. Työpaikkojen luomisen ja työmarkkinoille osallistumisen edistäminen – 16746_Reforming Passiivinen työmarkkinapolitiikka työelämään siirtymisen tukemiseksi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Keskinäisten velvoitteiden uudistus lainsäädännön voimaantulo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w:t>
            </w:r>
            <w:r>
              <w:rPr>
                <w:rFonts w:ascii="Times New Roman" w:hAnsi="Times New Roman"/>
                <w:noProof/>
                <w:sz w:val="18"/>
                <w:szCs w:val="18"/>
              </w:rPr>
              <w:t>. Veroista tehdään kasvua edistäviä ja verohallintoa ja veronkantoa parannetaan – 16656_Uusi kehys salakuljetuksen torjumiseksi, pääasiassa valmisteveron alaisten tuotteiden osalta (tupakka, alkoholi ja energia)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Salakuljetuksen torjunta – säänt</w:t>
            </w:r>
            <w:r>
              <w:rPr>
                <w:rFonts w:ascii="Times New Roman" w:hAnsi="Times New Roman"/>
                <w:noProof/>
                <w:sz w:val="18"/>
                <w:szCs w:val="18"/>
              </w:rPr>
              <w:t>elypäätösten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Julkishallinnon nykyaikaistaminen muun muassa nopeuttamalla julkisten investointien toteuttamista, parantamalla julkisten hankintojen kehystä, toteuttamalla valmiuksien kehittämistoimia ja torjumalla korruptiota – </w:t>
            </w:r>
            <w:r>
              <w:rPr>
                <w:rFonts w:ascii="Times New Roman" w:hAnsi="Times New Roman"/>
                <w:noProof/>
                <w:sz w:val="18"/>
                <w:szCs w:val="18"/>
              </w:rPr>
              <w:t>16972_Julkisen hallinnon uudistaminen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Julkishallinto – lainsäädäntökehys toimeksiantojen selkeyttämiseksi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Julkishallinnon nykyaikaistaminen muun muassa nopeuttamalla julkisten investointien toteuttamista, parantamalla julkisten h</w:t>
            </w:r>
            <w:r>
              <w:rPr>
                <w:rFonts w:ascii="Times New Roman" w:hAnsi="Times New Roman"/>
                <w:noProof/>
                <w:sz w:val="18"/>
                <w:szCs w:val="18"/>
              </w:rPr>
              <w:t>ankintojen kehystä, toteuttamalla valmiuksien kehittämistoimia ja torjumalla korruptiota – 16978_Korruption tehokas torjunta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Varallisuusilmoitukset ja poliittiset puolueet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Nykyaikaistetaan julkishallintoa muun muassa nopeuttamall</w:t>
            </w:r>
            <w:r>
              <w:rPr>
                <w:rFonts w:ascii="Times New Roman" w:hAnsi="Times New Roman"/>
                <w:noProof/>
                <w:sz w:val="18"/>
                <w:szCs w:val="18"/>
              </w:rPr>
              <w:t>a julkisten investointien toteuttamista, parantamalla julkisten hankintojen kehystä, toteuttamalla valmiuksien kehittämistoimia ja torjumalla korruptiota – 16952_Kansallisen korruptiontorjuntakehyksen vahvistaminen kohdennetuilla toimilla havaitsemisen, en</w:t>
            </w:r>
            <w:r>
              <w:rPr>
                <w:rFonts w:ascii="Times New Roman" w:hAnsi="Times New Roman"/>
                <w:noProof/>
                <w:sz w:val="18"/>
                <w:szCs w:val="18"/>
              </w:rPr>
              <w:t>naltaehkäisyn ja tietoisuuden lisäämisen aloilla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Kansallinen korruptiontorjuntasuunnitelma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Oikeusjärjestelmän tehostaminen – 16575 oikeudenkäytön 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Tekninen tuki – Tuomioistuinten suorituskyvyn tukiväline</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Oikeusjärjestelmän tehostaminen – 16575 oikeudenkäytön 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Oikeuslaitos – Sekundaarilainsäädäntö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selviytymiskyvyn parantaminen – 16715_Laborin uudistaminen</w:t>
            </w:r>
            <w:r>
              <w:rPr>
                <w:rFonts w:ascii="Times New Roman" w:hAnsi="Times New Roman"/>
                <w:noProof/>
                <w:sz w:val="18"/>
                <w:szCs w:val="18"/>
              </w:rPr>
              <w:t xml:space="preserve"> kulttuurialalla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Kulttuurialan työvoimauudistusta koskeva lainsäädäntö</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16634_Uudet teollisuusalueet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Teollisuusalueet – </w:t>
            </w:r>
            <w:r>
              <w:rPr>
                <w:rFonts w:ascii="Times New Roman" w:hAnsi="Times New Roman"/>
                <w:noProof/>
                <w:sz w:val="18"/>
                <w:szCs w:val="18"/>
              </w:rPr>
              <w:t>lainsäädäntöuudistus (primaarioikeus)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17 - 4.6. Keskeisten talouden alojen nykyaikaistaminen ja häiriönsietokyvyn parantaminen – 16653_Maatalouselintarvikealan digitalisaatio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Maatalous- ja elintarvikealan digitalisaatiota koskevan ehdot</w:t>
            </w:r>
            <w:r>
              <w:rPr>
                <w:rFonts w:ascii="Times New Roman" w:hAnsi="Times New Roman"/>
                <w:noProof/>
                <w:sz w:val="18"/>
                <w:szCs w:val="18"/>
              </w:rPr>
              <w:t xml:space="preserve">uspyynnön käynnistäminen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16872_Asuinrakennusten energiaperuskorjaus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Asuntojen kunnostaminen – kolmannen kierroksen käynnistäminen, mukaan lukien energiaköyhät kotitaloudet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Kunnostaminen – </w:t>
            </w:r>
            <w:r>
              <w:rPr>
                <w:rFonts w:ascii="Times New Roman" w:hAnsi="Times New Roman"/>
                <w:noProof/>
                <w:sz w:val="18"/>
                <w:szCs w:val="18"/>
              </w:rPr>
              <w:t>16879_Kaupunkisuunnitelmien valmistelu kaupunkipolitiikan uudistuksen täytäntöönpanossa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Kaupunkisuunnitelmia koskeva palkinto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Lataus ja tankkaus – 16281_Järjestelmä sähköajoneuvojen latausinfrastruktuurin asentamista ja käyttöä var</w:t>
            </w:r>
            <w:r>
              <w:rPr>
                <w:rFonts w:ascii="Times New Roman" w:hAnsi="Times New Roman"/>
                <w:noProof/>
                <w:sz w:val="18"/>
                <w:szCs w:val="18"/>
              </w:rPr>
              <w:t>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Sähkökäyttöisten ajoneuvojen latauspisteet – paikalliset suunnitelmat hyväksytty</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3 – 1.3. Lataaminen ja tankkaus – 16831_Produc- E Green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Teollisuusyksiköt – ohjelman käynnistäminen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3 – 1.3. Lataus ja tankkaus – 16924_ </w:t>
            </w:r>
            <w:r>
              <w:rPr>
                <w:rFonts w:ascii="Times New Roman" w:hAnsi="Times New Roman"/>
                <w:noProof/>
                <w:sz w:val="18"/>
                <w:szCs w:val="18"/>
              </w:rPr>
              <w:t>Sähköinen liikkuvuus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 Sähköajoneuvojen latauspisteet – ohjelmien käynnistäminen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Lataus ja tankkaus – 16924_ Sähköinen liikkuvuus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Kestävä liikenne – toteutettavuustutkimus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Luonnonvarojen kestävä käyttö, </w:t>
            </w:r>
            <w:r>
              <w:rPr>
                <w:rFonts w:ascii="Times New Roman" w:hAnsi="Times New Roman"/>
                <w:noProof/>
                <w:sz w:val="18"/>
                <w:szCs w:val="18"/>
              </w:rPr>
              <w:t>ilmastokestävyys ja ympäristönsuojelu – 16979_Uuden vesi- ja jätevesialan sääntelyviranomaisen perustaminen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Vesialan sääntelylain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16910_Seuranta- ja</w:t>
            </w:r>
            <w:r>
              <w:rPr>
                <w:rFonts w:ascii="Times New Roman" w:hAnsi="Times New Roman"/>
                <w:noProof/>
                <w:sz w:val="18"/>
                <w:szCs w:val="18"/>
              </w:rPr>
              <w:t xml:space="preserve"> hallintajärjestelmä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GPS:ää koskeva sopimus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16778_arkistojen ja niihin liittyvien palvelujen digitalisointi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Arkistojen digitointia koskevien sopimusten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Nykyaikaistaminen – </w:t>
            </w:r>
            <w:r>
              <w:rPr>
                <w:rFonts w:ascii="Times New Roman" w:hAnsi="Times New Roman"/>
                <w:noProof/>
                <w:sz w:val="18"/>
                <w:szCs w:val="18"/>
              </w:rPr>
              <w:t>16779_Yhteentoimivuus ja verkkopalvelujen kehittäminen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Yhteentoimivuutta ja verkkopalvelujen kehittämishanketta koskevan sopimuksen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16810_CRM julkisyhteisöjen osalta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CRM:n hankintasopimus julkisyhteisöille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16780_Julkishallinnon keskitettyjen palvelupisteiden nykyaikaistaminen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Sopimus julkishallinnon keskitettyjen asiointipisteiden nykyaikaistamisen jatkamisesta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w:t>
            </w:r>
            <w:r>
              <w:rPr>
                <w:rFonts w:ascii="Times New Roman" w:hAnsi="Times New Roman"/>
                <w:noProof/>
                <w:sz w:val="18"/>
                <w:szCs w:val="18"/>
              </w:rPr>
              <w:t>2. Nykyaikaistaminen – 16736_Uusi julkisten hankintojen järjestelmä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Hankintasopimuksen tekeminen uudesta julkisten hankintojen järjestelmästä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Nykyaikaistaminen – 16823_Kyberturvallisuusstrategia ja -toimet julkiselle sektorille </w:t>
            </w:r>
            <w:r>
              <w:rPr>
                <w:rFonts w:ascii="Times New Roman" w:hAnsi="Times New Roman"/>
                <w:noProof/>
                <w:sz w:val="18"/>
                <w:szCs w:val="18"/>
              </w:rPr>
              <w:t>sekä edistyneet turvallisuuspalvelut kansallisille elintärkeille infrastruktuureille</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Kyberturvallisuusstrategiaa koskevan hankintasopimuksen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16826_digitaalisen osaamisen kehittämisohjelmat asevelvolli</w:t>
            </w:r>
            <w:r>
              <w:rPr>
                <w:rFonts w:ascii="Times New Roman" w:hAnsi="Times New Roman"/>
                <w:noProof/>
                <w:sz w:val="18"/>
                <w:szCs w:val="18"/>
              </w:rPr>
              <w:t>sille</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Sopimuksen tekeminen asevelvollisten digitaalisten taitojen kehittämisohjelmista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16742_Ulkoministeriön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Ulkoministeriön digitalisaatiota koskevan hankintasopimuksen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16824_ERegistries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Sähköisten rekisterien hankintasopimus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16842_Central BI – Data-analytiikka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Hankintasopimus Central Business Intelligence (BI)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8 - 3.1. </w:t>
            </w:r>
            <w:r>
              <w:rPr>
                <w:rFonts w:ascii="Times New Roman" w:hAnsi="Times New Roman"/>
                <w:noProof/>
                <w:sz w:val="18"/>
                <w:szCs w:val="18"/>
              </w:rPr>
              <w:t>Työpaikkojen luomisen ja työmarkkinoille osallistumisen edistäminen – 16750_Työjärjestelmien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Työhön liittyviä tietoteknisiä järjestelmiä koskevan sopimuksen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Yleissivistävä ja ammatillinen koulutus sekä osa</w:t>
            </w:r>
            <w:r>
              <w:rPr>
                <w:rFonts w:ascii="Times New Roman" w:hAnsi="Times New Roman"/>
                <w:noProof/>
                <w:sz w:val="18"/>
                <w:szCs w:val="18"/>
              </w:rPr>
              <w:t>aminen – 16913_Elinikäistä oppimista koskeva strategia: Kreikan täydennys- ja uudelleenkoulutusjärjestelmän nykyaikaistaminen ja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Elinikäisen oppimisen strategian loppuunsaattamisen validointi koulutusohjelmissa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w:t>
            </w:r>
            <w:r>
              <w:rPr>
                <w:rFonts w:ascii="Times New Roman" w:hAnsi="Times New Roman"/>
                <w:noProof/>
                <w:sz w:val="18"/>
                <w:szCs w:val="18"/>
              </w:rPr>
              <w:t>huollon häiriönsietokyvyn, saatavuuden ja kestävyyden parantaminen – 16755_Ensisijaisen terveydenhuoltojärjestelmän uudistaminen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Perusterveydenhuollon perhelääketieteen opetussuunnitelmien aktivointi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Terveydenhuollon </w:t>
            </w:r>
            <w:r>
              <w:rPr>
                <w:rFonts w:ascii="Times New Roman" w:hAnsi="Times New Roman"/>
                <w:noProof/>
                <w:sz w:val="18"/>
                <w:szCs w:val="18"/>
              </w:rPr>
              <w:t>häiriönsietokyvyn, saatavuuden ja kestävyyden parantaminen – 16820_Uudistus mielenterveyden ja riippuvuuksien alalla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Mielenterveys – 50 yksikköä avoinna – vaihe 1/2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Nykyaikaistetaan julkishallintoa muun muassa nopeuttamalla julkisten</w:t>
            </w:r>
            <w:r>
              <w:rPr>
                <w:rFonts w:ascii="Times New Roman" w:hAnsi="Times New Roman"/>
                <w:noProof/>
                <w:sz w:val="18"/>
                <w:szCs w:val="18"/>
              </w:rPr>
              <w:t xml:space="preserve"> investointien toteuttamista, parantamalla julkisten hankintojen kehystä, toteuttamalla valmiuksien kehittämistoimia ja torjumalla korruptiota – 16952_Kansallisen korruptiontorjuntakehyksen vahvistaminen kohdennetuilla toimilla havaitsemisen, ennaltaehkäis</w:t>
            </w:r>
            <w:r>
              <w:rPr>
                <w:rFonts w:ascii="Times New Roman" w:hAnsi="Times New Roman"/>
                <w:noProof/>
                <w:sz w:val="18"/>
                <w:szCs w:val="18"/>
              </w:rPr>
              <w:t>yn ja tietoisuuden lisäämisen aloilla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Sisäistä valvontaa koskevan lainsäädännön täytäntöönpano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Julkishallinnon nykyaikaistaminen muun muassa nopeuttamalla julkisten investointien toteuttamista, parantamalla julkisten hankintojen </w:t>
            </w:r>
            <w:r>
              <w:rPr>
                <w:rFonts w:ascii="Times New Roman" w:hAnsi="Times New Roman"/>
                <w:noProof/>
                <w:sz w:val="18"/>
                <w:szCs w:val="18"/>
              </w:rPr>
              <w:t>kehystä, toteuttamalla valmiuksien kehittämistoimia ja torjumalla korruptiota – 16701_Valtiontukiverkoston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Tehostettu valtiontukiverkosto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Julkishallinnon nykyaikaistaminen muun muassa nopeuttamalla julkisten investoi</w:t>
            </w:r>
            <w:r>
              <w:rPr>
                <w:rFonts w:ascii="Times New Roman" w:hAnsi="Times New Roman"/>
                <w:noProof/>
                <w:sz w:val="18"/>
                <w:szCs w:val="18"/>
              </w:rPr>
              <w:t>ntien toteuttamista, parantamalla julkisten hankintojen kehystä, toteuttamalla valmiuksien kehittämistoimia ja torjumalla korruptiota – 16981_Poliittisen suunnittelun ja koordinoinnin tehostaminen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Politiikan suunnittelu ja koordinointi – </w:t>
            </w:r>
            <w:r>
              <w:rPr>
                <w:rFonts w:ascii="Times New Roman" w:hAnsi="Times New Roman"/>
                <w:noProof/>
                <w:sz w:val="18"/>
                <w:szCs w:val="18"/>
              </w:rPr>
              <w:t>vaikutusten arviointi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Oikeusjärjestelmän tehostaminen – 16575 oikeudenkäytön 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Tuomioistuimen kartta – primaarioikeus – hallinto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14 - 4.3. Oikeuslaitoksen tehokkuuden parantaminen – 16292_Uudet oikeuslaitoksen </w:t>
            </w:r>
            <w:r>
              <w:rPr>
                <w:rFonts w:ascii="Times New Roman" w:hAnsi="Times New Roman"/>
                <w:noProof/>
                <w:sz w:val="18"/>
                <w:szCs w:val="18"/>
              </w:rPr>
              <w:t>rakennukset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40"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Oikeudellisten rakennusten rakentaminen ja kunnostaminen – luettelon mukauttaminen – Tarjouskilpailujen käynnistäminen</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40"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40"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euroa</w:t>
            </w:r>
          </w:p>
        </w:tc>
      </w:tr>
    </w:tbl>
    <w:p w:rsidR="00B0093E" w:rsidRDefault="00B0093E">
      <w:pPr>
        <w:keepNext/>
        <w:spacing w:before="40" w:after="0" w:line="259" w:lineRule="auto"/>
        <w:jc w:val="both"/>
        <w:rPr>
          <w:rFonts w:ascii="Times New Roman" w:eastAsia="Times New Roman" w:hAnsi="Times New Roman" w:cs="Times New Roman"/>
          <w:bCs/>
          <w:noProof/>
          <w:sz w:val="24"/>
          <w:szCs w:val="26"/>
        </w:rPr>
        <w:sectPr w:rsidR="00B0093E">
          <w:headerReference w:type="even" r:id="rId329"/>
          <w:headerReference w:type="default" r:id="rId330"/>
          <w:footerReference w:type="even" r:id="rId331"/>
          <w:footerReference w:type="default" r:id="rId332"/>
          <w:headerReference w:type="first" r:id="rId333"/>
          <w:footerReference w:type="first" r:id="rId334"/>
          <w:pgSz w:w="11907" w:h="16839"/>
          <w:pgMar w:top="1134" w:right="1417" w:bottom="1134" w:left="1417" w:header="709" w:footer="709" w:gutter="0"/>
          <w:cols w:space="720"/>
          <w:docGrid w:linePitch="360"/>
        </w:sectPr>
      </w:pPr>
    </w:p>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numPr>
          <w:ilvl w:val="1"/>
          <w:numId w:val="20"/>
        </w:numPr>
        <w:spacing w:before="40" w:after="0" w:line="259" w:lineRule="auto"/>
        <w:ind w:left="0"/>
        <w:contextualSpacing/>
        <w:jc w:val="both"/>
        <w:rPr>
          <w:rFonts w:ascii="Times New Roman" w:eastAsia="Times New Roman" w:hAnsi="Times New Roman" w:cs="Times New Roman"/>
          <w:i/>
          <w:noProof/>
          <w:color w:val="4F81BD"/>
          <w:sz w:val="24"/>
        </w:rPr>
      </w:pPr>
      <w:r>
        <w:rPr>
          <w:rFonts w:ascii="Times New Roman" w:hAnsi="Times New Roman"/>
          <w:noProof/>
          <w:sz w:val="24"/>
        </w:rPr>
        <w:t xml:space="preserve">Kolmas maksupyyntö (tuki, jota ei makseta takaisin): </w:t>
      </w:r>
    </w:p>
    <w:p w:rsidR="00B0093E" w:rsidRDefault="00B0093E">
      <w:pPr>
        <w:keepNext/>
        <w:spacing w:before="40" w:after="0" w:line="259" w:lineRule="auto"/>
        <w:contextualSpacing/>
        <w:jc w:val="both"/>
        <w:rPr>
          <w:rFonts w:ascii="Times New Roman" w:eastAsia="Times New Roman" w:hAnsi="Times New Roman" w:cs="Times New Roman"/>
          <w:i/>
          <w:noProof/>
          <w:color w:val="4F81BD"/>
          <w:sz w:val="24"/>
        </w:rPr>
      </w:pPr>
    </w:p>
    <w:tbl>
      <w:tblPr>
        <w:tblW w:w="9535" w:type="dxa"/>
        <w:tblInd w:w="113" w:type="dxa"/>
        <w:tblLook w:val="04A0" w:firstRow="1" w:lastRow="0" w:firstColumn="1" w:lastColumn="0" w:noHBand="0" w:noVBand="1"/>
      </w:tblPr>
      <w:tblGrid>
        <w:gridCol w:w="1804"/>
        <w:gridCol w:w="4283"/>
        <w:gridCol w:w="1692"/>
        <w:gridCol w:w="241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37</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16932_Ateenan olympialaisten urheilukeskus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OAKA – hankesopimuksen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228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w:t>
            </w:r>
            <w:r>
              <w:rPr>
                <w:rFonts w:ascii="Times New Roman" w:hAnsi="Times New Roman"/>
                <w:noProof/>
                <w:sz w:val="18"/>
                <w:szCs w:val="18"/>
              </w:rPr>
              <w:t xml:space="preserve"> 4.3. Oikeusjärjestelmän tehostaminen – 16733_Tuomareiden ja oikeuslaitoksen työntekijöiden (oikeushenkilökunnan) taidot ja digitaaliset taidot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Koulutus – tuomarit ja virkailijat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247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16 - 4.5. Tutkimuksen ja innovoinnin edistäminen – </w:t>
            </w:r>
            <w:r>
              <w:rPr>
                <w:rFonts w:ascii="Times New Roman" w:hAnsi="Times New Roman"/>
                <w:noProof/>
                <w:sz w:val="18"/>
                <w:szCs w:val="18"/>
              </w:rPr>
              <w:t>16624_Creation – Expansion – Tutkimuskeskusten infrastruktuurien parantaminen, jota valvoo tutkimuksen ja innovoinnin pääsihteeristö (GSRI)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Tutkimuskeskusten hankintasopimukset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16 - 4.5. Tutkimuksen ja innovoinnin edistäminen – 16654_TH 2 </w:t>
            </w:r>
            <w:r>
              <w:rPr>
                <w:rFonts w:ascii="Times New Roman" w:hAnsi="Times New Roman"/>
                <w:noProof/>
                <w:sz w:val="18"/>
                <w:szCs w:val="18"/>
              </w:rPr>
              <w:t>ORAX: Trellis Holistic &amp; Hybrid Operational Ruggedized Autonomous eXemplary -järjestelmä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TH²ORAX:n hankintasopimukset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häiriönsietokyvyn parantaminen – 16954 Kreikan rautatieverkkojärjestelmän ja -infrastruktuurin parannus- ja uudelleenjärjestelytoimet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Julkisen ja yksityisen sektorin kumppanuussopimus r</w:t>
            </w:r>
            <w:r>
              <w:rPr>
                <w:rFonts w:ascii="Times New Roman" w:hAnsi="Times New Roman"/>
                <w:noProof/>
                <w:sz w:val="18"/>
                <w:szCs w:val="18"/>
              </w:rPr>
              <w:t>autatieverkon parantamisesta ja uudelleenjärjestelystä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16870_Toimenpiteet saarten sähköverkkojen yhteenliittämiseksi ja sähköverkon parantamiseksi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Saarten yhteenliittäminen – sopimusten myöntäminen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16865_ Uusiutuvien energialähteiden yhteistuotantotilin tulojen uudelleenjärjestely ja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Uusiutuvien energialähteiden tili – kapasiteetin lisäystavoite 1</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Energiantuotannon </w:t>
            </w:r>
            <w:r>
              <w:rPr>
                <w:rFonts w:ascii="Times New Roman" w:hAnsi="Times New Roman"/>
                <w:noProof/>
                <w:sz w:val="18"/>
                <w:szCs w:val="18"/>
              </w:rPr>
              <w:t>tehostaminen – 16871_Elvytystoimet eniten kärsineillä alueilla (oikeudenmukaisen siirtymän alueet)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Maaperän kunnostaminen – kaupunkisuunnitelmat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16926_tuki varastointijärjestelmien asentamiselle uus</w:t>
            </w:r>
            <w:r>
              <w:rPr>
                <w:rFonts w:ascii="Times New Roman" w:hAnsi="Times New Roman"/>
                <w:noProof/>
                <w:sz w:val="18"/>
                <w:szCs w:val="18"/>
              </w:rPr>
              <w:t>iutuvien energialähteiden tehokkaamman käytön hyväksi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Varastointi – sopimukset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16874_Energia ja yrittäjyys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Yksityisen sektorin energiatehokkuus – hyväksytyt hakemukset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Kunnostaminen – 16876_Julkisen sektorin rakennusten energiatehokkuuden parantaminen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Julkisten rakennusten energiatehokkuus – hyväksytyt hakemukset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16873_ Asuntoalueisiin ja rakennuskantaan liittyvät toimet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Kaupunkeihin liittyvät toimet – hankintasopimukset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16772_Jätehuoltolaki kestävän kaatopaikkatoiminnan ja kierrätyksen täytäntöönpanemiseksi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Jätehuoltoalan sääntelyviranomaisen perustaminen ja toiminta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16849_Kansallinen uudelleenmetsityssuunnitelma ja Parnitha-lippulaivainvestointi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Uudelleenmetsittäm</w:t>
            </w:r>
            <w:r>
              <w:rPr>
                <w:rFonts w:ascii="Times New Roman" w:hAnsi="Times New Roman"/>
                <w:noProof/>
                <w:sz w:val="18"/>
                <w:szCs w:val="18"/>
              </w:rPr>
              <w:t xml:space="preserve">inen – sopimukset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16850_Juomavesihuolto- ja juomavedensäästöinfrastruktuurit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Kiinnostuksenilmaisupyynnön julkaiseminen vedensäästötoimia varten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5 - 2.1. </w:t>
            </w:r>
            <w:r>
              <w:rPr>
                <w:rFonts w:ascii="Times New Roman" w:hAnsi="Times New Roman"/>
                <w:noProof/>
                <w:sz w:val="18"/>
                <w:szCs w:val="18"/>
              </w:rPr>
              <w:t>Connect – 16962_Merenalaiset valokaapelit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Vedenalaisia kuitukaapeleita koskevan hankkeen hankintasopimusten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Connect – 16855_Small-satelliitit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Pieniä satelliitteja koskevan hankkeen hankintasopimusten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Connect – 16834_5G-käytävät – Kehitetään 5G-verkkoja, joiden on katettava kaikki Kreikan moottoritiet, jotka ovat osa Euroopan laajuista liikenneverkkoa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5G-käytäviä koskevan hankkeen hankintasopimusten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9 - 3.2. </w:t>
            </w:r>
            <w:r>
              <w:rPr>
                <w:rFonts w:ascii="Times New Roman" w:hAnsi="Times New Roman"/>
                <w:noProof/>
                <w:sz w:val="18"/>
                <w:szCs w:val="18"/>
              </w:rPr>
              <w:t>Yleissivistävä ja ammatillinen koulutus sekä osaaminen – 16792_Työvoiman koulutus, uudelleenkoulutus ja täydennyskoulutus uudistetun koulutusmallin avulla (ammatillisen koulutuksen uudistus)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Ammatillisen koulutuksen laadunvalvontajärjestelmää k</w:t>
            </w:r>
            <w:r>
              <w:rPr>
                <w:rFonts w:ascii="Times New Roman" w:hAnsi="Times New Roman"/>
                <w:noProof/>
                <w:sz w:val="18"/>
                <w:szCs w:val="18"/>
              </w:rPr>
              <w:t>oskevan sopimuksen tekeminen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häiriönsietokyvyn, saatavuuden ja kestävyyden parantaminen – 16816_Terveydenhuoltoalan uudistukset ja siihen kohdistettavien investointien vauhdittaminen – Sairaanhoitomenojen vähentäminen ja jär</w:t>
            </w:r>
            <w:r>
              <w:rPr>
                <w:rFonts w:ascii="Times New Roman" w:hAnsi="Times New Roman"/>
                <w:noProof/>
                <w:sz w:val="18"/>
                <w:szCs w:val="18"/>
              </w:rPr>
              <w:t>keistäminen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Takaisinperintä väheni 50 000 000 – vaihe 1</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Veroista kasvua edistävä ja verohallinnon ja veronkannon parantaminen – 16611_Verotarkastusten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Verotarkastukset – MyData ja pankkitiedot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12 - </w:t>
            </w:r>
            <w:r>
              <w:rPr>
                <w:rFonts w:ascii="Times New Roman" w:hAnsi="Times New Roman"/>
                <w:noProof/>
                <w:sz w:val="18"/>
                <w:szCs w:val="18"/>
              </w:rPr>
              <w:t>4.1. Veroista kasvua edistävä ja verohallinnon ja veronkannon parantaminen – 16643_Verolainsäädännön kodifiointi ja yksinkertaistaminen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Tulovero- ja verotusmenettelykoodien kodifiointi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Nykyaikaistetaan julkishallintoa muun muassa</w:t>
            </w:r>
            <w:r>
              <w:rPr>
                <w:rFonts w:ascii="Times New Roman" w:hAnsi="Times New Roman"/>
                <w:noProof/>
                <w:sz w:val="18"/>
                <w:szCs w:val="18"/>
              </w:rPr>
              <w:t xml:space="preserve"> nopeuttamalla julkisten investointien toteuttamista, parantamalla julkisten hankintojen kehystä, toteuttamalla valmiuksien kehittämistoimia ja torjumalla korruptiota – 16702_Rahanpesun ja terrorismin rahoituksen torjuntaa koskevan kehyksen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w:t>
            </w:r>
            <w:r>
              <w:rPr>
                <w:rFonts w:ascii="Times New Roman" w:hAnsi="Times New Roman"/>
                <w:noProof/>
                <w:sz w:val="18"/>
                <w:szCs w:val="18"/>
              </w:rPr>
              <w:t>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Tehostettu rahanpesun ja terrorismin rahoituksen torjuntakehys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14 - 4.3. Oikeusjärjestelmän tehostaminen – 16727_Oikeusalan digitalisaatio (sähköinen oikeus)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Tietorekistereiden ja tietoteknisten oikeusjärjestelmien parantaminen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14 - 4.3. Oikeusjärjestelmän tehostaminen – 16575 oikeudenkäytön 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Adoptio – Oikeusvirkailijoiden tuloksellisuutta koskeva väline</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14 - 4.3. Oikeuslaitoksen tehokkuuden parantaminen – 16292_Uudet oikeuslaitoksen </w:t>
            </w:r>
            <w:r>
              <w:rPr>
                <w:rFonts w:ascii="Times New Roman" w:hAnsi="Times New Roman"/>
                <w:noProof/>
                <w:sz w:val="18"/>
                <w:szCs w:val="18"/>
              </w:rPr>
              <w:t>rakennukset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Sopimukset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16631_Tieturvallisuuden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Liikenneturvallisuutta koskevan sopimuksen tekeminen – ensimmäinen sopimuse</w:t>
            </w:r>
            <w:r>
              <w:rPr>
                <w:rFonts w:ascii="Times New Roman" w:hAnsi="Times New Roman"/>
                <w:noProof/>
                <w:sz w:val="18"/>
                <w:szCs w:val="18"/>
              </w:rPr>
              <w:t>rä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16630_Kreetan pohjoinen valtatie (Β.Ο.Α.Κ.)</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Ilmoitus kolmea BOAK:n alahanketta koskevien hankintasopimusten tekemisestä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häiriönsietokyvyn parantaminen – 16950_Sähköiset tietullit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Sähköisten tietullien hankintasopimus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w:t>
            </w:r>
            <w:r>
              <w:rPr>
                <w:rFonts w:ascii="Times New Roman" w:hAnsi="Times New Roman"/>
                <w:noProof/>
                <w:sz w:val="18"/>
                <w:szCs w:val="18"/>
              </w:rPr>
              <w:t>minen – 16833_EASAn vaatimustenmukaisuutta korjaavien toimien täytäntöönpano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Ilmoitus Euroopan unionin lentoturvallisuusviraston (EASA) alueellisilla lentoasemilla tekemästä työstä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w:t>
            </w:r>
            <w:r>
              <w:rPr>
                <w:rFonts w:ascii="Times New Roman" w:hAnsi="Times New Roman"/>
                <w:noProof/>
                <w:sz w:val="18"/>
                <w:szCs w:val="18"/>
              </w:rPr>
              <w:t>häiriönsietokyvyn parantaminen – 16975_Alueellisten satamien parannustyöt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Alueellisia satamapäivityksiä koskevat sopimukset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16634_Uudet teollisuusalueet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Teollisuusalueet – lainsäädäntöuudistus (sekundaarilainsäädäntö)</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18 - 4.7. Kilpailukyvyn parantaminen sekä yksityisten investointien ja viennin edistäminen – 16543_Toimet liiketoimintaympäristön yksinkertaistamiseksi ja sen laadun ja turv</w:t>
            </w:r>
            <w:r>
              <w:rPr>
                <w:rFonts w:ascii="Times New Roman" w:hAnsi="Times New Roman"/>
                <w:noProof/>
                <w:sz w:val="18"/>
                <w:szCs w:val="18"/>
              </w:rPr>
              <w:t>allisuuden parantamiseksi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Laatupolitiikan ja laatuinfrastruktuuria koskevan uuden sääntelykehyksen laatiminen </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euroa</w:t>
            </w:r>
          </w:p>
        </w:tc>
      </w:tr>
    </w:tbl>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Viides maksupyyntö (tuki, jota ei makseta takaisin): </w:t>
      </w:r>
    </w:p>
    <w:tbl>
      <w:tblPr>
        <w:tblW w:w="9782" w:type="dxa"/>
        <w:tblInd w:w="113" w:type="dxa"/>
        <w:tblLook w:val="04A0" w:firstRow="1" w:lastRow="0" w:firstColumn="1" w:lastColumn="0" w:noHBand="0" w:noVBand="1"/>
      </w:tblPr>
      <w:tblGrid>
        <w:gridCol w:w="1804"/>
        <w:gridCol w:w="4283"/>
        <w:gridCol w:w="1692"/>
        <w:gridCol w:w="208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Toimenpide (uudistus tai </w:t>
            </w:r>
            <w:r>
              <w:rPr>
                <w:rFonts w:ascii="Times New Roman" w:hAnsi="Times New Roman"/>
                <w:noProof/>
                <w:sz w:val="18"/>
                <w:szCs w:val="18"/>
              </w:rPr>
              <w:t>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2003"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2003"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12</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16901_HEDNOn verkon parannukset, joilla pyritään parantamaan sietokykyä ja ympäristönsuojelua</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00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HEDNO – sopimukset 1</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Energiantuotannon </w:t>
            </w:r>
            <w:r>
              <w:rPr>
                <w:rFonts w:ascii="Times New Roman" w:hAnsi="Times New Roman"/>
                <w:noProof/>
                <w:sz w:val="18"/>
                <w:szCs w:val="18"/>
              </w:rPr>
              <w:t>tehostaminen – 16900_HEDNO-ilmajohtoverkon kunnostaminen metsäalueilla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HEDNO – sopimukset 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Energiantuotannon tehostaminen – 16899_HEDNOn suur- tai keskijännitteisten sähköasemien asennetun kapasiteetin lisäys uutta uusiutuvien </w:t>
            </w:r>
            <w:r>
              <w:rPr>
                <w:rFonts w:ascii="Times New Roman" w:hAnsi="Times New Roman"/>
                <w:noProof/>
                <w:sz w:val="18"/>
                <w:szCs w:val="18"/>
              </w:rPr>
              <w:t>energialähteiden yhteyttä varten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HEDNO – sopimukset 3</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16872_Asuinrakennusten energiaperuskorjaus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Asuinrakennusten kunnostaminen – asuntojen kunnostaminen #1</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Kunnostaminen – </w:t>
            </w:r>
            <w:r>
              <w:rPr>
                <w:rFonts w:ascii="Times New Roman" w:hAnsi="Times New Roman"/>
                <w:noProof/>
                <w:sz w:val="18"/>
                <w:szCs w:val="18"/>
              </w:rPr>
              <w:t>16879_Kaupunkisuunnitelmien valmistelu kaupunkipolitiikan uudistuksen täytäntöönpanossa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Kaupunkisuunnitelmia koskeva palkinto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Lataus ja tankkaus – 16924_ Sähköinen liikkuvuus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Sähkökäyttöisten ajoneuvojen latauspisteet –</w:t>
            </w:r>
            <w:r>
              <w:rPr>
                <w:rFonts w:ascii="Times New Roman" w:hAnsi="Times New Roman"/>
                <w:noProof/>
                <w:sz w:val="18"/>
                <w:szCs w:val="18"/>
              </w:rPr>
              <w:t xml:space="preserve"> asennuspaikat vahvistettu</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Lataaminen ja tankkaus – 16831_Produc- E Green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Teollisuusyksiköt – valitut yritykset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Luonnonvarojen kestävä käyttö, ilmastokestävyys ja ympäristönsuojelu – 16979_Uuden vesi- ja jätevesialan </w:t>
            </w:r>
            <w:r>
              <w:rPr>
                <w:rFonts w:ascii="Times New Roman" w:hAnsi="Times New Roman"/>
                <w:noProof/>
                <w:sz w:val="18"/>
                <w:szCs w:val="18"/>
              </w:rPr>
              <w:t>sääntelyviranomaisen perustaminen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Vesihuollon sääntelyviranomaisen perustaminen ja toiminta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16882_Tulvien lieventämistä koskevat hankkeet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Ilmoitus t</w:t>
            </w:r>
            <w:r>
              <w:rPr>
                <w:rFonts w:ascii="Times New Roman" w:hAnsi="Times New Roman"/>
                <w:noProof/>
                <w:sz w:val="18"/>
                <w:szCs w:val="18"/>
              </w:rPr>
              <w:t>ulvasuojelusopimusten tekemisestä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16898_Vesihuoltohankkeet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Ilmoitus vesihuoltohankkeita koskevan hankintasopimuksen tekemisestä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Luonnonvarojen </w:t>
            </w:r>
            <w:r>
              <w:rPr>
                <w:rFonts w:ascii="Times New Roman" w:hAnsi="Times New Roman"/>
                <w:noProof/>
                <w:sz w:val="18"/>
                <w:szCs w:val="18"/>
              </w:rPr>
              <w:t>kestävä käyttö, ilmastokestävyys ja ympäristönsuojelu – 16846_Uudet infrastruktuurit yhdyskuntajätevesien ja jätevesien käsittelyssä syntyvän lietteen käsittelemiseksi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Ilmoitus jätevesihankkeita koskevan hankintasopimuksen tekemisestä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w:t>
            </w:r>
            <w:r>
              <w:rPr>
                <w:rFonts w:ascii="Times New Roman" w:hAnsi="Times New Roman"/>
                <w:noProof/>
                <w:sz w:val="18"/>
                <w:szCs w:val="18"/>
              </w:rPr>
              <w:t>.4. Luonnonvarojen kestävä käyttö, ilmastokestävyys ja ympäristönsuojelu – 16911_Ilma-alukset kriisinhallintaa varten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Kahden Sikorsky-helikopterin osto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Nykyaikaistaminen – 16778_arkistojen ja niihin liittyvien palvelujen </w:t>
            </w:r>
            <w:r>
              <w:rPr>
                <w:rFonts w:ascii="Times New Roman" w:hAnsi="Times New Roman"/>
                <w:noProof/>
                <w:sz w:val="18"/>
                <w:szCs w:val="18"/>
              </w:rPr>
              <w:t>digitalisointi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Arkistojen digitointi – täytäntöönpanon ensimmäinen vaihe</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16929_Kohti julkishallinnon asiakaslähtöisiä palveluja yksinkertaistamalla ja parantamalla prosesseja, järjestelmien parannuksia ja EU:n strat</w:t>
            </w:r>
            <w:r>
              <w:rPr>
                <w:rFonts w:ascii="Times New Roman" w:hAnsi="Times New Roman"/>
                <w:noProof/>
                <w:sz w:val="18"/>
                <w:szCs w:val="18"/>
              </w:rPr>
              <w:t>egioiden ja politiikkojen noudattamista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Prosessin yksinkertaistamista koskevan kansallisen suunnitelman täytäntöönpano (toinen vaihe)</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8 - 3.1. Työpaikkojen luomisen ja työmarkkinoille osallistumisen edistäminen – 16942_Julkisen </w:t>
            </w:r>
            <w:r>
              <w:rPr>
                <w:rFonts w:ascii="Times New Roman" w:hAnsi="Times New Roman"/>
                <w:noProof/>
                <w:sz w:val="18"/>
                <w:szCs w:val="18"/>
              </w:rPr>
              <w:t>työvoimapalvelun (OAED)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OAED:n digitalisointi A3/A4-sivua digitoituja arkistoja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8 - 3.1. Työpaikkojen luomisen ja työmarkkinoille osallistumisen edistäminen – 16747_Aktiivisen työmarkkinapolitiikan uudistaminen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Aktiivise</w:t>
            </w:r>
            <w:r>
              <w:rPr>
                <w:rFonts w:ascii="Times New Roman" w:hAnsi="Times New Roman"/>
                <w:noProof/>
                <w:sz w:val="18"/>
                <w:szCs w:val="18"/>
              </w:rPr>
              <w:t xml:space="preserve">n työmarkkinapolitiikan uudelleenkoulutuksen työllisyysohjelman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Koulutus, ammatillinen koulutus ja osaaminen – 16289_Huippuosaamisstrategia korkeakoulujen ja innovoinnin osa-alueella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Huippuyliopistot Tutkimusk</w:t>
            </w:r>
            <w:r>
              <w:rPr>
                <w:rFonts w:ascii="Times New Roman" w:hAnsi="Times New Roman"/>
                <w:noProof/>
                <w:sz w:val="18"/>
                <w:szCs w:val="18"/>
              </w:rPr>
              <w:t>lusterit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häiriönsietokyvyn, saatavuuden ja kestävyyden parantaminen – 16755_Ensisijaisen terveydenhuoltojärjestelmän uudistaminen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Perusterveydenhuolto – terveyskeskukset, jotka tekevät hankintasopimuksia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w:t>
            </w:r>
            <w:r>
              <w:rPr>
                <w:rFonts w:ascii="Times New Roman" w:hAnsi="Times New Roman"/>
                <w:noProof/>
                <w:sz w:val="18"/>
                <w:szCs w:val="18"/>
              </w:rPr>
              <w:t>- 3.3. Terveydenhuollon häiriönsietokyvyn, saatavuuden ja kestävyyden parantaminen – 16820_Uudistus mielenterveyden ja riippuvuuksien alalla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Mielenterveys – 106 yksikköä avoinna – vaihe 2/2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sietokyvyn, saatavuuden ja</w:t>
            </w:r>
            <w:r>
              <w:rPr>
                <w:rFonts w:ascii="Times New Roman" w:hAnsi="Times New Roman"/>
                <w:noProof/>
                <w:sz w:val="18"/>
                <w:szCs w:val="18"/>
              </w:rPr>
              <w:t xml:space="preserve"> kantokyvyn parantaminen – 16752_Terveysalan digitalisaatio (DigHealth)</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Terveydenhuollon digitalisaatio – Kansalliset digitaaliset terveystiedot (alahanke 1)</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sosiaalipolitiikan saatavuuden parantaminen –</w:t>
            </w:r>
            <w:r>
              <w:rPr>
                <w:rFonts w:ascii="Times New Roman" w:hAnsi="Times New Roman"/>
                <w:noProof/>
                <w:sz w:val="18"/>
                <w:szCs w:val="18"/>
              </w:rPr>
              <w:t xml:space="preserve"> 16726 Sosiaalietuuksien optimointi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Sosiaalietuudet Ennakkomaksukorttien optimointi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sosiaalipolitiikan saatavuuden parantaminen – 16904_Vammaisuus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Henkilökohtaisen avun vammaisarvioinnin </w:t>
            </w:r>
            <w:r>
              <w:rPr>
                <w:rFonts w:ascii="Times New Roman" w:hAnsi="Times New Roman"/>
                <w:noProof/>
                <w:sz w:val="18"/>
                <w:szCs w:val="18"/>
              </w:rPr>
              <w:t>toisen vaiheen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sosiaalipolitiikan saatavuuden parantaminen – 16919_Lapsisuojelu</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Alaikäisen laitoshoidon purkaminen: vammaisuuteen erikoistuneiden ammattimainen hoitajien valmistuminen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sosiaalipolitiikan saatavuuden parantaminen – 16919_Lapsisuojelu</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Itsenäiset asuinhuoneistot nuorten laitoshoidon purkamiseksi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Parannetaan tehokkaan ja osallistavan sosiaalipolitiikan saatavuut</w:t>
            </w:r>
            <w:r>
              <w:rPr>
                <w:rFonts w:ascii="Times New Roman" w:hAnsi="Times New Roman"/>
                <w:noProof/>
                <w:sz w:val="18"/>
                <w:szCs w:val="18"/>
              </w:rPr>
              <w:t>ta – 16925_Sosiaalitukijärjestelmän digitaalisaatio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Vammaiskorttien hallintoviranomaisen toteuttaminen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Parannetaan mahdollisuuksia tehokkaaseen ja osallistavaan sosiaalipolitiikkaan – 16685_moninaisuutta koskeva tietoisuus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Monimuotoisuuden tiedostamista koskevan koulutuksen esimiesten koulutus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Veroista kasvua edistävä ja verohallinnon ja veronkannon parantaminen – 16610_ALV-palautusten 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Täysin automatisoidut alv-palautukset – tietotekn</w:t>
            </w:r>
            <w:r>
              <w:rPr>
                <w:rFonts w:ascii="Times New Roman" w:hAnsi="Times New Roman"/>
                <w:noProof/>
                <w:sz w:val="18"/>
                <w:szCs w:val="18"/>
              </w:rPr>
              <w:t>iikkajärjestelmän käyttöönotto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Julkishallinnon nykyaikaistaminen muun muassa nopeuttamalla julkisten investointien toteuttamista, parantamalla julkisten hankintojen kehystä, toteuttamalla valmiuksien kehittämistoimia ja torjumalla </w:t>
            </w:r>
            <w:r>
              <w:rPr>
                <w:rFonts w:ascii="Times New Roman" w:hAnsi="Times New Roman"/>
                <w:noProof/>
                <w:sz w:val="18"/>
                <w:szCs w:val="18"/>
              </w:rPr>
              <w:t>korruptiota – 16972_Julkisen hallinnon uudistaminen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Julkishallinto – uusi palkitsemisjärjestelmä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Oikeusjärjestelmän tehostaminen – 16575 oikeudenkäytön 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Tuomioistuimen kartan tarkistaminen – primaarilains</w:t>
            </w:r>
            <w:r>
              <w:rPr>
                <w:rFonts w:ascii="Times New Roman" w:hAnsi="Times New Roman"/>
                <w:noProof/>
                <w:sz w:val="18"/>
                <w:szCs w:val="18"/>
              </w:rPr>
              <w:t>äädäntö – Siviili- ja rikosasiat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Oikeuslaitoksen tehokkuuden parantaminen – 16292_Uudet oikeuslaitoksen rakennukset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Oikeudellisten rakennusten rakentaminen ja kunnostaminen – tarjouskilpailujen käynnistäminen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14 - 4.3. </w:t>
            </w:r>
            <w:r>
              <w:rPr>
                <w:rFonts w:ascii="Times New Roman" w:hAnsi="Times New Roman"/>
                <w:noProof/>
                <w:sz w:val="18"/>
                <w:szCs w:val="18"/>
              </w:rPr>
              <w:t>Oikeusjärjestelmän tehostaminen – 16575 oikeudenkäytön 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Oikeuspoliisin toimintakyky</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16628_Keski-Kreikan valtatie E-65: Trikala–Egnatia-</w:t>
            </w:r>
            <w:r>
              <w:rPr>
                <w:rFonts w:ascii="Times New Roman" w:hAnsi="Times New Roman"/>
                <w:noProof/>
                <w:sz w:val="18"/>
                <w:szCs w:val="18"/>
              </w:rPr>
              <w:t>osuus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E-65-rakennustyöt – rakentamisen ensimmäinen vaihe</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16982_Rautatiealan organisaatiouudistus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Rautatieuudistuksen täytäntöönpano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16486_Vedenalaisten antiikkiesineiden museo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Vedenalaisten antiikkiesineiden museon hankintasopimus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w:t>
            </w:r>
            <w:r>
              <w:rPr>
                <w:rFonts w:ascii="Times New Roman" w:hAnsi="Times New Roman"/>
                <w:noProof/>
                <w:sz w:val="18"/>
                <w:szCs w:val="18"/>
              </w:rPr>
              <w:t>aminen ja niiden häiriönsietokyvyn parantaminen – 16293_Kulttuuri kasvun vauhdittajana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Kreikan nykykulttuuribrändi ja -alusta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niiden häiriönsietokyvyn parantaminen – 16723_Luovien </w:t>
            </w:r>
            <w:r>
              <w:rPr>
                <w:rFonts w:ascii="Times New Roman" w:hAnsi="Times New Roman"/>
                <w:noProof/>
                <w:sz w:val="18"/>
                <w:szCs w:val="18"/>
              </w:rPr>
              <w:t>alojen ja kulttuurialan ammattilaisten taitojen kehittäminen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Luovien alojen ja kulttuurialan ammattilaisten taitojen kehittäminen (keskipitkä aikaväli)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häiriönsietokyvyn parantaminen – </w:t>
            </w:r>
            <w:r>
              <w:rPr>
                <w:rFonts w:ascii="Times New Roman" w:hAnsi="Times New Roman"/>
                <w:noProof/>
                <w:sz w:val="18"/>
                <w:szCs w:val="18"/>
              </w:rPr>
              <w:t>16931_Matkailun kehittäminen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Matkailun kehittäminen: matkailusatamien hankintasopimukset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16593_Strategisten investointien houkuttelemista koskevan o</w:t>
            </w:r>
            <w:r>
              <w:rPr>
                <w:rFonts w:ascii="Times New Roman" w:hAnsi="Times New Roman"/>
                <w:noProof/>
                <w:sz w:val="18"/>
                <w:szCs w:val="18"/>
              </w:rPr>
              <w:t>ikeudellisen kehyksen muuttaminen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Strategiset investoinnit – tukikelpoisten hankkeiden valinta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16592_kaupan helpottaminen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Kauppaa </w:t>
            </w:r>
            <w:r>
              <w:rPr>
                <w:rFonts w:ascii="Times New Roman" w:hAnsi="Times New Roman"/>
                <w:noProof/>
                <w:sz w:val="18"/>
                <w:szCs w:val="18"/>
              </w:rPr>
              <w:t>helpottavien toimien toteuttaminen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Resurssien kestävä käyttö, ilmastokestävyys ja ympäristönsuojelu – 16285_Investoinnit kansalliseen kasteluverkostoon julkisen ja yksityisen sektorin kumppanuusjärjestelyjen avulla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00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Kasteluhankkeit</w:t>
            </w:r>
            <w:r>
              <w:rPr>
                <w:rFonts w:ascii="Times New Roman" w:hAnsi="Times New Roman"/>
                <w:noProof/>
                <w:sz w:val="18"/>
                <w:szCs w:val="18"/>
              </w:rPr>
              <w:t>a koskevat sopimukset</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2003"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euroa</w:t>
            </w:r>
          </w:p>
        </w:tc>
      </w:tr>
    </w:tbl>
    <w:p w:rsidR="00B0093E" w:rsidRDefault="00B0093E">
      <w:pPr>
        <w:keepNext/>
        <w:spacing w:before="40" w:line="259" w:lineRule="auto"/>
        <w:jc w:val="both"/>
        <w:rPr>
          <w:rFonts w:eastAsia="Times New Roman"/>
          <w:i/>
          <w:noProof/>
          <w:color w:val="4F81BD"/>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Kuudes maksupyyntö (tuki, jota ei makseta takaisin): </w:t>
      </w:r>
    </w:p>
    <w:tbl>
      <w:tblPr>
        <w:tblW w:w="9535" w:type="dxa"/>
        <w:tblInd w:w="113" w:type="dxa"/>
        <w:tblLook w:val="04A0" w:firstRow="1" w:lastRow="0" w:firstColumn="1" w:lastColumn="0" w:noHBand="0" w:noVBand="1"/>
      </w:tblPr>
      <w:tblGrid>
        <w:gridCol w:w="1804"/>
        <w:gridCol w:w="4283"/>
        <w:gridCol w:w="1692"/>
        <w:gridCol w:w="200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7</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Energiantuotannon tehostaminen – 16865_ Uusiutuvien </w:t>
            </w:r>
            <w:r>
              <w:rPr>
                <w:rFonts w:ascii="Times New Roman" w:hAnsi="Times New Roman"/>
                <w:noProof/>
                <w:sz w:val="18"/>
                <w:szCs w:val="18"/>
              </w:rPr>
              <w:t>energialähteiden yhteistuotantotilin tulojen uudelleenjärjestely ja parantaminen</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Tavoite</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Uusiutuvien energialähteiden tili – kapasiteetin lisäystavoite 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16932_Ateenan olympialaisten urheilukeskus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OAKA – töiden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Lataaminen ja tankkaus – 16831_Produc- E Green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Hiilidioksidin talteenotto ja varastointi (CCS) – varastointilupa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16853 keskitetyn pilvipalveluinfrastruktuurin ja -palvelujen tarjonta)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Pi</w:t>
            </w:r>
            <w:r>
              <w:rPr>
                <w:rFonts w:ascii="Times New Roman" w:hAnsi="Times New Roman"/>
                <w:noProof/>
                <w:sz w:val="18"/>
                <w:szCs w:val="18"/>
              </w:rPr>
              <w:t>lvipalvelujen keskitetyn infrastruktuurin ja palvelujen valmiiksi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8 - 3.1. Työpaikkojen luomisen ja työmarkkinoille osallistumisen edistäminen – 16750_Työjärjestelmien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ATLAS-eläkejärjestelmän valmistuminen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häiriönsietokyvyn, saatavuuden ja kestävyyden parantaminen – 16816_Terveydenhuoltoalan uudistukset ja siihen kohdistettavien investointien vauhdittaminen – Sairaanhoitomenojen vähentäminen ja järkeistäminen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Takaisinperint</w:t>
            </w:r>
            <w:r>
              <w:rPr>
                <w:rFonts w:ascii="Times New Roman" w:hAnsi="Times New Roman"/>
                <w:noProof/>
                <w:sz w:val="18"/>
                <w:szCs w:val="18"/>
              </w:rPr>
              <w:t>ä vähentyi 150 000 000 – vaihe 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häiriönsietokyvyn, saatavuuden ja kestävyyden parantaminen – 16816_Terveydenhuoltoalan uudistukset ja siihen kohdistettavien investointien vauhdittaminen – Sairaanhoitomenojen vähentäminen ja</w:t>
            </w:r>
            <w:r>
              <w:rPr>
                <w:rFonts w:ascii="Times New Roman" w:hAnsi="Times New Roman"/>
                <w:noProof/>
                <w:sz w:val="18"/>
                <w:szCs w:val="18"/>
              </w:rPr>
              <w:t xml:space="preserve"> järkeistäminen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Lääketieteellinen tutkimus ja kehitys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sietokyvyn, saatavuuden ja kantokyvyn parantaminen – 16752_Terveysalan digitalisaatio (DigHealth)</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Digitalisaatio – digitaalinen syöpäohjelma – </w:t>
            </w:r>
            <w:r>
              <w:rPr>
                <w:rFonts w:ascii="Times New Roman" w:hAnsi="Times New Roman"/>
                <w:noProof/>
                <w:sz w:val="18"/>
                <w:szCs w:val="18"/>
              </w:rPr>
              <w:t>alahanke 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Veroista tehdään kasvua edistäviä ja verohallintoa ja veronkantoa parannetaan – 16614_Sähköiset rekisteröivät kassakoneet ja kauppapaikat (uudistus)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Riippumaton julkisten tulojen virasto: Sähköiset rekisteröivät kassakonee</w:t>
            </w:r>
            <w:r>
              <w:rPr>
                <w:rFonts w:ascii="Times New Roman" w:hAnsi="Times New Roman"/>
                <w:noProof/>
                <w:sz w:val="18"/>
                <w:szCs w:val="18"/>
              </w:rPr>
              <w:t xml:space="preserve">t ja kauppapaikat – käyttöönotto ja yhteenliittäminen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Veroista kasvua edistävä ja verohallinnon ja veronkannon parantaminen – 16643_Verolainsäädännön kodifiointi ja yksinkertaistaminen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Ensimmäisen verokoodeksin ja veronmaksajien</w:t>
            </w:r>
            <w:r>
              <w:rPr>
                <w:rFonts w:ascii="Times New Roman" w:hAnsi="Times New Roman"/>
                <w:noProof/>
                <w:sz w:val="18"/>
                <w:szCs w:val="18"/>
              </w:rPr>
              <w:t xml:space="preserve"> tietojärjestelmän valmiiksi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Nykyaikaistetaan julkishallintoa muun muassa nopeuttamalla julkisten investointien toteuttamista, parantamalla julkisia hankintoja koskevia puitteita, toteuttamalla valmiuksien kehittämistoimia ja </w:t>
            </w:r>
            <w:r>
              <w:rPr>
                <w:rFonts w:ascii="Times New Roman" w:hAnsi="Times New Roman"/>
                <w:noProof/>
                <w:sz w:val="18"/>
                <w:szCs w:val="18"/>
              </w:rPr>
              <w:t>torjumalla korruptiota – 16711_Julkisten hankintojen alan ammattimaistaminen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Julkisten hankintojen alan ammattimaistaminen – uusi lainsäädäntö</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16631</w:t>
            </w:r>
            <w:r>
              <w:rPr>
                <w:rFonts w:ascii="Times New Roman" w:hAnsi="Times New Roman"/>
                <w:noProof/>
                <w:sz w:val="18"/>
                <w:szCs w:val="18"/>
              </w:rPr>
              <w:t>_Tieturvallisuuden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Liikenneturvallisuutta koskevan sopimuksen tekeminen – kaikki sopimukset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häiriönsietokyvyn parantaminen – 16599_talousdiplomatian verkoston </w:t>
            </w:r>
            <w:r>
              <w:rPr>
                <w:rFonts w:ascii="Times New Roman" w:hAnsi="Times New Roman"/>
                <w:noProof/>
                <w:sz w:val="18"/>
                <w:szCs w:val="18"/>
              </w:rPr>
              <w:t>digitalisointi ja viejille suunnattu koulutusohjelma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Talousdiplomatian verkoston digitalisaatio – kaikkien toimien toteuttaminen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18 - 4.7. Kilpailukyvyn parantaminen ja yksityisten investointien ja viennin edistäminen – 16591_Ease of busin</w:t>
            </w:r>
            <w:r>
              <w:rPr>
                <w:rFonts w:ascii="Times New Roman" w:hAnsi="Times New Roman"/>
                <w:noProof/>
                <w:sz w:val="18"/>
                <w:szCs w:val="18"/>
              </w:rPr>
              <w:t>ess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Liiketoimintaympäristön parantaminen – liiketoiminnan helpottaminen</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euroa</w:t>
            </w:r>
          </w:p>
        </w:tc>
      </w:tr>
    </w:tbl>
    <w:p w:rsidR="00B0093E" w:rsidRDefault="00B0093E">
      <w:pPr>
        <w:keepNext/>
        <w:spacing w:before="40" w:line="259" w:lineRule="auto"/>
        <w:jc w:val="both"/>
        <w:rPr>
          <w:rFonts w:eastAsia="Times New Roman"/>
          <w:i/>
          <w:noProof/>
          <w:color w:val="4F81BD"/>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Seitsemäs maksupyyntö (tuki, jota ei makseta takaisin): </w:t>
      </w:r>
    </w:p>
    <w:tbl>
      <w:tblPr>
        <w:tblW w:w="9535" w:type="dxa"/>
        <w:tblInd w:w="113" w:type="dxa"/>
        <w:tblLook w:val="04A0" w:firstRow="1" w:lastRow="0" w:firstColumn="1" w:lastColumn="0" w:noHBand="0" w:noVBand="1"/>
      </w:tblPr>
      <w:tblGrid>
        <w:gridCol w:w="1804"/>
        <w:gridCol w:w="4283"/>
        <w:gridCol w:w="1692"/>
        <w:gridCol w:w="220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179</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sosiaalipolitiikan saatavuuden parantaminen – 16904_Vammaisuus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Vammaisuusjärjestelmän käyttöönotto kansallisella tasolla.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16872_Asuinrakennusten energiaperuskorjaus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Asuinrakennusten kunnostaminen – asuntojen kunnostaminen #2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Lataus ja tankkaus – 16924_ Sähköinen liikkuvuus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Linja-autot ja taksit – vaihto sähköllä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Luonnonvarojen kestävä käyttö, ilmastokestävyys ja ympäristönsuojelu – </w:t>
            </w:r>
            <w:r>
              <w:rPr>
                <w:rFonts w:ascii="Times New Roman" w:hAnsi="Times New Roman"/>
                <w:noProof/>
                <w:sz w:val="18"/>
                <w:szCs w:val="18"/>
              </w:rPr>
              <w:t>16882_Tulvien lieventämistä koskevat hankkeet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Tulvantorjuntatöiden loppuun saattaminen 60-prosenttisesti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16898_Vesihuoltohankkeet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60 prosenttia </w:t>
            </w:r>
            <w:r>
              <w:rPr>
                <w:rFonts w:ascii="Times New Roman" w:hAnsi="Times New Roman"/>
                <w:noProof/>
                <w:sz w:val="18"/>
                <w:szCs w:val="18"/>
              </w:rPr>
              <w:t>vesihuoltohankkeista on saatettu päätökseen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16850_Juomavesihuolto- ja juomavedensäästöinfrastruktuurit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Vettä säästävien toimien ja vesihuollon loppuun saattamin</w:t>
            </w:r>
            <w:r>
              <w:rPr>
                <w:rFonts w:ascii="Times New Roman" w:hAnsi="Times New Roman"/>
                <w:noProof/>
                <w:sz w:val="18"/>
                <w:szCs w:val="18"/>
              </w:rPr>
              <w:t>en 50 prosentin osalta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16846_Uudet infrastruktuurit yhdyskuntajätevesien ja jätevesien käsittelyssä syntyvän lietteen käsittelemiseksi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Puolet </w:t>
            </w:r>
            <w:r>
              <w:rPr>
                <w:rFonts w:ascii="Times New Roman" w:hAnsi="Times New Roman"/>
                <w:noProof/>
                <w:sz w:val="18"/>
                <w:szCs w:val="18"/>
              </w:rPr>
              <w:t>jätevedenkäsittelytöistä on saatu päätökseen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Resurssien kestävä käyttö, ilmastokestävyys ja ympäristönsuojelu – 16283_Alueellisten pelastuspalvelukeskusten (PEKEPP) täytäntöönpano julkisen ja yksityisen sektorin kumppanuusjärjestelmien avulla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13 rakennuksen valmistuminen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16782_Kansallisten julkisten organisaatioiden välisessä tietojenvaihdossa käytettävien rekisterien, järjestelmien ja palvelujen yhteenliittäminen ja yhteentoimivuus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Rekisteri</w:t>
            </w:r>
            <w:r>
              <w:rPr>
                <w:rFonts w:ascii="Times New Roman" w:hAnsi="Times New Roman"/>
                <w:noProof/>
                <w:sz w:val="18"/>
                <w:szCs w:val="18"/>
              </w:rPr>
              <w:t>en yhteenliittämisen ja yhteentoimivuuden sääntelyperusta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16779_Yhteentoimivuus ja verkkopalvelujen kehittäminen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Yhteentoimivuutta ja verkkopalvelujen kehittämistä koskevan hankkeen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w:t>
            </w:r>
            <w:r>
              <w:rPr>
                <w:rFonts w:ascii="Times New Roman" w:hAnsi="Times New Roman"/>
                <w:noProof/>
                <w:sz w:val="18"/>
                <w:szCs w:val="18"/>
              </w:rPr>
              <w:t>- 2.2. Nykyaikaistaminen – 16810_CRM julkisyhteisöjen osalta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Julkisyhteisöjä koskevan CRM-hankkeen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16780_Julkishallinnon keskitettyjen palvelupisteiden nykyaikaistaminen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Keskitettyjen palvelupisteiden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16965_Tietojen luokitusta koskevat tutkimukset julkisen sektorin tietojärjestelmiä varten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Tietojen luokitusta koskevien tutkimusten hankkeen loppuun saattamine</w:t>
            </w:r>
            <w:r>
              <w:rPr>
                <w:rFonts w:ascii="Times New Roman" w:hAnsi="Times New Roman"/>
                <w:noProof/>
                <w:sz w:val="18"/>
                <w:szCs w:val="18"/>
              </w:rPr>
              <w:t>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16823_Kyberturvallisuusstrategia ja -toimet julkiselle sektorille sekä edistyneet turvallisuuspalvelut kansallisille elintärkeille infrastruktuureille</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Kyberturvallisuusstrategian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8 - </w:t>
            </w:r>
            <w:r>
              <w:rPr>
                <w:rFonts w:ascii="Times New Roman" w:hAnsi="Times New Roman"/>
                <w:noProof/>
                <w:sz w:val="18"/>
                <w:szCs w:val="18"/>
              </w:rPr>
              <w:t>3.1. Työpaikkojen luomisen ja työmarkkinoille osallistumisen edistäminen – 16750_Työjärjestelmien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Yhtenäistä tietotekniikkajärjestelmää ARIADNEA koskevan sekundäärilainsäädännön voimaantulo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Yleissivistävä ja ammatil</w:t>
            </w:r>
            <w:r>
              <w:rPr>
                <w:rFonts w:ascii="Times New Roman" w:hAnsi="Times New Roman"/>
                <w:noProof/>
                <w:sz w:val="18"/>
                <w:szCs w:val="18"/>
              </w:rPr>
              <w:t>linen koulutus sekä osaaminen – 16676_koulutuksen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Interaktiivisten järjestelmien asentaminen päätökseen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sosiaalipolitiikan saatavuuden parantaminen – 16919_Lapsisuojelu</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Lastenhoitokeskusten henkilöstön valmistuminen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Parannetaan tehokkaan ja osallistavan sosiaalipolitiikan saatavuutta – 16945_Lastenhoitoyksiköiden perustaminen suurissa yrityksissä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Lastenhoitoyksiköt suuryritykset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11-3.4. </w:t>
            </w:r>
            <w:r>
              <w:rPr>
                <w:rFonts w:ascii="Times New Roman" w:hAnsi="Times New Roman"/>
                <w:noProof/>
                <w:sz w:val="18"/>
                <w:szCs w:val="18"/>
              </w:rPr>
              <w:t>Parannetaan tehokkaan ja osallistavan sosiaalipolitiikan saatavuutta – 16763_Sosiaalitukijärjestelmän digitaalinen muutos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Digitalisoidun muuttoliike- ja turvapaikkajärjestelmän valmiiksi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w:t>
            </w:r>
            <w:r>
              <w:rPr>
                <w:rFonts w:ascii="Times New Roman" w:hAnsi="Times New Roman"/>
                <w:noProof/>
                <w:sz w:val="18"/>
                <w:szCs w:val="18"/>
              </w:rPr>
              <w:t>aalipolitiikan saatavuuden parantaminen – 16922_Sosiaalinen integraatio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Sosiaalisten asuntojen kunnostustöiden valmistuminen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Oikeusjärjestelmän tehostaminen – 16733_Tuomareiden ja oikeuslaitoksen työntekijöiden (oikeushenkilökunnan)</w:t>
            </w:r>
            <w:r>
              <w:rPr>
                <w:rFonts w:ascii="Times New Roman" w:hAnsi="Times New Roman"/>
                <w:noProof/>
                <w:sz w:val="18"/>
                <w:szCs w:val="18"/>
              </w:rPr>
              <w:t xml:space="preserve"> taidot ja digitaaliset taidot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Koulutus – tuomarit ja virkailijat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Oikeusjärjestelmän tehostaminen – 16575 oikeudenkäytön 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Oikeusalan kartan tarkistaminen – edistyminen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15 - 4.4. Vahvistetaan </w:t>
            </w:r>
            <w:r>
              <w:rPr>
                <w:rFonts w:ascii="Times New Roman" w:hAnsi="Times New Roman"/>
                <w:noProof/>
                <w:sz w:val="18"/>
                <w:szCs w:val="18"/>
              </w:rPr>
              <w:t>rahoitusalaa ja pääomamarkkinoita – 16580_Velan uudelleenjärjestelyä ja toista mahdollisuutta koskevan uuden yhtenäisen maksukyvyttömyyskehyksen täytäntöönpano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Valvonta, valvontaprosessien digitalisointi, pääomamarkkinaunioni, pääomamarkkinat, </w:t>
            </w:r>
            <w:r>
              <w:rPr>
                <w:rFonts w:ascii="Times New Roman" w:hAnsi="Times New Roman"/>
                <w:noProof/>
                <w:sz w:val="18"/>
                <w:szCs w:val="18"/>
              </w:rPr>
              <w:t>ennaltaehkäisevä velkojen uudelleenjärjestely</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15 - 4.4. Rahoitusalan ja pääomamarkkinoiden lujittaminen – 16576_Uusi lainojen edistäminen – Luotollisten luottojen leviämisen seurantakeskuksen perustaminen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Pääomamarkkinat, valvonta, valvont</w:t>
            </w:r>
            <w:r>
              <w:rPr>
                <w:rFonts w:ascii="Times New Roman" w:hAnsi="Times New Roman"/>
                <w:noProof/>
                <w:sz w:val="18"/>
                <w:szCs w:val="18"/>
              </w:rPr>
              <w:t>aprosessien digitalisointi, pääomamarkkinaunioni</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euroa</w:t>
            </w:r>
          </w:p>
        </w:tc>
      </w:tr>
    </w:tbl>
    <w:p w:rsidR="00B0093E" w:rsidRDefault="00B0093E">
      <w:pPr>
        <w:keepNext/>
        <w:spacing w:before="40" w:line="259" w:lineRule="auto"/>
        <w:jc w:val="both"/>
        <w:rPr>
          <w:rFonts w:eastAsia="Times New Roman"/>
          <w:i/>
          <w:noProof/>
          <w:color w:val="4F81BD"/>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Kahdeksas maksupyyntö (tuki, jota ei makseta takaisin): </w:t>
      </w:r>
    </w:p>
    <w:tbl>
      <w:tblPr>
        <w:tblW w:w="9535" w:type="dxa"/>
        <w:tblInd w:w="113" w:type="dxa"/>
        <w:tblLook w:val="04A0" w:firstRow="1" w:lastRow="0" w:firstColumn="1" w:lastColumn="0" w:noHBand="0" w:noVBand="1"/>
      </w:tblPr>
      <w:tblGrid>
        <w:gridCol w:w="1804"/>
        <w:gridCol w:w="4283"/>
        <w:gridCol w:w="1692"/>
        <w:gridCol w:w="223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Energiantuotannon </w:t>
            </w:r>
            <w:r>
              <w:rPr>
                <w:rFonts w:ascii="Times New Roman" w:hAnsi="Times New Roman"/>
                <w:noProof/>
                <w:sz w:val="18"/>
                <w:szCs w:val="18"/>
              </w:rPr>
              <w:t>tehostaminen – 16870_Toimenpiteet saarten sähköverkkojen yhteenliittämiseksi ja sähköverkon parantamiseksi</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Saarten yhteenliittäminen – töiden edistyminen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Energiantuotannon tehostaminen – 16865_ Uusiutuvien energialähteiden </w:t>
            </w:r>
            <w:r>
              <w:rPr>
                <w:rFonts w:ascii="Times New Roman" w:hAnsi="Times New Roman"/>
                <w:noProof/>
                <w:sz w:val="18"/>
                <w:szCs w:val="18"/>
              </w:rPr>
              <w:t>yhteistuotantotilin tulojen uudelleenjärjestely ja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Uusiutuvien energialähteiden tili – kapasiteetin lisäystavoite 3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62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Luonnonvarojen kestävä käyttö, ilmastokestävyys ja ympäristönsuojelu – 16849_Kansallinen </w:t>
            </w:r>
            <w:r>
              <w:rPr>
                <w:rFonts w:ascii="Times New Roman" w:hAnsi="Times New Roman"/>
                <w:noProof/>
                <w:sz w:val="18"/>
                <w:szCs w:val="18"/>
              </w:rPr>
              <w:t>uudelleenmetsityssuunnitelma ja Parnitha-lippulaivainvestointi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Uudelleenmetsittäminen – alahankkeen 2 loppuun saattaminen (Parnitha-vuori)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16738_Asiakirjojen hallintaa koskeva keskusjärjestelmä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Asiakirjojen hallinnan keskusjärjestelmää koskevan hankkeen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16742_Ulkoministeriön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Ulkoministeriön digitalisaation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Nykyaikaistaminen – </w:t>
            </w:r>
            <w:r>
              <w:rPr>
                <w:rFonts w:ascii="Times New Roman" w:hAnsi="Times New Roman"/>
                <w:noProof/>
                <w:sz w:val="18"/>
                <w:szCs w:val="18"/>
              </w:rPr>
              <w:t>16791_Kreikan valtion matkailutoimiston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Kreikan valtion matkailutoimiston digitalisoinnin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16964_Seuraavan sukupolven yhteentoimivuuskeskus (KED)</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Seuraavan </w:t>
            </w:r>
            <w:r>
              <w:rPr>
                <w:rFonts w:ascii="Times New Roman" w:hAnsi="Times New Roman"/>
                <w:noProof/>
                <w:sz w:val="18"/>
                <w:szCs w:val="18"/>
              </w:rPr>
              <w:t>sukupolven yhteentoimivuuskeskuksen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16785_Matkailurekisteri e-MHTE</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Digitaalisen matkailurekisterin valmiiksi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16826_digitaalisen osaamisen kehit</w:t>
            </w:r>
            <w:r>
              <w:rPr>
                <w:rFonts w:ascii="Times New Roman" w:hAnsi="Times New Roman"/>
                <w:noProof/>
                <w:sz w:val="18"/>
                <w:szCs w:val="18"/>
              </w:rPr>
              <w:t>tämisohjelmat asevelvollisille</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Koulutettujen varusmiesten lukumäärä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7 - 2.3. Yritysten digitalisointi – 16706_pk-yritysten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Pk-yritysten digitalisaatio – tuotteiden ja palvelujen toimittaminen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7 - 2.3. Yritysten</w:t>
            </w:r>
            <w:r>
              <w:rPr>
                <w:rFonts w:ascii="Times New Roman" w:hAnsi="Times New Roman"/>
                <w:noProof/>
                <w:sz w:val="18"/>
                <w:szCs w:val="18"/>
              </w:rPr>
              <w:t xml:space="preserve"> digitalisaatio – 16973_Digitaalisen liiketoimintaekosysteemin perustaminen ja verokannustimien käyttöönotto pk-yritysten digitalisaation helpottamiseksi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Pk-yritysten lainsäädäntöuudistuksen digitalisaatio teknologian käyttöönoton edistämiseks</w:t>
            </w:r>
            <w:r>
              <w:rPr>
                <w:rFonts w:ascii="Times New Roman" w:hAnsi="Times New Roman"/>
                <w:noProof/>
                <w:sz w:val="18"/>
                <w:szCs w:val="18"/>
              </w:rPr>
              <w:t>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häiriönsietokyvyn, saatavuuden ja kestävyyden parantaminen – 16816_Terveydenhuoltoalan uudistukset ja siihen kohdistettavien investointien vauhdittaminen – Sairaanhoitomenojen vähentäminen ja järkeistäminen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Takaisinperintä väheni 300 000 000 – vaihe 3</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selviytymiskyvyn, saatavuuden ja kestävyyden parantaminen – 16756_ terveydenhuoltojärjestelmän organisaatiouudistus (KETEKNY, ODIPY)</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Terveydenhuoltojärjestelmä – </w:t>
            </w:r>
            <w:r>
              <w:rPr>
                <w:rFonts w:ascii="Times New Roman" w:hAnsi="Times New Roman"/>
                <w:noProof/>
                <w:sz w:val="18"/>
                <w:szCs w:val="18"/>
              </w:rPr>
              <w:t>Kreikan DRG-instituutti KETEKNY ja uusi terveydenhuollon laadunvarmistusvirasto ODIPY (pl. koulutus)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selviytymiskyvyn, saatavuuden ja kestävyyden parantaminen – 16756_ terveydenhuoltojärjestelmän organisaatiouudistukset (KET</w:t>
            </w:r>
            <w:r>
              <w:rPr>
                <w:rFonts w:ascii="Times New Roman" w:hAnsi="Times New Roman"/>
                <w:noProof/>
                <w:sz w:val="18"/>
                <w:szCs w:val="18"/>
              </w:rPr>
              <w:t>EKNY, ODIPY)</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Terveydenhuoltojärjestelmä – KETEKNY ODIPY koulutus loppuun saatettu</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kantokyvyn, saatavuuden ja kestävyyden parantaminen – 16753_Kotisairaanhoidon ja -sairaalan perustaminen kotijärjestelmään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Kotihoito – yksiköiden avaaminen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Nykyaikaistetaan julkishallintoa muun muassa nopeuttamalla julkisten investointien toteuttamista, parantamalla julkisten hankintojen kehystä, toteuttamalla valmiuksien kehittämistoimia ja torjumalla korrupti</w:t>
            </w:r>
            <w:r>
              <w:rPr>
                <w:rFonts w:ascii="Times New Roman" w:hAnsi="Times New Roman"/>
                <w:noProof/>
                <w:sz w:val="18"/>
                <w:szCs w:val="18"/>
              </w:rPr>
              <w:t>ota – 16703_Laittoman kaupan torjunta ja teollis- ja tekijänoikeuksien suojelu</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Laittoman kaupan torjunta – tietojärjestelmät ja valvonta-asemat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Julkishallinnon nykyaikaistaminen muun muassa nopeuttamalla julkisten investointien t</w:t>
            </w:r>
            <w:r>
              <w:rPr>
                <w:rFonts w:ascii="Times New Roman" w:hAnsi="Times New Roman"/>
                <w:noProof/>
                <w:sz w:val="18"/>
                <w:szCs w:val="18"/>
              </w:rPr>
              <w:t>oteuttamista, parantamalla julkisten hankintojen kehystä, toteuttamalla valmiuksien kehittämistoimia ja torjumalla korruptiota – 16940_Kreikan talletus- ja lainarahaston nykyaikaistaminen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Kreikan talletus- ja lainarahastoa koskevien kaikkien a</w:t>
            </w:r>
            <w:r>
              <w:rPr>
                <w:rFonts w:ascii="Times New Roman" w:hAnsi="Times New Roman"/>
                <w:noProof/>
                <w:sz w:val="18"/>
                <w:szCs w:val="18"/>
              </w:rPr>
              <w:t>lahankkeiden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17 - 4.6. Keskeisten talouden alojen nykyaikaistaminen ja häiriönsietokyvyn parantaminen – 16628_Keski-Kreikan valtatie E-65: Trikala–Egnatia-osuus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E-65-työt – viimeistely</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w:t>
            </w:r>
            <w:r>
              <w:rPr>
                <w:rFonts w:ascii="Times New Roman" w:hAnsi="Times New Roman"/>
                <w:noProof/>
                <w:sz w:val="18"/>
                <w:szCs w:val="18"/>
              </w:rPr>
              <w:t>talouden alojen nykyaikaistaminen ja häiriönsietokyvyn parantaminen – 16630_Kreetan pohjoinen valtatie (Β.Ο.Α.Κ.)</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BOAKin rakennustöiden edistyminen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1683</w:t>
            </w:r>
            <w:r>
              <w:rPr>
                <w:rFonts w:ascii="Times New Roman" w:hAnsi="Times New Roman"/>
                <w:noProof/>
                <w:sz w:val="18"/>
                <w:szCs w:val="18"/>
              </w:rPr>
              <w:t>3 EASAn vaatimustenmukaisuutta korjaavien toimien täytäntöönpano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EASAn töiden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häiriönsietokyvyn parantaminen – 16944_Kreikan matkustajalaivaston uudistamista </w:t>
            </w:r>
            <w:r>
              <w:rPr>
                <w:rFonts w:ascii="Times New Roman" w:hAnsi="Times New Roman"/>
                <w:noProof/>
                <w:sz w:val="18"/>
                <w:szCs w:val="18"/>
              </w:rPr>
              <w:t>koskeva yleissuunnitelma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Kreikan matkustajaliikenteen yleissuunnitelma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niiden häiriönsietokyvyn parantaminen – 16921_Uudelleen- ja täydennyskoulutus matkailualalla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Matkailualan uudelleenkoulutus ja täydennyskoulutus (täydentäminen)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17 - 4.6. Keskeisten talouden alojen nykyaikaistaminen ja häiriönsietokyvyn parantaminen – 16653_Maatalouselintarvikealan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Maatalouden digitalisaatiota </w:t>
            </w:r>
            <w:r>
              <w:rPr>
                <w:rFonts w:ascii="Times New Roman" w:hAnsi="Times New Roman"/>
                <w:noProof/>
                <w:sz w:val="18"/>
                <w:szCs w:val="18"/>
              </w:rPr>
              <w:t>koskevan hankkeen loppuun saattaminen</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euroa</w:t>
            </w:r>
          </w:p>
        </w:tc>
      </w:tr>
    </w:tbl>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Yhdeksäs maksupyyntö (tuki, jota ei makseta takaisin): </w:t>
      </w:r>
    </w:p>
    <w:tbl>
      <w:tblPr>
        <w:tblW w:w="9886" w:type="dxa"/>
        <w:tblInd w:w="113" w:type="dxa"/>
        <w:tblLook w:val="04A0" w:firstRow="1" w:lastRow="0" w:firstColumn="1" w:lastColumn="0" w:noHBand="0" w:noVBand="1"/>
      </w:tblPr>
      <w:tblGrid>
        <w:gridCol w:w="1804"/>
        <w:gridCol w:w="4283"/>
        <w:gridCol w:w="1692"/>
        <w:gridCol w:w="256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2107"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2107"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1 - 1.1. Energiantuotannon tehostaminen – </w:t>
            </w:r>
            <w:r>
              <w:rPr>
                <w:rFonts w:ascii="Times New Roman" w:hAnsi="Times New Roman"/>
                <w:noProof/>
                <w:sz w:val="18"/>
                <w:szCs w:val="18"/>
              </w:rPr>
              <w:t>16870_Toimenpiteet saarten sähköverkkojen yhteenliittämiseksi ja sähköverkon parantamiseksi</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Välitavoite</w:t>
            </w:r>
          </w:p>
        </w:tc>
        <w:tc>
          <w:tcPr>
            <w:tcW w:w="2107"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Saarten yhteenliittäminen –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Energiantuotannon tehostaminen – 16871_Elvytystoimet eniten kärsineillä alueilla </w:t>
            </w:r>
            <w:r>
              <w:rPr>
                <w:rFonts w:ascii="Times New Roman" w:hAnsi="Times New Roman"/>
                <w:noProof/>
                <w:sz w:val="18"/>
                <w:szCs w:val="18"/>
              </w:rPr>
              <w:t>(oikeudenmukaisen siirtymän alueet)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Maaperän kunnostaminen – valmistuminen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16926_tuki varastointijärjestelmien asentamiselle uusiutuvien energialähteiden tehokkaamman käytön hyväksi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Energian</w:t>
            </w:r>
            <w:r>
              <w:rPr>
                <w:rFonts w:ascii="Times New Roman" w:hAnsi="Times New Roman"/>
                <w:noProof/>
                <w:sz w:val="18"/>
                <w:szCs w:val="18"/>
              </w:rPr>
              <w:t xml:space="preserve"> varastointi –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16901_HEDNOn verkon parannukset, joilla pyritään parantamaan sietokykyä ja ympäristönsuojelua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HEDNO – loppuun saattaminen 1</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Energiantuotannon </w:t>
            </w:r>
            <w:r>
              <w:rPr>
                <w:rFonts w:ascii="Times New Roman" w:hAnsi="Times New Roman"/>
                <w:noProof/>
                <w:sz w:val="18"/>
                <w:szCs w:val="18"/>
              </w:rPr>
              <w:t>tehostaminen – 16900_HEDNO-ilmajohtoverkon kunnostaminen metsäalueilla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HEDNO -täydennys 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Energiantuotannon tehostaminen – 16899_HEDNOn suur- tai keskijännitteisten sähköasemien asennetun kapasiteetin lisäys uutta uusiutuvien energ</w:t>
            </w:r>
            <w:r>
              <w:rPr>
                <w:rFonts w:ascii="Times New Roman" w:hAnsi="Times New Roman"/>
                <w:noProof/>
                <w:sz w:val="18"/>
                <w:szCs w:val="18"/>
              </w:rPr>
              <w:t>ialähteiden yhteyttä varten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HEDNO – loppuun saattaminen 3</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16872_Asuinrakennusten energiaperuskorjaus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Asuinrakennusten kunnostaminen – asuinrakennusten kunnostaminen energiaköyhiä kotitalouksia varten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w:t>
            </w:r>
            <w:r>
              <w:rPr>
                <w:rFonts w:ascii="Times New Roman" w:hAnsi="Times New Roman"/>
                <w:noProof/>
                <w:sz w:val="18"/>
                <w:szCs w:val="18"/>
              </w:rPr>
              <w:t xml:space="preserve"> 1.2. Kunnostaminen – 16872_Asuinrakennusten energiaperuskorjaus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Asuinrakennusten kunnostaminen – asuntojen kunnostaminen #3</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16879_Kaupunkisuunnitelmien valmistelu kaupunkipolitiikan uudistuksen täytäntöönpanossa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w:t>
            </w:r>
            <w:r>
              <w:rPr>
                <w:rFonts w:ascii="Times New Roman" w:hAnsi="Times New Roman"/>
                <w:noProof/>
                <w:sz w:val="18"/>
                <w:szCs w:val="18"/>
              </w:rPr>
              <w: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Kaupunkisuunnittelun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16894_Uusiutuvia energialähteitä, teollisuutta, matkailua ja vesiviljelyä koskevan uuden erityisen aluesuunnittelun perustaminen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 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Erityisten aluekehysten hyväksyminen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w:t>
            </w:r>
            <w:r>
              <w:rPr>
                <w:rFonts w:ascii="Times New Roman" w:hAnsi="Times New Roman"/>
                <w:noProof/>
                <w:sz w:val="18"/>
                <w:szCs w:val="18"/>
              </w:rPr>
              <w:t xml:space="preserve"> - 1.2. Kunnostaminen – 16891_Uuden merialuesuunnittelun perustaminen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Meristrategian hyväksyminen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16876_Julkisen sektorin rakennusten energiatehokkuuden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Julkisten rakennusten energiatehokkuus – </w:t>
            </w:r>
            <w:r>
              <w:rPr>
                <w:rFonts w:ascii="Times New Roman" w:hAnsi="Times New Roman"/>
                <w:noProof/>
                <w:sz w:val="18"/>
                <w:szCs w:val="18"/>
              </w:rPr>
              <w:t>loppuun saatettu</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16874_Energia ja yrittäjyys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Yksityinen energiatehokkuus – valmis #2</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16873_ – Asuinalueita ja rakennuskantaa koskevat toimet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Kaupunkeihin liittyvät toimet – kaikk</w:t>
            </w:r>
            <w:r>
              <w:rPr>
                <w:rFonts w:ascii="Times New Roman" w:hAnsi="Times New Roman"/>
                <w:noProof/>
                <w:sz w:val="18"/>
                <w:szCs w:val="18"/>
              </w:rPr>
              <w:t>ien töiden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Kunnostaminen – 16875_Infrastruktuurin kehittäminen ja rakennusten kunnostus entisessä kuningaskunnassa Tatoissa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Tatoi – kaikkien töiden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3 – 1.3. Lataaminen ja tankkaus – </w:t>
            </w:r>
            <w:r>
              <w:rPr>
                <w:rFonts w:ascii="Times New Roman" w:hAnsi="Times New Roman"/>
                <w:noProof/>
                <w:sz w:val="18"/>
                <w:szCs w:val="18"/>
              </w:rPr>
              <w:t>16831_Produc- E Green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CCS – toimintatodistus myönnetty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Lataaminen ja tankkaus – 16831_Produc- E Green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Teollisuusyksiköt —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Lataaminen ja tankkaus – 16831_Produc- E Green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Sähkökäyttöisten </w:t>
            </w:r>
            <w:r>
              <w:rPr>
                <w:rFonts w:ascii="Times New Roman" w:hAnsi="Times New Roman"/>
                <w:noProof/>
                <w:sz w:val="18"/>
                <w:szCs w:val="18"/>
              </w:rPr>
              <w:t>ajoneuvojen latauspisteet – asennustyöt valmiit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16849_Kansallinen uudelleenmetsityssuunnitelma ja Parnitha-lippulaivainvestointi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Uudelleenmetsittäminen – </w:t>
            </w:r>
            <w:r>
              <w:rPr>
                <w:rFonts w:ascii="Times New Roman" w:hAnsi="Times New Roman"/>
                <w:noProof/>
                <w:sz w:val="18"/>
                <w:szCs w:val="18"/>
              </w:rPr>
              <w:t>Alahankkeen 1 loppuun saattaminen (16 500 hehtaarin suojelu)</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16851_Biodiversiteetin suojelu kestävän kasvun vauhdittajana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Biologinen monimuotoisuus – Loppuun </w:t>
            </w:r>
            <w:r>
              <w:rPr>
                <w:rFonts w:ascii="Times New Roman" w:hAnsi="Times New Roman"/>
                <w:noProof/>
                <w:sz w:val="18"/>
                <w:szCs w:val="18"/>
              </w:rPr>
              <w:t>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16846_Uudet infrastruktuurit yhdyskuntajätevesien ja jätevesien käsittelyssä syntyvän lietteen käsittelemiseksi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Yhdyskuntajätevesien ja lietteenkäsi</w:t>
            </w:r>
            <w:r>
              <w:rPr>
                <w:rFonts w:ascii="Times New Roman" w:hAnsi="Times New Roman"/>
                <w:noProof/>
                <w:sz w:val="18"/>
                <w:szCs w:val="18"/>
              </w:rPr>
              <w:t>ttelyinfrastruktuurien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16850_Juomavesihuolto- ja juomavedensäästöinfrastruktuurit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Juomaveden jakelun ja säästöinfrastruktuurien loppuun saat</w:t>
            </w:r>
            <w:r>
              <w:rPr>
                <w:rFonts w:ascii="Times New Roman" w:hAnsi="Times New Roman"/>
                <w:noProof/>
                <w:sz w:val="18"/>
                <w:szCs w:val="18"/>
              </w:rPr>
              <w: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16882_Tulvien lieventämistä koskevat hankkeet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Tulvien lieventämistä koskevien hankkeiden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w:t>
            </w:r>
            <w:r>
              <w:rPr>
                <w:rFonts w:ascii="Times New Roman" w:hAnsi="Times New Roman"/>
                <w:noProof/>
                <w:sz w:val="18"/>
                <w:szCs w:val="18"/>
              </w:rPr>
              <w:t xml:space="preserve"> ilmastokestävyys ja ympäristönsuojelu – 16898_Vesihuoltohankkeet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Vesihuoltohankkeiden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16910_Seuranta- ja hallintajärjestelmä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Pelastuspalvelun seuranta- ja hallintajärjestelmän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16911_Ilma-alukset kriisinhallintaa varten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Kriisinhallinnan ilmavoimavaroja koskevan hank</w:t>
            </w:r>
            <w:r>
              <w:rPr>
                <w:rFonts w:ascii="Times New Roman" w:hAnsi="Times New Roman"/>
                <w:noProof/>
                <w:sz w:val="18"/>
                <w:szCs w:val="18"/>
              </w:rPr>
              <w:t>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Luonnonvarojen kestävä käyttö, ilmastokestävyys ja ympäristönsuojelu – 16912_Metsäsammutus-, ennaltaehkäisy- ja torjuntalaitteet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Metsäntorjuntakaluston valmistuminen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Resurssien kestävä käyttö, </w:t>
            </w:r>
            <w:r>
              <w:rPr>
                <w:rFonts w:ascii="Times New Roman" w:hAnsi="Times New Roman"/>
                <w:noProof/>
                <w:sz w:val="18"/>
                <w:szCs w:val="18"/>
              </w:rPr>
              <w:t>ilmastonmuutokseen sopeutuminen ja ympäristönsuojelu – 16909_Infrastruktuuri – Strategisen kansallisen katastrofiriskien hallinnan käyttöönotto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Kansallisen katastrofiriskien hallinnan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Connect – 16962_Merenalaise</w:t>
            </w:r>
            <w:r>
              <w:rPr>
                <w:rFonts w:ascii="Times New Roman" w:hAnsi="Times New Roman"/>
                <w:noProof/>
                <w:sz w:val="18"/>
                <w:szCs w:val="18"/>
              </w:rPr>
              <w:t>t valokaapelit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Merenalaisia kuitukaapeleita koskevan 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Connect – 16818_Fiber optinen infrastruktuuri rakennuksissa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Rakennusten valokaapeli-infrastruktuurihankkeen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5 - 2.1. </w:t>
            </w:r>
            <w:r>
              <w:rPr>
                <w:rFonts w:ascii="Times New Roman" w:hAnsi="Times New Roman"/>
                <w:noProof/>
                <w:sz w:val="18"/>
                <w:szCs w:val="18"/>
              </w:rPr>
              <w:t>Connect – 16834_5G-käytävät – Kehitetään 5G-verkkoja, joiden on katettava kaikki Kreikan moottoritiet, jotka ovat osa Euroopan laajuista liikenneverkkoa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5G-käytäviä koskevan hankkeen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Connect – 16855_Small-satelliit</w:t>
            </w:r>
            <w:r>
              <w:rPr>
                <w:rFonts w:ascii="Times New Roman" w:hAnsi="Times New Roman"/>
                <w:noProof/>
                <w:sz w:val="18"/>
                <w:szCs w:val="18"/>
              </w:rPr>
              <w:t>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”Pienet satelliitit” -hankkeen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6 - 2.2. Nykyaikaistaminen – 16778_arkistojen ja niihin liittyvien palvelujen digitalisointi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Arkistojen digitointi – täysimääräinen täytäntöönpano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6 - 2.2. </w:t>
            </w:r>
            <w:r>
              <w:rPr>
                <w:rFonts w:ascii="Times New Roman" w:hAnsi="Times New Roman"/>
                <w:noProof/>
                <w:sz w:val="18"/>
                <w:szCs w:val="18"/>
              </w:rPr>
              <w:t>Nykyaikaistaminen – 16929_Kohti julkishallinnon asiakaslähtöisiä palveluja yksinkertaistamalla ja parantamalla prosesseja, järjestelmien parannuksia ja EU:n strategioiden ja politiikkojen noudattamista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Hallinnollisen rasituksen keventämistä kos</w:t>
            </w:r>
            <w:r>
              <w:rPr>
                <w:rFonts w:ascii="Times New Roman" w:hAnsi="Times New Roman"/>
                <w:noProof/>
                <w:sz w:val="18"/>
                <w:szCs w:val="18"/>
              </w:rPr>
              <w:t>kevan strategian ja kansallisen prosessin yksinkertaistamista koskevan suunnitelman loppuun saattaminen (loppuvaihe)</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16736_Uusi julkisten hankintojen järjestelmä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Uuden julkisia hankintoja koskevan järjestelmän </w:t>
            </w:r>
            <w:r>
              <w:rPr>
                <w:rFonts w:ascii="Times New Roman" w:hAnsi="Times New Roman"/>
                <w:noProof/>
                <w:sz w:val="18"/>
                <w:szCs w:val="18"/>
              </w:rPr>
              <w:t xml:space="preserve">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16824_ERegistries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Sähköisiä rekistereitä koskevan hankkeen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16854_Älykkäät kaupungit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Älykkäitä kaupunkeja koskevien hankkeiden </w:t>
            </w:r>
            <w:r>
              <w:rPr>
                <w:rFonts w:ascii="Times New Roman" w:hAnsi="Times New Roman"/>
                <w:noProof/>
                <w:sz w:val="18"/>
                <w:szCs w:val="18"/>
              </w:rPr>
              <w:t>täysimääräinen täytäntöönpano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16928_Uuden teknologian käyttöönotto ja suuntaukset kohti julkishallinnon kehittyneitä palveluja, tehokkuuden ja vaikuttavuuden lisääminen sekä järjestelmien käyttö-, päivitys- ja ylläpitokust</w:t>
            </w:r>
            <w:r>
              <w:rPr>
                <w:rFonts w:ascii="Times New Roman" w:hAnsi="Times New Roman"/>
                <w:noProof/>
                <w:sz w:val="18"/>
                <w:szCs w:val="18"/>
              </w:rPr>
              <w:t>annusten alentaminen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Julkishallinnon uusien teknologioiden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16955_Pilvitietokoneinfrastruktuurin ja -palvelujen päivitys kansallisissa tutkimus- ja teknologiainfrastruktuureissa (GRNET)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GRNET-verkoston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16287_Julkisen sektorin toiminnan jatkuvuuden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Julkisen sektorin toiminnan jatkuvuuden loppuun saattaminen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Nykyaikaistaminen – </w:t>
            </w:r>
            <w:r>
              <w:rPr>
                <w:rFonts w:ascii="Times New Roman" w:hAnsi="Times New Roman"/>
                <w:noProof/>
                <w:sz w:val="18"/>
                <w:szCs w:val="18"/>
              </w:rPr>
              <w:t>16956_Syzefksis II:n laajentaminen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Syzefksis II:n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Nykyaikaistaminen – 16827_datanhallintastrategia ja -toimet julkista sektoria varten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Datanhallintastrategian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Nykya</w:t>
            </w:r>
            <w:r>
              <w:rPr>
                <w:rFonts w:ascii="Times New Roman" w:hAnsi="Times New Roman"/>
                <w:noProof/>
                <w:sz w:val="18"/>
                <w:szCs w:val="18"/>
              </w:rPr>
              <w:t>ikaistaminen – 16842_Central BI – Data-analytiikka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Keskitetyn innovaatiokumppanuuden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9 - 3.2. Yleissivistävä ja ammatillinen koulutus sekä osaaminen – 16913_Elinikäistä oppimista koskeva strategia: Kreikan täydennys- </w:t>
            </w:r>
            <w:r>
              <w:rPr>
                <w:rFonts w:ascii="Times New Roman" w:hAnsi="Times New Roman"/>
                <w:noProof/>
                <w:sz w:val="18"/>
                <w:szCs w:val="18"/>
              </w:rPr>
              <w:t>ja uudelleenkoulutusjärjestelmän nykyaikaistaminen ja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Koulutusohjelmat Elinikäisen oppimisen strategian valmistumisen validointi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9 - 3.2. Yleissivistävä ja ammatillinen koulutus ja osaaminen – 16794_Oppisopimusjärjestelmän vahvistaminen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Digitaalisen verkko-opiskelun loppuun saattaminen ja energiatehokkaiden peruskorjausten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Yleissivistävä ja</w:t>
            </w:r>
            <w:r>
              <w:rPr>
                <w:rFonts w:ascii="Times New Roman" w:hAnsi="Times New Roman"/>
                <w:noProof/>
                <w:sz w:val="18"/>
                <w:szCs w:val="18"/>
              </w:rPr>
              <w:t xml:space="preserve"> ammatillinen koulutus sekä osaaminen – 16792_Työvoiman koulutus, uudelleenkoulutus ja täydennyskoulutus uudistetun koulutusmallin avulla (ammatillisen koulutuksen uudistus)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Ammatillisen koulutuksen laadunvarmistusjärjestelmän loppuun </w:t>
            </w:r>
            <w:r>
              <w:rPr>
                <w:rFonts w:ascii="Times New Roman" w:hAnsi="Times New Roman"/>
                <w:noProof/>
                <w:sz w:val="18"/>
                <w:szCs w:val="18"/>
              </w:rPr>
              <w:t>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Yleissivistävä ja ammatillinen koulutus ja osaaminen – 16933_Ammatillisen koulutuksen (VET) parantaminen: Laboratoriolaitteiden toimittaminen laboratoriokeskuksille IEK:lle, EPAL:lle, toisen asteen oppisopimuskouluille ja ammattik</w:t>
            </w:r>
            <w:r>
              <w:rPr>
                <w:rFonts w:ascii="Times New Roman" w:hAnsi="Times New Roman"/>
                <w:noProof/>
                <w:sz w:val="18"/>
                <w:szCs w:val="18"/>
              </w:rPr>
              <w:t>ouluille</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Ammatillisen koulutuksen laboratoriokeskusten nykyaikaistaminen uudenaikaistetaan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Koulutus, ammatillinen koulutus ja osaaminen – 16289_Huippuosaamisstrategia korkeakoulujen ja innovoinnin osa-alueella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Vierailevien</w:t>
            </w:r>
            <w:r>
              <w:rPr>
                <w:rFonts w:ascii="Times New Roman" w:hAnsi="Times New Roman"/>
                <w:noProof/>
                <w:sz w:val="18"/>
                <w:szCs w:val="18"/>
              </w:rPr>
              <w:t xml:space="preserve"> professorien valmistuminen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Koulutus, ammatillinen koulutus ja osaaminen – 16289_Huippuosaamisstrategia korkeakoulujen ja innovoinnin osa-alueella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Luota tähteesi valmistumiseen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9 - 3.2. Yleissivistävä ja ammatillinen koulutus </w:t>
            </w:r>
            <w:r>
              <w:rPr>
                <w:rFonts w:ascii="Times New Roman" w:hAnsi="Times New Roman"/>
                <w:noProof/>
                <w:sz w:val="18"/>
                <w:szCs w:val="18"/>
              </w:rPr>
              <w:t>ja osaaminen – 16934_Ammatillisen koulutuksen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Ammatillisen koulutusjärjestelmän IEK:n ja EPAL:n digitalisointi EOPPEP -työprofiilien saattaminen päätökseen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häiriönsietokyvyn, saatavuuden ja kestävyyd</w:t>
            </w:r>
            <w:r>
              <w:rPr>
                <w:rFonts w:ascii="Times New Roman" w:hAnsi="Times New Roman"/>
                <w:noProof/>
                <w:sz w:val="18"/>
                <w:szCs w:val="18"/>
              </w:rPr>
              <w:t>en parantaminen – 16783_Kansallisen sairauksien ehkäisemistä koskevan julkisen ”Spiros Doxiadis” -ohjelman täytäntöönpano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Kansallinen sairauksien ehkäisemistä koskeva julkinen ”Spiros Doxiadis” -ohjelma – Kaikki hankkeet on saatettu päätökseen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sietokyvyn, saatavuuden ja kantokyvyn parantaminen – 16755_Vihreät investoinnit – Perusterveydenhuoltojärjestelmän uudistaminen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PHC – täysin kunnostetut terveyskeskukset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sietokyvyn, sa</w:t>
            </w:r>
            <w:r>
              <w:rPr>
                <w:rFonts w:ascii="Times New Roman" w:hAnsi="Times New Roman"/>
                <w:noProof/>
                <w:sz w:val="18"/>
                <w:szCs w:val="18"/>
              </w:rPr>
              <w:t>atavuuden ja kantokyvyn parantaminen – 16795_NHS-sairaalan kunnostaminen ja infrastruktuurin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NHS:n infrastruktuuriparannuksen valmistuminen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Terveydenhuollon sietokyvyn, saatavuuden ja kantokyvyn parantaminen – </w:t>
            </w:r>
            <w:r>
              <w:rPr>
                <w:rFonts w:ascii="Times New Roman" w:hAnsi="Times New Roman"/>
                <w:noProof/>
                <w:sz w:val="18"/>
                <w:szCs w:val="18"/>
              </w:rPr>
              <w:t>16757_Sädehoitokeskuksen perustaminen rintaontelon sairauksiin erikoistuneeseen Sotiria-sairaalaan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Sotiria-radioterapiakeskus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sietokyvyn, saavutettavuuden ja kantokyvyn parantaminen – 16793_Hanke solu- ja geenite</w:t>
            </w:r>
            <w:r>
              <w:rPr>
                <w:rFonts w:ascii="Times New Roman" w:hAnsi="Times New Roman"/>
                <w:noProof/>
                <w:sz w:val="18"/>
                <w:szCs w:val="18"/>
              </w:rPr>
              <w:t>rapiaa sekä hematologian kliinisiä laboratorioita varten tarkoitetun rakennuksen rakentamiseksi Thessalonikin Papanikolaou-sairaalan yhteyteen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Papanikolaou-sairaalan valmistuminen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Terveydenhuollon sietokyvyn, saatavuuden ja kanto</w:t>
            </w:r>
            <w:r>
              <w:rPr>
                <w:rFonts w:ascii="Times New Roman" w:hAnsi="Times New Roman"/>
                <w:noProof/>
                <w:sz w:val="18"/>
                <w:szCs w:val="18"/>
              </w:rPr>
              <w:t>kyvyn parantaminen – 16752_Terveysalan digitalisaatio (DigHealth)</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Digitalisaatio – kaikki alahankkeet on saatu päätökseen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Tehokkaan ja osallistavan sosiaalipolitiikan saatavuuden parantaminen – 16922_Sosiaalinen integraatio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Kodittomien yhteiskuntaan integroituminen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Parannetaan mahdollisuuksia tehokkaaseen ja osallistavaan sosiaalipolitiikkaan – 16688: Pakolaisväestön työmarkkinoille integroitumisen edistäminen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Pakolaisten integroituminen työma</w:t>
            </w:r>
            <w:r>
              <w:rPr>
                <w:rFonts w:ascii="Times New Roman" w:hAnsi="Times New Roman"/>
                <w:noProof/>
                <w:sz w:val="18"/>
                <w:szCs w:val="18"/>
              </w:rPr>
              <w:t>rkkinoille</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Veroista kasvua edistävä ja verohallinnon ja veronkannon parantaminen – 16611_Verotarkastusten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Verotarkastusten digitalisaation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12 - 4.1. Verojen muuttaminen </w:t>
            </w:r>
            <w:r>
              <w:rPr>
                <w:rFonts w:ascii="Times New Roman" w:hAnsi="Times New Roman"/>
                <w:noProof/>
                <w:sz w:val="18"/>
                <w:szCs w:val="18"/>
              </w:rPr>
              <w:t>kasvuystävällisimmiksi sekä verohallinnon ja veronkannon parantaminen – 16291 Vero- ja tullihallinnon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noProof/>
              </w:rPr>
              <w:t>Riippumattoman julkisten tulojen viraston integroidun tietoteknisen vero- ja tarkastusympäristön ensimmäisen vaiheen suoritteid</w:t>
            </w:r>
            <w:r>
              <w:rPr>
                <w:noProof/>
              </w:rPr>
              <w:t>en loppuun saattaminen osana sen digitalisaatiota.</w:t>
            </w:r>
            <w:r>
              <w:rPr>
                <w:rFonts w:ascii="Times New Roman" w:hAnsi="Times New Roman"/>
                <w:noProof/>
                <w:sz w:val="18"/>
                <w:szCs w:val="18"/>
              </w:rPr>
              <w:t xml:space="preserve">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Verojen muuttaminen kasvuystävällisimmiksi sekä verohallinnon ja veronkannon parantaminen – 16291 Vero- ja tullihallinnon digitalisaatio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Hyötyajoneuvojen ja konttien valvontajär</w:t>
            </w:r>
            <w:r>
              <w:rPr>
                <w:rFonts w:ascii="Times New Roman" w:hAnsi="Times New Roman"/>
                <w:noProof/>
                <w:sz w:val="18"/>
                <w:szCs w:val="18"/>
              </w:rPr>
              <w:t>jestelmän käynnistäminen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Julkishallinnon nykyaikaistaminen muun muassa nopeuttamalla julkisten investointien toteuttamista, parantamalla julkisten hankintojen kehystä, toteuttamalla valmiuksien kehittämistoimia ja torjumalla korruptiota – </w:t>
            </w:r>
            <w:r>
              <w:rPr>
                <w:rFonts w:ascii="Times New Roman" w:hAnsi="Times New Roman"/>
                <w:noProof/>
                <w:sz w:val="18"/>
                <w:szCs w:val="18"/>
              </w:rPr>
              <w:t>16972_Julkisen hallinnon uudistaminen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Julkishallinto – virkamiesten koulutuksen suorittaminen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Nykyaikaistetaan julkishallintoa muun muassa nopeuttamalla julkisten investointien toteuttamista, parantamalla julkisia hankintoja koskevia</w:t>
            </w:r>
            <w:r>
              <w:rPr>
                <w:rFonts w:ascii="Times New Roman" w:hAnsi="Times New Roman"/>
                <w:noProof/>
                <w:sz w:val="18"/>
                <w:szCs w:val="18"/>
              </w:rPr>
              <w:t xml:space="preserve"> puitteita, toteuttamalla valmiuksien kehittämistoimia ja torjumalla korruptiota – 16711_Julkisten hankintojen alan ammattimaistaminen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Julkisia hankintoja koskevan kansallisen strategian (2021-2025) täytäntöönpano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Julkishallinnon</w:t>
            </w:r>
            <w:r>
              <w:rPr>
                <w:rFonts w:ascii="Times New Roman" w:hAnsi="Times New Roman"/>
                <w:noProof/>
                <w:sz w:val="18"/>
                <w:szCs w:val="18"/>
              </w:rPr>
              <w:t xml:space="preserve"> nykyaikaistaminen muun muassa nopeuttamalla julkisten investointien toteuttamista, parantamalla julkisten hankintojen kehystä, toteuttamalla valmiuksien kehittämistoimia ja torjumalla korruptiota – 16974_Kirjanpitouudistus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Kirjanpitouudistus: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Julkishallinnon nykyaikaistaminen muun muassa nopeuttamalla julkisten investointien toteuttamista, parantamalla julkisten hankintojen kehystä, toteuttamalla valmiuksien kehittämistoimia ja torjumalla korruptiota – 16705_Verohallinnon ja vara</w:t>
            </w:r>
            <w:r>
              <w:rPr>
                <w:rFonts w:ascii="Times New Roman" w:hAnsi="Times New Roman"/>
                <w:noProof/>
                <w:sz w:val="18"/>
                <w:szCs w:val="18"/>
              </w:rPr>
              <w:t>inhoidon valvonnan digitalisaatio hallinnon ja sähköisen laskutuksen osalta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Valtion yritysresurssien suunnittelu (GOV-ERP)</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Nykyaikaistetaan julkishallintoa muun muassa nopeuttamalla julkisten investointien toteuttamista, parantam</w:t>
            </w:r>
            <w:r>
              <w:rPr>
                <w:rFonts w:ascii="Times New Roman" w:hAnsi="Times New Roman"/>
                <w:noProof/>
                <w:sz w:val="18"/>
                <w:szCs w:val="18"/>
              </w:rPr>
              <w:t>alla julkisia hankintoja koskevia puitteita, toteuttamalla valmiuksien kehittämistoimia ja torjumalla korruptiota – 16711_Julkisten hankintojen alan ammattimaistaminen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Täydennys- ja uudelleenkoulutusohjelmien loppuun saattaminen julkisia hankintoja</w:t>
            </w:r>
            <w:r>
              <w:rPr>
                <w:rFonts w:ascii="Times New Roman" w:hAnsi="Times New Roman"/>
                <w:noProof/>
                <w:sz w:val="18"/>
                <w:szCs w:val="18"/>
              </w:rPr>
              <w:t xml:space="preserve"> varten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Oikeuslaitoksen tehokkuuden parantaminen – 16292_Uudet oikeuslaitoksen rakennukset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Rakennus- ja korjaustyöt – sähköinen identiteetti – viimeistely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14 - 4.3. Oikeusjärjestelmän tehostaminen – 16575 oikeudenkäytön </w:t>
            </w:r>
            <w:r>
              <w:rPr>
                <w:rFonts w:ascii="Times New Roman" w:hAnsi="Times New Roman"/>
                <w:noProof/>
                <w:sz w:val="18"/>
                <w:szCs w:val="18"/>
              </w:rPr>
              <w:t>nopeuttaminen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Oikeudellisen kartan tarkistaminen – täysimääräinen täytäntöönpano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Oikeusjärjestelmän tehostaminen – 16727_Oikeusalan digitalisaatio (sähköinen oikeus)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Tietojen säilyttäminen ja atk-päivitykset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15 -</w:t>
            </w:r>
            <w:r>
              <w:rPr>
                <w:rFonts w:ascii="Times New Roman" w:hAnsi="Times New Roman"/>
                <w:noProof/>
                <w:sz w:val="18"/>
                <w:szCs w:val="18"/>
              </w:rPr>
              <w:t xml:space="preserve"> 4.4. Rahoitusalan ja pääomamarkkinoiden lujittaminen – 16581_Pääomamarkkinoiden valvonnan ja luotettavuuden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Pääomamarkkinat, valvonta, valvontaprosessien digitalisointi, pääomamarkkinaunioni</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15 - 4.4. Vahvistetaan </w:t>
            </w:r>
            <w:r>
              <w:rPr>
                <w:rFonts w:ascii="Times New Roman" w:hAnsi="Times New Roman"/>
                <w:noProof/>
                <w:sz w:val="18"/>
                <w:szCs w:val="18"/>
              </w:rPr>
              <w:t>rahoitusalaa ja pääomamarkkinoita – 16957_rahoitusjärjestelmän valmiuksien vahvistaminen perinnöllisistä haasteista selviämiseksi ja reaalitalouden rahoittamiseksi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Velkojen kriisinratkaisu, järjestämättömien lainojen kriisinratkaisu, järjestämä</w:t>
            </w:r>
            <w:r>
              <w:rPr>
                <w:rFonts w:ascii="Times New Roman" w:hAnsi="Times New Roman"/>
                <w:noProof/>
                <w:sz w:val="18"/>
                <w:szCs w:val="18"/>
              </w:rPr>
              <w:t>ttömien lainojen myynti, rahoitusvakaus, Public Credit Bureau, vakavaraisuus,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Tutkimuksen ja innovoinnin edistäminen – 16624_Creation – Expansion – Tutkimuskeskusten infrastruktuurien parantaminen, jota valvoo tutkimuksen ja innovoinnin pääs</w:t>
            </w:r>
            <w:r>
              <w:rPr>
                <w:rFonts w:ascii="Times New Roman" w:hAnsi="Times New Roman"/>
                <w:noProof/>
                <w:sz w:val="18"/>
                <w:szCs w:val="18"/>
              </w:rPr>
              <w:t>ihteeristö (GSRI)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Tutkimuskeskusten hankkeiden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Tutkimuksen ja innovoinnin edistäminen – 16618_Perus- ja soveltava tutkimus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Perus- ja soveltavan tutkimuksen hankkeiden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16 - </w:t>
            </w:r>
            <w:r>
              <w:rPr>
                <w:rFonts w:ascii="Times New Roman" w:hAnsi="Times New Roman"/>
                <w:noProof/>
                <w:sz w:val="18"/>
                <w:szCs w:val="18"/>
              </w:rPr>
              <w:t>4.5. Tutkimuksen ja innovoinnin edistäminen – 16654_TH 2 ORAX: Trellis Holistic &amp; Hybrid Operational Ruggedized Autonomous eXemplary -järjestelmä</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TH²ORAX-hankkeen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16 - 4.5. Tutkimuksen ja innovoinnin edistäminen – </w:t>
            </w:r>
            <w:r>
              <w:rPr>
                <w:rFonts w:ascii="Times New Roman" w:hAnsi="Times New Roman"/>
                <w:noProof/>
                <w:sz w:val="18"/>
                <w:szCs w:val="18"/>
              </w:rPr>
              <w:t>16971_Tutkimus – Luominen – Innovointi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Tutkimusta, luomista ja innovointia koskevien hankkeiden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Tutkimuksen ja innovoinnin edistäminen – 16621_Kreikan tutkimus- ja innovointiekosysteemin ulospäin suuntautumine</w:t>
            </w:r>
            <w:r>
              <w:rPr>
                <w:rFonts w:ascii="Times New Roman" w:hAnsi="Times New Roman"/>
                <w:noProof/>
                <w:sz w:val="18"/>
                <w:szCs w:val="18"/>
              </w:rPr>
              <w:t>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T&amp;I-ekosysteemien ulospäin suuntautumiseen tähtäävien hankkeiden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17 - 4.6. Keskeisten talouden alojen nykyaikaistaminen ja häiriönsietokyvyn parantaminen – 16630_Kreetan pohjoinen valtatie (Β.Ο.Α.Κ.)</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BOAK-hankkeen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häiriönsietokyvyn parantaminen – 16954 Kreikan rautatieverkkojärjestelmän ja -infrastruktuurin parannus- ja uudelleenjärjestelytoimet </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Rautatieverk</w:t>
            </w:r>
            <w:r>
              <w:rPr>
                <w:rFonts w:ascii="Times New Roman" w:hAnsi="Times New Roman"/>
                <w:noProof/>
                <w:sz w:val="18"/>
                <w:szCs w:val="18"/>
              </w:rPr>
              <w:t>on parantaminen valmiina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16892_Länsi-Attikan esikaupunkirautatieverkon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Länsi-Attikan rautatien valmistuminen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w:t>
            </w:r>
            <w:r>
              <w:rPr>
                <w:rFonts w:ascii="Times New Roman" w:hAnsi="Times New Roman"/>
                <w:noProof/>
                <w:sz w:val="18"/>
                <w:szCs w:val="18"/>
              </w:rPr>
              <w:t>talouden alojen nykyaikaistaminen ja häiriönsietokyvyn parantaminen – 16949_Älykkäät sillat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Älykkäitä siltoja koskevan 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häiriönsietokyvyn parantaminen – </w:t>
            </w:r>
            <w:r>
              <w:rPr>
                <w:rFonts w:ascii="Times New Roman" w:hAnsi="Times New Roman"/>
                <w:noProof/>
                <w:sz w:val="18"/>
                <w:szCs w:val="18"/>
              </w:rPr>
              <w:t>16950_Sähköiset tietullit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Sähköisiä tietulleja koskevan 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16959_Kreikan rautatiejärjestön digitaalisaatio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OSE</w:t>
            </w:r>
            <w:r>
              <w:rPr>
                <w:rFonts w:ascii="Times New Roman" w:hAnsi="Times New Roman"/>
                <w:noProof/>
                <w:sz w:val="18"/>
                <w:szCs w:val="18"/>
              </w:rPr>
              <w:t>-hankkeen digitalisaation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16960_Älykäs infrastruktuuri, jossa keskitytään ympäristöön ja kulttuuriin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Älykästä infrastruktuuria </w:t>
            </w:r>
            <w:r>
              <w:rPr>
                <w:rFonts w:ascii="Times New Roman" w:hAnsi="Times New Roman"/>
                <w:noProof/>
                <w:sz w:val="18"/>
                <w:szCs w:val="18"/>
              </w:rPr>
              <w:t>koskevan 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16937_Integroitu digitaalinen ohjelmahallintajärjestelmä infrastruktuuri- ja liikenneministeriön teknisten töiden ja raken</w:t>
            </w:r>
            <w:r>
              <w:rPr>
                <w:rFonts w:ascii="Times New Roman" w:hAnsi="Times New Roman"/>
                <w:noProof/>
                <w:sz w:val="18"/>
                <w:szCs w:val="18"/>
              </w:rPr>
              <w:t>neresurssien hallinnointia varten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Infrastruktuuriministeriön PMIS-järjestelmän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16786_Infrastruktuuri- ja liikenneministeriön men</w:t>
            </w:r>
            <w:r>
              <w:rPr>
                <w:rFonts w:ascii="Times New Roman" w:hAnsi="Times New Roman"/>
                <w:noProof/>
                <w:sz w:val="18"/>
                <w:szCs w:val="18"/>
              </w:rPr>
              <w:t>ettelyjen yksinkertaistaminen;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Liikenneministeriön menettelyjen yksinkertaistaminen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282</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selviytymiskyvyn parantaminen – 16970_Hyväväylät luontoa ja kulttuuria varten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Luonnon</w:t>
            </w:r>
            <w:r>
              <w:rPr>
                <w:rFonts w:ascii="Times New Roman" w:hAnsi="Times New Roman"/>
                <w:noProof/>
                <w:sz w:val="18"/>
                <w:szCs w:val="18"/>
              </w:rPr>
              <w:t xml:space="preserve"> ja kulttuurin moottoritiet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niiden häiriönsietokyvyn parantaminen – 16293_Kulttuuri kasvun vauhdittajana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Kulttuuri kasvun edistäjänä</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w:t>
            </w:r>
            <w:r>
              <w:rPr>
                <w:rFonts w:ascii="Times New Roman" w:hAnsi="Times New Roman"/>
                <w:noProof/>
                <w:sz w:val="18"/>
                <w:szCs w:val="18"/>
              </w:rPr>
              <w:t>nykyaikaistaminen ja niiden häiriönsietokyvyn parantaminen – 16536_Infrastruktuurien parantaminen, laitteiden uudistaminen ja HOCRED-keskusten tarjoamien palvelujen laadun parantaminen – entiset ARF Stores (paikalla ja sähköisesti)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Kreikan kult</w:t>
            </w:r>
            <w:r>
              <w:rPr>
                <w:rFonts w:ascii="Times New Roman" w:hAnsi="Times New Roman"/>
                <w:noProof/>
                <w:sz w:val="18"/>
                <w:szCs w:val="18"/>
              </w:rPr>
              <w:t xml:space="preserve">tuurivarojen kehittämisjärjestön (HOCRED) päivitys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selviytymiskyvyn parantaminen – 16725_korkean taidekoulutuksen päivittäminen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Korkea-asteen taidekoulutuksen parantaminen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w:t>
            </w:r>
            <w:r>
              <w:rPr>
                <w:rFonts w:ascii="Times New Roman" w:hAnsi="Times New Roman"/>
                <w:noProof/>
                <w:sz w:val="18"/>
                <w:szCs w:val="18"/>
              </w:rPr>
              <w:t>- 4.6. Keskeisten talouden alojen nykyaikaistaminen ja niiden häiriönsietokyvyn parantaminen – 16723_Luovien alojen ja kulttuurialan ammattilaisten taitojen kehittäminen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Luovien alojen ja kulttuurialan ammattilaisten taitojen kehittäminen </w:t>
            </w:r>
            <w:r>
              <w:rPr>
                <w:rFonts w:ascii="Times New Roman" w:hAnsi="Times New Roman"/>
                <w:noProof/>
                <w:sz w:val="18"/>
                <w:szCs w:val="18"/>
              </w:rPr>
              <w:t>(valmistuminen)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16486_Vedenalaisten antiikkiesineiden museo</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Vedenalaisten antiikkiesineiden museo</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w:t>
            </w:r>
            <w:r>
              <w:rPr>
                <w:rFonts w:ascii="Times New Roman" w:hAnsi="Times New Roman"/>
                <w:noProof/>
                <w:sz w:val="18"/>
                <w:szCs w:val="18"/>
              </w:rPr>
              <w:t>istaminen ja häiriönsietokyvyn parantaminen – 16485_Kulttuurireitit merkittävien arkeologisten kohteiden ja monumenttien osalta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Kulttuurireitit merkittävissä arkeologisissa kohteissa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w:t>
            </w:r>
            <w:r>
              <w:rPr>
                <w:rFonts w:ascii="Times New Roman" w:hAnsi="Times New Roman"/>
                <w:noProof/>
                <w:sz w:val="18"/>
                <w:szCs w:val="18"/>
              </w:rPr>
              <w:t>ja niiden häiriönsietokyvyn parantaminen – 16735_Reseptitaiteen käyttö, sosiaalisen yhteenkuuluvuuden edistäminen ja senioritalouden hyödyntäminen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Käyttämällä ”reseptitaidetta”,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nii</w:t>
            </w:r>
            <w:r>
              <w:rPr>
                <w:rFonts w:ascii="Times New Roman" w:hAnsi="Times New Roman"/>
                <w:noProof/>
                <w:sz w:val="18"/>
                <w:szCs w:val="18"/>
              </w:rPr>
              <w:t>den selviytymiskyvyn parantaminen – 16433_Kulttuurimonumenttien ja arkeologisten kohteiden suojeleminen ilmastonmuutokselta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Välitavoite </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Kulttuurimuistomerkkien suojeleminen ilmastonmuutokselta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291</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w:t>
            </w:r>
            <w:r>
              <w:rPr>
                <w:rFonts w:ascii="Times New Roman" w:hAnsi="Times New Roman"/>
                <w:noProof/>
                <w:sz w:val="18"/>
                <w:szCs w:val="18"/>
              </w:rPr>
              <w:t xml:space="preserve"> häiriönsietokyvyn parantaminen – 16435_Restoration – Akropoliin muistomerkkien säilyttäminen ja vahvistaminen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Kunnostus – Akropoliin suojelu</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häiriönsietokyvyn parantaminen – </w:t>
            </w:r>
            <w:r>
              <w:rPr>
                <w:rFonts w:ascii="Times New Roman" w:hAnsi="Times New Roman"/>
                <w:noProof/>
                <w:sz w:val="18"/>
                <w:szCs w:val="18"/>
              </w:rPr>
              <w:t>16931_Matkailun kehittäminen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Matkailun kehittämishankkeen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16975_Alueellisten satamien parannustyöt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Alueellisten satamien</w:t>
            </w:r>
            <w:r>
              <w:rPr>
                <w:rFonts w:ascii="Times New Roman" w:hAnsi="Times New Roman"/>
                <w:noProof/>
                <w:sz w:val="18"/>
                <w:szCs w:val="18"/>
              </w:rPr>
              <w:t xml:space="preserve"> parannustoimet</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307</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16634_Uudet teollisuusalueet</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Teollisuusalueet – investointien toteuttaminen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308</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w:t>
            </w:r>
            <w:r>
              <w:rPr>
                <w:rFonts w:ascii="Times New Roman" w:hAnsi="Times New Roman"/>
                <w:noProof/>
                <w:sz w:val="18"/>
                <w:szCs w:val="18"/>
              </w:rPr>
              <w:t>nykyaikaistaminen ja häiriönsietokyvyn parantaminen – 16593_Strategisten investointien houkuttelemista koskevan oikeudellisen kehyksen muuttaminen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Strategiset investoinnit – investointien toteuttaminen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w:t>
            </w:r>
            <w:r>
              <w:rPr>
                <w:rFonts w:ascii="Times New Roman" w:hAnsi="Times New Roman"/>
                <w:noProof/>
                <w:sz w:val="18"/>
                <w:szCs w:val="18"/>
              </w:rPr>
              <w:t>nykyaikaistaminen ja niiden häiriönsietokyvyn parantaminen – 16721_Älykkään valmistuksen vauhdittaminen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Tehdasteollisuus, ala – investointien toteuttaminen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Keskeisten talouden alojen nykyaikaistaminen ja niiden häiriönsietokyvyn </w:t>
            </w:r>
            <w:r>
              <w:rPr>
                <w:rFonts w:ascii="Times New Roman" w:hAnsi="Times New Roman"/>
                <w:noProof/>
                <w:sz w:val="18"/>
                <w:szCs w:val="18"/>
              </w:rPr>
              <w:t>parantaminen – 16626_maatalousalan taloudellinen muutos</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Maatalouden taloudellisen muutoksen loppuun 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315</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Keskeisten talouden alojen nykyaikaistaminen ja häiriönsietokyvyn parantaminen – 16584_Ehdotukset vesiviljelyalan to</w:t>
            </w:r>
            <w:r>
              <w:rPr>
                <w:rFonts w:ascii="Times New Roman" w:hAnsi="Times New Roman"/>
                <w:noProof/>
                <w:sz w:val="18"/>
                <w:szCs w:val="18"/>
              </w:rPr>
              <w:t>imiksi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Vesiviljely saatettu päätökseen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316</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Resurssien kestävä käyttö, ilmastokestävyys ja ympäristönsuojelu – 16285_Investoinnit kansalliseen kasteluverkostoon julkisen ja yksityisen sektorin kumppanuusjärjestelyjen avulla</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Kastelun loppuunsaattaminen</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18 - 4.7. Kilpailukyvyn parantaminen sekä yksityisten investointien ja viennin edistäminen – 16543_Toimet liiketoimintaympäristön yksinkertaistamiseksi ja sen laadun ja turvallisuuden parantamiseksi</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Liiketoimintaympäristön parantaminen – lupien yksinkertaistaminen ja markkinavalvonta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17 - 4.6. Keskeisten talouden alojen nykyaikaistaminen ja häiriönsietokyvyn parantaminen – 16631_Tieturvallisuuden parantaminen</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w:t>
            </w:r>
          </w:p>
        </w:tc>
        <w:tc>
          <w:tcPr>
            <w:tcW w:w="2107"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Tieturvallisuushankkeen </w:t>
            </w:r>
            <w:r>
              <w:rPr>
                <w:rFonts w:ascii="Times New Roman" w:hAnsi="Times New Roman"/>
                <w:noProof/>
                <w:sz w:val="18"/>
                <w:szCs w:val="18"/>
              </w:rPr>
              <w:t>loppuun saattaminen</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2107"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1 974 438 066 euroa</w:t>
            </w:r>
          </w:p>
        </w:tc>
      </w:tr>
    </w:tbl>
    <w:p w:rsidR="00B0093E" w:rsidRDefault="00B0093E">
      <w:pPr>
        <w:keepNext/>
        <w:spacing w:before="40" w:after="0" w:line="259" w:lineRule="auto"/>
        <w:jc w:val="both"/>
        <w:rPr>
          <w:rFonts w:ascii="Times New Roman" w:eastAsia="Times New Roman" w:hAnsi="Times New Roman" w:cs="Times New Roman"/>
          <w:bCs/>
          <w:noProof/>
          <w:sz w:val="18"/>
          <w:szCs w:val="18"/>
        </w:rPr>
      </w:pPr>
    </w:p>
    <w:p w:rsidR="00B0093E" w:rsidRDefault="00B0093E">
      <w:pPr>
        <w:keepNext/>
        <w:spacing w:before="40" w:after="160" w:line="259" w:lineRule="auto"/>
        <w:contextualSpacing/>
        <w:jc w:val="both"/>
        <w:rPr>
          <w:rFonts w:ascii="Times New Roman" w:eastAsia="Times New Roman" w:hAnsi="Times New Roman" w:cs="Times New Roman"/>
          <w:noProof/>
          <w:sz w:val="18"/>
          <w:szCs w:val="18"/>
        </w:rPr>
      </w:pPr>
    </w:p>
    <w:p w:rsidR="00B0093E" w:rsidRDefault="00762CA6">
      <w:pPr>
        <w:keepNext/>
        <w:numPr>
          <w:ilvl w:val="0"/>
          <w:numId w:val="20"/>
        </w:numPr>
        <w:spacing w:before="40" w:after="0" w:line="259" w:lineRule="auto"/>
        <w:ind w:left="0"/>
        <w:jc w:val="both"/>
        <w:outlineLvl w:val="1"/>
        <w:rPr>
          <w:rFonts w:ascii="Times New Roman" w:eastAsia="Times New Roman" w:hAnsi="Times New Roman" w:cs="Times New Roman"/>
          <w:b/>
          <w:noProof/>
          <w:sz w:val="24"/>
          <w:u w:val="single"/>
        </w:rPr>
      </w:pPr>
      <w:bookmarkStart w:id="8" w:name="_Toc72228139"/>
      <w:bookmarkStart w:id="9" w:name="_Toc71726497"/>
      <w:r>
        <w:rPr>
          <w:rFonts w:ascii="Times New Roman" w:hAnsi="Times New Roman"/>
          <w:b/>
          <w:noProof/>
          <w:sz w:val="24"/>
          <w:u w:val="single"/>
        </w:rPr>
        <w:t>Laina</w:t>
      </w:r>
      <w:bookmarkEnd w:id="8"/>
      <w:r>
        <w:rPr>
          <w:rFonts w:ascii="Times New Roman" w:hAnsi="Times New Roman"/>
          <w:b/>
          <w:noProof/>
          <w:sz w:val="24"/>
          <w:u w:val="single"/>
        </w:rPr>
        <w:t xml:space="preserve"> </w:t>
      </w:r>
      <w:bookmarkEnd w:id="9"/>
    </w:p>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spacing w:before="40" w:after="0" w:line="259" w:lineRule="auto"/>
        <w:jc w:val="both"/>
        <w:rPr>
          <w:rFonts w:ascii="Times New Roman" w:eastAsia="Times New Roman" w:hAnsi="Times New Roman" w:cs="Times New Roman"/>
          <w:noProof/>
          <w:sz w:val="24"/>
        </w:rPr>
      </w:pPr>
      <w:r>
        <w:rPr>
          <w:rFonts w:ascii="Times New Roman" w:hAnsi="Times New Roman"/>
          <w:noProof/>
          <w:sz w:val="24"/>
        </w:rPr>
        <w:t>Päätöksen 3 artiklan 2 kohdassa tarkoitetut erät muodostetaan seuraavasti:</w:t>
      </w:r>
    </w:p>
    <w:p w:rsidR="00B0093E" w:rsidRDefault="00B0093E">
      <w:pPr>
        <w:keepNext/>
        <w:spacing w:before="120" w:after="160" w:line="259" w:lineRule="auto"/>
        <w:contextualSpacing/>
        <w:jc w:val="both"/>
        <w:rPr>
          <w:rFonts w:ascii="Times New Roman" w:eastAsia="Times New Roman" w:hAnsi="Times New Roman" w:cs="Times New Roman"/>
          <w:bCs/>
          <w:noProof/>
          <w:sz w:val="24"/>
          <w:szCs w:val="24"/>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Ensimmäinen maksupyyntö (lainatuki): </w:t>
      </w:r>
    </w:p>
    <w:tbl>
      <w:tblPr>
        <w:tblW w:w="9535" w:type="dxa"/>
        <w:tblInd w:w="113" w:type="dxa"/>
        <w:tblLook w:val="04A0" w:firstRow="1" w:lastRow="0" w:firstColumn="1" w:lastColumn="0" w:noHBand="0" w:noVBand="1"/>
      </w:tblPr>
      <w:tblGrid>
        <w:gridCol w:w="1804"/>
        <w:gridCol w:w="4283"/>
        <w:gridCol w:w="1692"/>
        <w:gridCol w:w="175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24"/>
                <w:szCs w:val="26"/>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24"/>
                <w:szCs w:val="26"/>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24"/>
                <w:szCs w:val="26"/>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24"/>
                <w:szCs w:val="26"/>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320</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 Kilpailukyvyn parantaminen ja yksityisten investointien ja viennin edistäminen – 16980_RRP-lainajärjestely</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Operatiiviset sopimukset kansainvälisten rahoituslaitosten kanssa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321</w:t>
            </w:r>
          </w:p>
        </w:tc>
        <w:tc>
          <w:tcPr>
            <w:tcW w:w="4283" w:type="dxa"/>
            <w:tcBorders>
              <w:top w:val="nil"/>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4.7. Kilpailukyvyn parantaminen ja yksityisten </w:t>
            </w:r>
            <w:r>
              <w:rPr>
                <w:rFonts w:ascii="Times New Roman" w:hAnsi="Times New Roman"/>
                <w:noProof/>
                <w:sz w:val="18"/>
                <w:szCs w:val="18"/>
              </w:rPr>
              <w:t>investointien ja viennin edistäminen – 16980_RRP-lainajärjestely</w:t>
            </w:r>
          </w:p>
        </w:tc>
        <w:tc>
          <w:tcPr>
            <w:tcW w:w="1692" w:type="dxa"/>
            <w:tcBorders>
              <w:top w:val="nil"/>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Liikepankkien puhelujen käynnistäminen</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euroa</w:t>
            </w:r>
          </w:p>
        </w:tc>
      </w:tr>
    </w:tbl>
    <w:p w:rsidR="00B0093E" w:rsidRDefault="00B0093E">
      <w:pPr>
        <w:keepNext/>
        <w:spacing w:before="120" w:after="160" w:line="259" w:lineRule="auto"/>
        <w:ind w:hanging="360"/>
        <w:contextualSpacing/>
        <w:jc w:val="both"/>
        <w:rPr>
          <w:rFonts w:ascii="Times New Roman" w:eastAsia="Times New Roman" w:hAnsi="Times New Roman" w:cs="Times New Roman"/>
          <w:bCs/>
          <w:noProof/>
          <w:sz w:val="24"/>
          <w:szCs w:val="24"/>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Toinen maksupyyntö (lainatuki): </w:t>
      </w:r>
    </w:p>
    <w:tbl>
      <w:tblPr>
        <w:tblW w:w="9535" w:type="dxa"/>
        <w:tblInd w:w="113" w:type="dxa"/>
        <w:tblLook w:val="04A0" w:firstRow="1" w:lastRow="0" w:firstColumn="1" w:lastColumn="0" w:noHBand="0" w:noVBand="1"/>
      </w:tblPr>
      <w:tblGrid>
        <w:gridCol w:w="1804"/>
        <w:gridCol w:w="4283"/>
        <w:gridCol w:w="1692"/>
        <w:gridCol w:w="175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322</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4.7. Kilpailukyvyn parantaminen ja yksityisten investointien ja viennin edistäminen – 16980_RRP-lainajärjestely</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Sopimus pääomafoorumista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323</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4.7. Kilpailukyvyn parantaminen ja yksityisten investointien ja viennin edistäminen –</w:t>
            </w:r>
            <w:r>
              <w:rPr>
                <w:rFonts w:ascii="Times New Roman" w:hAnsi="Times New Roman"/>
                <w:noProof/>
                <w:sz w:val="18"/>
                <w:szCs w:val="18"/>
              </w:rPr>
              <w:t xml:space="preserve"> 16980_RRP-lainajärjestely</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Välitavoite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InvestEU-rahoitussopimus</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324</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 Kilpailukyvyn parantaminen ja yksityisten investointien ja viennin edistäminen – 16980_RRP-lainajärjestely</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586,4 miljoonaa euroa rahoituslaitosten varoja allekirjoitettu </w:t>
            </w:r>
            <w:r>
              <w:rPr>
                <w:rFonts w:ascii="Times New Roman" w:hAnsi="Times New Roman"/>
                <w:noProof/>
                <w:sz w:val="18"/>
                <w:szCs w:val="18"/>
              </w:rPr>
              <w:t>lopullisten edunsaajien kanssa</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euroa</w:t>
            </w:r>
          </w:p>
        </w:tc>
      </w:tr>
    </w:tbl>
    <w:p w:rsidR="00B0093E" w:rsidRDefault="00B0093E">
      <w:pPr>
        <w:keepNext/>
        <w:spacing w:before="40" w:after="160" w:line="259" w:lineRule="auto"/>
        <w:contextualSpacing/>
        <w:jc w:val="both"/>
        <w:rPr>
          <w:rFonts w:ascii="Times New Roman" w:eastAsia="Times New Roman" w:hAnsi="Times New Roman" w:cs="Times New Roman"/>
          <w:noProof/>
          <w:sz w:val="24"/>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Kolmas maksupyyntö (lainatuki): </w:t>
      </w:r>
    </w:p>
    <w:tbl>
      <w:tblPr>
        <w:tblW w:w="9535" w:type="dxa"/>
        <w:tblInd w:w="113" w:type="dxa"/>
        <w:tblLook w:val="04A0" w:firstRow="1" w:lastRow="0" w:firstColumn="1" w:lastColumn="0" w:noHBand="0" w:noVBand="1"/>
      </w:tblPr>
      <w:tblGrid>
        <w:gridCol w:w="1804"/>
        <w:gridCol w:w="4283"/>
        <w:gridCol w:w="1692"/>
        <w:gridCol w:w="175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325</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4.7. Kilpailukyvyn parantaminen ja yksityisten investointien ja viennin </w:t>
            </w:r>
            <w:r>
              <w:rPr>
                <w:rFonts w:ascii="Times New Roman" w:hAnsi="Times New Roman"/>
                <w:noProof/>
                <w:sz w:val="18"/>
                <w:szCs w:val="18"/>
              </w:rPr>
              <w:t>edistäminen – 16980_RRP-lainajärjestely</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3518,4 miljoonaa euroa rahoituslaitosten varoja, jotka on allekirjoitettu lopullisten edunsaajien kanssa</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40"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euroa</w:t>
            </w:r>
          </w:p>
        </w:tc>
      </w:tr>
    </w:tbl>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Neljäs maksupyyntö (lainatuki): </w:t>
      </w:r>
    </w:p>
    <w:tbl>
      <w:tblPr>
        <w:tblW w:w="9519" w:type="dxa"/>
        <w:tblInd w:w="113" w:type="dxa"/>
        <w:tblLook w:val="04A0" w:firstRow="1" w:lastRow="0" w:firstColumn="1" w:lastColumn="0" w:noHBand="0" w:noVBand="1"/>
      </w:tblPr>
      <w:tblGrid>
        <w:gridCol w:w="1804"/>
        <w:gridCol w:w="4283"/>
        <w:gridCol w:w="1692"/>
        <w:gridCol w:w="1740"/>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w:t>
            </w:r>
            <w:r>
              <w:rPr>
                <w:rFonts w:ascii="Times New Roman" w:hAnsi="Times New Roman"/>
                <w:noProof/>
                <w:sz w:val="18"/>
                <w:szCs w:val="18"/>
              </w:rPr>
              <w:t xml:space="preserve">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40"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326</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 Kilpailukyvyn parantaminen ja yksityisten investointien ja viennin edistäminen – 16980_RRP-lainajärjestely</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1740"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5864 miljoonaa euroa rahoituslaitosten varoja allekirjoitettu lopullisten edunsaajien </w:t>
            </w:r>
            <w:r>
              <w:rPr>
                <w:rFonts w:ascii="Times New Roman" w:hAnsi="Times New Roman"/>
                <w:noProof/>
                <w:sz w:val="18"/>
                <w:szCs w:val="18"/>
              </w:rPr>
              <w:t>kanssa</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40"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euroa</w:t>
            </w:r>
          </w:p>
        </w:tc>
      </w:tr>
    </w:tbl>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Viides maksupyyntö (lainatuki): </w:t>
      </w:r>
    </w:p>
    <w:tbl>
      <w:tblPr>
        <w:tblW w:w="9519" w:type="dxa"/>
        <w:tblInd w:w="113" w:type="dxa"/>
        <w:tblLook w:val="04A0" w:firstRow="1" w:lastRow="0" w:firstColumn="1" w:lastColumn="0" w:noHBand="0" w:noVBand="1"/>
      </w:tblPr>
      <w:tblGrid>
        <w:gridCol w:w="1804"/>
        <w:gridCol w:w="4283"/>
        <w:gridCol w:w="1692"/>
        <w:gridCol w:w="1740"/>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40"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327</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4.7. Kilpailukyvyn parantaminen ja yksityisten investointien ja viennin edistäminen – </w:t>
            </w:r>
            <w:r>
              <w:rPr>
                <w:rFonts w:ascii="Times New Roman" w:hAnsi="Times New Roman"/>
                <w:noProof/>
                <w:sz w:val="18"/>
                <w:szCs w:val="18"/>
              </w:rPr>
              <w:t>16980_RRP-lainajärjestely</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1740" w:type="dxa"/>
            <w:tcBorders>
              <w:top w:val="single" w:sz="4" w:space="0" w:color="auto"/>
              <w:left w:val="nil"/>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9382,4 miljoonaa euroa rahoituslaitosten varoja, jotka on allekirjoitettu lopullisten edunsaajien kanssa</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euroa</w:t>
            </w:r>
          </w:p>
        </w:tc>
      </w:tr>
    </w:tbl>
    <w:p w:rsidR="00B0093E" w:rsidRDefault="00B0093E">
      <w:pPr>
        <w:keepNext/>
        <w:spacing w:before="40" w:after="0" w:line="259" w:lineRule="auto"/>
        <w:jc w:val="both"/>
        <w:rPr>
          <w:rFonts w:ascii="Times New Roman" w:eastAsia="Times New Roman" w:hAnsi="Times New Roman" w:cs="Times New Roman"/>
          <w:bCs/>
          <w:noProof/>
          <w:sz w:val="24"/>
          <w:szCs w:val="26"/>
        </w:rPr>
      </w:pPr>
    </w:p>
    <w:p w:rsidR="00B0093E" w:rsidRDefault="00762CA6">
      <w:pPr>
        <w:keepNext/>
        <w:numPr>
          <w:ilvl w:val="1"/>
          <w:numId w:val="20"/>
        </w:numPr>
        <w:spacing w:before="40" w:after="160" w:line="259" w:lineRule="auto"/>
        <w:ind w:left="0"/>
        <w:contextualSpacing/>
        <w:jc w:val="both"/>
        <w:rPr>
          <w:rFonts w:ascii="Times New Roman" w:hAnsi="Times New Roman" w:cs="Times New Roman"/>
          <w:noProof/>
          <w:sz w:val="24"/>
        </w:rPr>
      </w:pPr>
      <w:r>
        <w:rPr>
          <w:rFonts w:ascii="Times New Roman" w:hAnsi="Times New Roman"/>
          <w:noProof/>
          <w:sz w:val="24"/>
        </w:rPr>
        <w:t xml:space="preserve"> Kuudes maksupyyntö (lainatuki): </w:t>
      </w:r>
    </w:p>
    <w:tbl>
      <w:tblPr>
        <w:tblW w:w="9535" w:type="dxa"/>
        <w:tblInd w:w="113" w:type="dxa"/>
        <w:tblLook w:val="04A0" w:firstRow="1" w:lastRow="0" w:firstColumn="1" w:lastColumn="0" w:noHBand="0" w:noVBand="1"/>
      </w:tblPr>
      <w:tblGrid>
        <w:gridCol w:w="1804"/>
        <w:gridCol w:w="4283"/>
        <w:gridCol w:w="1692"/>
        <w:gridCol w:w="1756"/>
      </w:tblGrid>
      <w:tr w:rsidR="00B0093E">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Numero</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Toimenpide (uudistus tai investointi)</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Välitavoite/tavoite</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Nimi</w:t>
            </w:r>
          </w:p>
        </w:tc>
      </w:tr>
      <w:tr w:rsidR="00B0093E">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328</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 Kilpailukyvyn parantaminen ja yksityisten investointien ja viennin edistäminen – 16980_RRP-lainajärjestely</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Tavoite</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11728 miljoonaa euroa rahoituslaitosten varoja allekirjoitettu lopullisten edunsaajien kanssa</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329</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4.7. Kilpailukyvyn parantaminen ja yksityisten investointien ja viennin edistäminen – 16980_RRP-lainajärjestely</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 xml:space="preserve">100 % oman pääoman ehtoisesta tuesta </w:t>
            </w:r>
          </w:p>
        </w:tc>
      </w:tr>
      <w:tr w:rsidR="00B0093E">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330</w:t>
            </w:r>
          </w:p>
        </w:tc>
        <w:tc>
          <w:tcPr>
            <w:tcW w:w="4283"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 xml:space="preserve">4.7. Kilpailukyvyn parantaminen ja yksityisten investointien ja viennin edistäminen – </w:t>
            </w:r>
            <w:r>
              <w:rPr>
                <w:rFonts w:ascii="Times New Roman" w:hAnsi="Times New Roman"/>
                <w:noProof/>
                <w:sz w:val="18"/>
                <w:szCs w:val="18"/>
              </w:rPr>
              <w:t>16980_RRP-lainajärjestely</w:t>
            </w:r>
          </w:p>
        </w:tc>
        <w:tc>
          <w:tcPr>
            <w:tcW w:w="1692"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Tavoite</w:t>
            </w:r>
          </w:p>
        </w:tc>
        <w:tc>
          <w:tcPr>
            <w:tcW w:w="1756" w:type="dxa"/>
            <w:tcBorders>
              <w:top w:val="nil"/>
              <w:left w:val="nil"/>
              <w:bottom w:val="single" w:sz="4" w:space="0" w:color="auto"/>
              <w:right w:val="single" w:sz="4" w:space="0" w:color="auto"/>
            </w:tcBorders>
            <w:shd w:val="clear" w:color="000000" w:fill="C6EFCE"/>
            <w:noWrap/>
            <w:vAlign w:val="center"/>
          </w:tcPr>
          <w:p w:rsidR="00B0093E" w:rsidRDefault="00762CA6">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Toimien hyväksyminen InvestEU-ohjelmassa</w:t>
            </w:r>
          </w:p>
        </w:tc>
      </w:tr>
      <w:tr w:rsidR="00B0093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B0093E" w:rsidRDefault="00B0093E">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Erän suuruus</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B0093E" w:rsidRDefault="00762CA6">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2 121 256 485 euroa</w:t>
            </w:r>
          </w:p>
        </w:tc>
      </w:tr>
    </w:tbl>
    <w:p w:rsidR="00B0093E" w:rsidRDefault="00762CA6">
      <w:pPr>
        <w:rPr>
          <w:rFonts w:ascii="Times New Roman" w:hAnsi="Times New Roman" w:cs="Times New Roman"/>
          <w:b/>
          <w:bCs/>
          <w:noProof/>
          <w:sz w:val="24"/>
        </w:rPr>
      </w:pPr>
      <w:r>
        <w:rPr>
          <w:noProof/>
        </w:rPr>
        <w:br w:type="page"/>
      </w:r>
    </w:p>
    <w:p w:rsidR="00B0093E" w:rsidRDefault="00762CA6">
      <w:pPr>
        <w:keepNext/>
        <w:tabs>
          <w:tab w:val="num" w:pos="850"/>
        </w:tabs>
        <w:spacing w:before="120" w:after="120" w:line="259" w:lineRule="auto"/>
        <w:ind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 xml:space="preserve">OSIO 3: LISÄJÄRJESTELYT </w:t>
      </w:r>
    </w:p>
    <w:p w:rsidR="00B0093E" w:rsidRDefault="00762CA6">
      <w:pPr>
        <w:numPr>
          <w:ilvl w:val="6"/>
          <w:numId w:val="15"/>
        </w:numPr>
        <w:spacing w:before="120" w:after="120" w:line="240" w:lineRule="auto"/>
        <w:ind w:left="0" w:hanging="567"/>
        <w:jc w:val="both"/>
        <w:rPr>
          <w:rFonts w:ascii="Times New Roman" w:eastAsia="Times New Roman" w:hAnsi="Times New Roman" w:cs="Times New Roman"/>
          <w:b/>
          <w:noProof/>
          <w:sz w:val="24"/>
        </w:rPr>
      </w:pPr>
      <w:r>
        <w:rPr>
          <w:rFonts w:ascii="Times New Roman" w:hAnsi="Times New Roman"/>
          <w:b/>
          <w:bCs/>
          <w:noProof/>
          <w:sz w:val="24"/>
        </w:rPr>
        <w:t>Elpymis- ja palautumissuunnitelman seuranta- ja täytäntöönpanojärjestelyt</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Kreikan elpymis- ja palautumissuunnitelman seurannassa ja täytäntöönpanossa on noudatettava seuraavia järjestelyjä: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Elpymis- ja palautumissuunnitelman täytäntöönpanon ja seurannan koordinoinnista ja seurannasta vastaa pääasiassa elpymis- ja palautumistuki</w:t>
      </w:r>
      <w:r>
        <w:rPr>
          <w:rFonts w:ascii="Times New Roman" w:hAnsi="Times New Roman"/>
          <w:noProof/>
          <w:sz w:val="24"/>
        </w:rPr>
        <w:t>välineen koordinointivirasto, joka on valtiovarainministeriön riippumaton julkishallinnon yksikkö, joka on perustettu lailla 4738/2020. Elpymis- ja palautumistukivälineen koordinointivirasto on myös vastuussa sen todentamisesta, että elpymis- ja palautumis</w:t>
      </w:r>
      <w:r>
        <w:rPr>
          <w:rFonts w:ascii="Times New Roman" w:hAnsi="Times New Roman"/>
          <w:noProof/>
          <w:sz w:val="24"/>
        </w:rPr>
        <w:t>suunnitelman välitavoitteet ja tavoitteet on täytetty, ja se toimii myös (keskitettynä) yhteystahona Euroopan komission ja Kreikan viranomaisten välillä. Sen tehtäviin kuuluu erityisesti hankkeiden edistymisen aktiivinen seuranta sovittujen välitavoitteide</w:t>
      </w:r>
      <w:r>
        <w:rPr>
          <w:rFonts w:ascii="Times New Roman" w:hAnsi="Times New Roman"/>
          <w:noProof/>
          <w:sz w:val="24"/>
        </w:rPr>
        <w:t xml:space="preserve">n ja tavoitteiden perusteella sekä maksupyyntöjen toimittaminen Euroopan komissiolle sen jälkeen, kun hankkeiden loppuun saattaminen on varmistettu. Jälkimmäiseen on liitettävä johdon vahvistuslausuma siitä, että varat on käytetty aiottuihin tarkoituksiin </w:t>
      </w:r>
      <w:r>
        <w:rPr>
          <w:rFonts w:ascii="Times New Roman" w:hAnsi="Times New Roman"/>
          <w:noProof/>
          <w:sz w:val="24"/>
        </w:rPr>
        <w:t>moitteettoman varainhoidon periaatteen mukaisesti, sekä yhteenveto tehdyistä tarkastuksista, mukaan lukien havaitut puutteet ja toteutetut korjaavat toimet.</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Kokonaisvastuu kunkin erityistoimenpiteen täytäntöönpanosta kuuluu sen asianomaisen ministeriön toi</w:t>
      </w:r>
      <w:r>
        <w:rPr>
          <w:rFonts w:ascii="Times New Roman" w:hAnsi="Times New Roman"/>
          <w:noProof/>
          <w:sz w:val="24"/>
        </w:rPr>
        <w:t xml:space="preserve">mivaltaan, jonka yksiköt tukevat hankkeiden edistymisen seurantaa ja tekevät tiivistä yhteistyötä elpymis- ja palautumistukivälineen koordinointiviraston kanssa.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Kaikki suunnitelman toimenpiteet toteuttavat toimivaltaisen ministeriön nimittämät kansallise</w:t>
      </w:r>
      <w:r>
        <w:rPr>
          <w:rFonts w:ascii="Times New Roman" w:hAnsi="Times New Roman"/>
          <w:noProof/>
          <w:sz w:val="24"/>
        </w:rPr>
        <w:t>t elimet, jäljempänä ’täytäntöönpanoelimet’, ja ne vastaavat sovittujen välitavoitteiden ja tavoitteiden saavuttamisesta sekä kaikkien tietojen ja asiakirjojen raportoinnista elpymis- ja palautumistukivälineen koordinointivirastolle perustettavan hallinnon</w:t>
      </w:r>
      <w:r>
        <w:rPr>
          <w:rFonts w:ascii="Times New Roman" w:hAnsi="Times New Roman"/>
          <w:noProof/>
          <w:sz w:val="24"/>
        </w:rPr>
        <w:t xml:space="preserve"> tietojärjestelmän kautta. </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Lopuksi varainhoidon tarkastuskomitea (EDEL, joka on osa valtiovarainministeriön finanssipolitiikan pääsihteeristöä (valtion kirjanpitovirasto) valvoo moitteettoman varainhoidon periaatteiden noudattamista.</w:t>
      </w:r>
    </w:p>
    <w:p w:rsidR="00B0093E" w:rsidRDefault="00B0093E">
      <w:pPr>
        <w:spacing w:before="120" w:after="120" w:line="240" w:lineRule="auto"/>
        <w:jc w:val="both"/>
        <w:rPr>
          <w:rFonts w:ascii="Times New Roman" w:hAnsi="Times New Roman" w:cs="Times New Roman"/>
          <w:noProof/>
          <w:sz w:val="24"/>
        </w:rPr>
      </w:pPr>
    </w:p>
    <w:p w:rsidR="00B0093E" w:rsidRDefault="00762CA6">
      <w:pPr>
        <w:numPr>
          <w:ilvl w:val="6"/>
          <w:numId w:val="15"/>
        </w:numPr>
        <w:spacing w:before="120" w:after="120" w:line="240" w:lineRule="auto"/>
        <w:ind w:left="0" w:hanging="567"/>
        <w:jc w:val="both"/>
        <w:rPr>
          <w:rFonts w:ascii="Times New Roman" w:hAnsi="Times New Roman" w:cs="Times New Roman"/>
          <w:noProof/>
          <w:sz w:val="24"/>
        </w:rPr>
      </w:pPr>
      <w:r>
        <w:rPr>
          <w:rFonts w:ascii="Times New Roman" w:hAnsi="Times New Roman"/>
          <w:b/>
          <w:bCs/>
          <w:noProof/>
          <w:sz w:val="24"/>
        </w:rPr>
        <w:t xml:space="preserve">Järjestelyt, joiden </w:t>
      </w:r>
      <w:r>
        <w:rPr>
          <w:rFonts w:ascii="Times New Roman" w:hAnsi="Times New Roman"/>
          <w:b/>
          <w:bCs/>
          <w:noProof/>
          <w:sz w:val="24"/>
        </w:rPr>
        <w:t>mukaisesti komissio saa täyden pääsyn perustana oleviin tietoihin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Kreikan on otettava käyttöön seuraavat järjestelyt, jotta se voi antaa komissiolle rajoittamattoman pääsyn merkityksellisiin taustatietoihin:</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Elpymis- ja palautumistukivälineen koordinointiv</w:t>
      </w:r>
      <w:r>
        <w:rPr>
          <w:rFonts w:ascii="Times New Roman" w:hAnsi="Times New Roman"/>
          <w:noProof/>
          <w:sz w:val="24"/>
        </w:rPr>
        <w:t>irasto, joka on Kreikan elpymis- ja palautumissuunnitelman ja sen täytäntöönpanon keskitetty koordinointielin, vastaa suunnitelman yleisestä koordinoinnista ja seurannasta. Se toimii erityisesti koordinointielimenä, jonka tehtävänä on seurata välitavoittei</w:t>
      </w:r>
      <w:r>
        <w:rPr>
          <w:rFonts w:ascii="Times New Roman" w:hAnsi="Times New Roman"/>
          <w:noProof/>
          <w:sz w:val="24"/>
        </w:rPr>
        <w:t>den ja tavoitteiden edistymistä, seurata ja tarvittaessa toteuttaa valvonta- ja tarkastustoimia sekä toimittaa kertomuksia ja maksupyyntöjä. Se koordinoi välitavoitteiden ja tavoitteiden raportointia, asiaankuuluvia indikaattoreita mutta myös laadullisia t</w:t>
      </w:r>
      <w:r>
        <w:rPr>
          <w:rFonts w:ascii="Times New Roman" w:hAnsi="Times New Roman"/>
          <w:noProof/>
          <w:sz w:val="24"/>
        </w:rPr>
        <w:t>aloudellisia tietoja ja muita tietoja, kuten lopullisista edunsaajista. Tiedot koodataan kaikissa täytäntöönpanoelimissä, joiden on raportoitava vaaditut tiedot elpymis- ja palautumistukivälineen koordinointivirastolle hallinnointitietojärjestelmän kautta.</w:t>
      </w:r>
    </w:p>
    <w:p w:rsidR="00B0093E" w:rsidRDefault="00762CA6">
      <w:pPr>
        <w:spacing w:before="120" w:after="120" w:line="240" w:lineRule="auto"/>
        <w:jc w:val="both"/>
        <w:rPr>
          <w:rFonts w:ascii="Times New Roman" w:hAnsi="Times New Roman" w:cs="Times New Roman"/>
          <w:noProof/>
          <w:sz w:val="24"/>
        </w:rPr>
      </w:pPr>
      <w:r>
        <w:rPr>
          <w:rFonts w:ascii="Times New Roman" w:hAnsi="Times New Roman"/>
          <w:noProof/>
          <w:sz w:val="24"/>
        </w:rPr>
        <w:t>Kun tämän liitteen 2.1 jaksossa esitetyt sovitut välitavoitteet ja tavoitteet on saavutettu, Kreikan on asetuksen (EU) 2021/241 24 artiklan 2 kohdan mukaisesti toimitettava komissiolle asianmukaisesti perusteltu pyyntö rahoitusosuuden ja tarvittaessa lain</w:t>
      </w:r>
      <w:r>
        <w:rPr>
          <w:rFonts w:ascii="Times New Roman" w:hAnsi="Times New Roman"/>
          <w:noProof/>
          <w:sz w:val="24"/>
        </w:rPr>
        <w:t>an maksamiseksi. Kreikan on varmistettava, että komissiolla on pyynnöstä täysimääräinen pääsy asiaankuuluviin tietoihin, jotka tukevat maksupyynnön asianmukaisia perusteluja sekä asetuksen (EU) 2021/241 24 artiklan 3 kohdan mukaista maksupyynnön arviointia</w:t>
      </w:r>
      <w:r>
        <w:rPr>
          <w:rFonts w:ascii="Times New Roman" w:hAnsi="Times New Roman"/>
          <w:noProof/>
          <w:sz w:val="24"/>
        </w:rPr>
        <w:t xml:space="preserve"> että tarkastus- ja valvontatarkoituksia varten. </w:t>
      </w:r>
    </w:p>
    <w:p w:rsidR="00B0093E" w:rsidRDefault="00B0093E">
      <w:pPr>
        <w:spacing w:before="120" w:after="120"/>
        <w:rPr>
          <w:noProof/>
        </w:rPr>
      </w:pPr>
    </w:p>
    <w:sectPr w:rsidR="00B0093E">
      <w:headerReference w:type="even" r:id="rId335"/>
      <w:headerReference w:type="default" r:id="rId336"/>
      <w:footerReference w:type="even" r:id="rId337"/>
      <w:footerReference w:type="default" r:id="rId338"/>
      <w:headerReference w:type="first" r:id="rId339"/>
      <w:footerReference w:type="first" r:id="rId34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93E" w:rsidRDefault="00762CA6">
      <w:pPr>
        <w:spacing w:after="0" w:line="240" w:lineRule="auto"/>
      </w:pPr>
      <w:r>
        <w:separator/>
      </w:r>
    </w:p>
  </w:endnote>
  <w:endnote w:type="continuationSeparator" w:id="0">
    <w:p w:rsidR="00B0093E" w:rsidRDefault="00762CA6">
      <w:pPr>
        <w:spacing w:after="0" w:line="240" w:lineRule="auto"/>
      </w:pPr>
      <w:r>
        <w:continuationSeparator/>
      </w:r>
    </w:p>
  </w:endnote>
  <w:endnote w:type="continuationNotice" w:id="1">
    <w:p w:rsidR="00B0093E" w:rsidRDefault="00B00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A6" w:rsidRPr="00762CA6" w:rsidRDefault="00762CA6" w:rsidP="00762CA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153</w:t>
    </w:r>
    <w:r>
      <w:fldChar w:fldCharType="end"/>
    </w:r>
    <w:r>
      <w:tab/>
    </w:r>
    <w:r>
      <w:tab/>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160</w:t>
    </w:r>
    <w:r>
      <w:fldChar w:fldCharType="end"/>
    </w:r>
    <w:r>
      <w:tab/>
    </w:r>
    <w:r>
      <w:tab/>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w:instrText>
    </w:r>
    <w:r>
      <w:instrText xml:space="preserve">GE  \* MERGEFORMAT </w:instrText>
    </w:r>
    <w:r>
      <w:fldChar w:fldCharType="separate"/>
    </w:r>
    <w:r>
      <w:rPr>
        <w:noProof/>
      </w:rPr>
      <w:t>163</w:t>
    </w:r>
    <w:r>
      <w:fldChar w:fldCharType="end"/>
    </w:r>
    <w:r>
      <w:tab/>
    </w:r>
    <w:r>
      <w:tab/>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15</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166</w:t>
    </w:r>
    <w:r>
      <w:fldChar w:fldCharType="end"/>
    </w:r>
    <w:r>
      <w:tab/>
    </w:r>
    <w:r>
      <w:tab/>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169</w:t>
    </w:r>
    <w:r>
      <w:fldChar w:fldCharType="end"/>
    </w:r>
    <w:r>
      <w:tab/>
    </w:r>
    <w:r>
      <w:tab/>
    </w: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173</w:t>
    </w:r>
    <w:r>
      <w:fldChar w:fldCharType="end"/>
    </w:r>
    <w:r>
      <w:tab/>
    </w:r>
    <w:r>
      <w:tab/>
    </w: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188</w:t>
    </w:r>
    <w:r>
      <w:fldChar w:fldCharType="end"/>
    </w:r>
    <w:r>
      <w:tab/>
    </w: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190</w:t>
    </w:r>
    <w:r>
      <w:fldChar w:fldCharType="end"/>
    </w:r>
    <w:r>
      <w:tab/>
    </w:r>
    <w:r>
      <w:tab/>
    </w: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193</w:t>
    </w:r>
    <w:r>
      <w:fldChar w:fldCharType="end"/>
    </w:r>
    <w:r>
      <w:tab/>
    </w:r>
    <w:r>
      <w:tab/>
    </w: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204</w:t>
    </w:r>
    <w:r>
      <w:fldChar w:fldCharType="end"/>
    </w:r>
    <w:r>
      <w:tab/>
    </w:r>
    <w:r>
      <w:tab/>
    </w: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215</w:t>
    </w:r>
    <w:r>
      <w:fldChar w:fldCharType="end"/>
    </w:r>
    <w:r>
      <w:tab/>
    </w:r>
    <w:r>
      <w:tab/>
    </w: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220</w:t>
    </w:r>
    <w:r>
      <w:fldChar w:fldCharType="end"/>
    </w:r>
    <w:r>
      <w:tab/>
    </w:r>
    <w:r>
      <w:tab/>
    </w: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222</w:t>
    </w:r>
    <w:r>
      <w:fldChar w:fldCharType="end"/>
    </w:r>
    <w:r>
      <w:tab/>
    </w:r>
    <w:r>
      <w:tab/>
    </w: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20</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225</w:t>
    </w:r>
    <w:r>
      <w:fldChar w:fldCharType="end"/>
    </w:r>
    <w:r>
      <w:tab/>
    </w:r>
    <w:r>
      <w:tab/>
    </w: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227</w:t>
    </w:r>
    <w:r>
      <w:fldChar w:fldCharType="end"/>
    </w:r>
    <w:r>
      <w:tab/>
    </w:r>
    <w:r>
      <w:tab/>
    </w: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231</w:t>
    </w:r>
    <w:r>
      <w:fldChar w:fldCharType="end"/>
    </w:r>
    <w:r>
      <w:tab/>
    </w:r>
    <w:r>
      <w:tab/>
    </w: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w:instrText>
    </w:r>
    <w:r>
      <w:instrText xml:space="preserve">ORMAT </w:instrText>
    </w:r>
    <w:r>
      <w:fldChar w:fldCharType="separate"/>
    </w:r>
    <w:r>
      <w:rPr>
        <w:noProof/>
      </w:rPr>
      <w:t>232</w:t>
    </w:r>
    <w:r>
      <w:fldChar w:fldCharType="end"/>
    </w:r>
    <w:r>
      <w:tab/>
    </w:r>
    <w: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233</w:t>
    </w:r>
    <w:r>
      <w:fldChar w:fldCharType="end"/>
    </w:r>
    <w:r>
      <w:tab/>
    </w:r>
    <w:r>
      <w:tab/>
    </w: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jc w:val="center"/>
    </w:pPr>
    <w:r>
      <w:fldChar w:fldCharType="begin"/>
    </w:r>
    <w:r>
      <w:instrText xml:space="preserve"> PAGE  \* MERGEFORMAT </w:instrText>
    </w:r>
    <w:r>
      <w:fldChar w:fldCharType="separate"/>
    </w:r>
    <w:r>
      <w:rPr>
        <w:noProof/>
      </w:rPr>
      <w:t>239</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jc w:val="center"/>
    </w:pPr>
    <w:r>
      <w:fldChar w:fldCharType="begin"/>
    </w:r>
    <w:r>
      <w:instrText xml:space="preserve"> PAGE  \* MERGEFORMAT </w:instrText>
    </w:r>
    <w:r>
      <w:fldChar w:fldCharType="separate"/>
    </w:r>
    <w:r>
      <w:rPr>
        <w:noProof/>
      </w:rPr>
      <w:t>242</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jc w:val="center"/>
    </w:pPr>
    <w:r>
      <w:fldChar w:fldCharType="begin"/>
    </w:r>
    <w:r>
      <w:instrText xml:space="preserve"> PAGE  \* MERGEFORMAT </w:instrText>
    </w:r>
    <w:r>
      <w:fldChar w:fldCharType="separate"/>
    </w:r>
    <w:r>
      <w:rPr>
        <w:noProof/>
      </w:rPr>
      <w:t>262</w: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29</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A6" w:rsidRPr="00762CA6" w:rsidRDefault="00762CA6" w:rsidP="00762CA6">
    <w:pPr>
      <w:pStyle w:val="FooterCoverPage"/>
      <w:rPr>
        <w:rFonts w:ascii="Arial" w:hAnsi="Arial" w:cs="Arial"/>
        <w:b/>
        <w:sz w:val="48"/>
      </w:rPr>
    </w:pPr>
    <w:r w:rsidRPr="00762CA6">
      <w:rPr>
        <w:rFonts w:ascii="Arial" w:hAnsi="Arial" w:cs="Arial"/>
        <w:b/>
        <w:sz w:val="48"/>
      </w:rPr>
      <w:t>FI</w:t>
    </w:r>
    <w:r w:rsidRPr="00762CA6">
      <w:rPr>
        <w:rFonts w:ascii="Arial" w:hAnsi="Arial" w:cs="Arial"/>
        <w:b/>
        <w:sz w:val="48"/>
      </w:rPr>
      <w:tab/>
    </w:r>
    <w:r w:rsidRPr="00762CA6">
      <w:rPr>
        <w:rFonts w:ascii="Arial" w:hAnsi="Arial" w:cs="Arial"/>
        <w:b/>
        <w:sz w:val="48"/>
      </w:rPr>
      <w:tab/>
    </w:r>
    <w:r w:rsidRPr="00762CA6">
      <w:tab/>
    </w:r>
    <w:r w:rsidRPr="00762CA6">
      <w:rPr>
        <w:rFonts w:ascii="Arial" w:hAnsi="Arial" w:cs="Arial"/>
        <w:b/>
        <w:sz w:val="48"/>
      </w:rPr>
      <w:t>FI</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30</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35</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40</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50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A6" w:rsidRPr="00762CA6" w:rsidRDefault="00762CA6" w:rsidP="00762CA6">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52</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57</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66</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jc w:val="center"/>
    </w:pPr>
    <w:r>
      <w:fldChar w:fldCharType="begin"/>
    </w:r>
    <w:r>
      <w:instrText xml:space="preserve"> PAGE  \* MERGEFORMAT </w:instrText>
    </w:r>
    <w:r>
      <w:fldChar w:fldCharType="separate"/>
    </w:r>
    <w:r>
      <w:rPr>
        <w:noProof/>
      </w:rPr>
      <w:t>71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Landscape"/>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jc w:val="center"/>
    </w:pPr>
    <w:r>
      <w:fldChar w:fldCharType="begin"/>
    </w:r>
    <w:r>
      <w:instrText xml:space="preserve"> PAGE  \* MERGEFORMAT </w:instrText>
    </w:r>
    <w:r>
      <w:fldChar w:fldCharType="separate"/>
    </w:r>
    <w:r>
      <w:rPr>
        <w:noProof/>
      </w:rPr>
      <w:t>85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Landscape"/>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88</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1</w:t>
    </w:r>
    <w:r>
      <w:fldChar w:fldCharType="end"/>
    </w:r>
  </w:p>
  <w:p w:rsidR="00B0093E" w:rsidRDefault="00B0093E">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93</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89</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91</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93</w:t>
    </w:r>
    <w: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Landscape"/>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97</w:t>
    </w:r>
    <w:r>
      <w:fldChar w:fldCharType="end"/>
    </w:r>
    <w:r>
      <w:tab/>
    </w:r>
    <w:r>
      <w:tab/>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w:instrText>
    </w:r>
    <w:r>
      <w:instrText xml:space="preserve">T </w:instrText>
    </w:r>
    <w:r>
      <w:fldChar w:fldCharType="separate"/>
    </w:r>
    <w:r>
      <w:rPr>
        <w:noProof/>
      </w:rPr>
      <w:t>100</w:t>
    </w:r>
    <w:r>
      <w:fldChar w:fldCharType="end"/>
    </w:r>
    <w:r>
      <w:tab/>
    </w:r>
    <w:r>
      <w:tab/>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Landscape"/>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105</w:t>
    </w:r>
    <w:r>
      <w:fldChar w:fldCharType="end"/>
    </w:r>
    <w:r>
      <w:tab/>
    </w:r>
    <w:r>
      <w:tab/>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110</w:t>
    </w:r>
    <w:r>
      <w:fldChar w:fldCharType="end"/>
    </w:r>
    <w:r>
      <w:tab/>
    </w:r>
    <w:r>
      <w:tab/>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113</w:t>
    </w:r>
    <w:r>
      <w:fldChar w:fldCharType="end"/>
    </w:r>
    <w:r>
      <w:tab/>
    </w:r>
    <w:r>
      <w:tab/>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Landscape"/>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121</w:t>
    </w:r>
    <w:r>
      <w:fldChar w:fldCharType="end"/>
    </w:r>
    <w:r>
      <w:tab/>
    </w:r>
    <w:r>
      <w:tab/>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10</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126</w:t>
    </w:r>
    <w:r>
      <w:fldChar w:fldCharType="end"/>
    </w:r>
    <w:r>
      <w:tab/>
    </w:r>
    <w:r>
      <w:tab/>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Landscape"/>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jc w:val="center"/>
    </w:pPr>
    <w:r>
      <w:fldChar w:fldCharType="begin"/>
    </w:r>
    <w:r>
      <w:instrText xml:space="preserve"> PAGE   \* MERGEFORMAT </w:instrText>
    </w:r>
    <w:r>
      <w:fldChar w:fldCharType="separate"/>
    </w:r>
    <w:r>
      <w:rPr>
        <w:noProof/>
      </w:rPr>
      <w:t>129</w:t>
    </w:r>
    <w:r>
      <w:fldChar w:fldCharType="end"/>
    </w:r>
  </w:p>
  <w:p w:rsidR="00B0093E" w:rsidRDefault="00B0093E">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Landscape"/>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133</w:t>
    </w:r>
    <w:r>
      <w:fldChar w:fldCharType="end"/>
    </w:r>
    <w:r>
      <w:tab/>
    </w:r>
    <w:r>
      <w:tab/>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136</w:t>
    </w:r>
    <w:r>
      <w:fldChar w:fldCharType="end"/>
    </w:r>
    <w:r>
      <w:tab/>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
    </w:pPr>
    <w:r>
      <w:rPr>
        <w:rFonts w:ascii="Arial" w:hAnsi="Arial"/>
        <w:b/>
        <w:sz w:val="48"/>
      </w:rPr>
      <w:tab/>
    </w:r>
    <w:r>
      <w:fldChar w:fldCharType="begin"/>
    </w:r>
    <w:r>
      <w:instrText xml:space="preserve"> PAGE  \* MERGEFORMAT </w:instrText>
    </w:r>
    <w:r>
      <w:fldChar w:fldCharType="separate"/>
    </w:r>
    <w:r>
      <w:rPr>
        <w:noProof/>
      </w:rPr>
      <w:t>140</w:t>
    </w:r>
    <w:r>
      <w:fldChar w:fldCharType="end"/>
    </w:r>
    <w:r>
      <w:tab/>
    </w:r>
    <w:r>
      <w:tab/>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143</w:t>
    </w:r>
    <w:r>
      <w:fldChar w:fldCharType="end"/>
    </w:r>
    <w:r>
      <w:tab/>
    </w:r>
    <w:r>
      <w:tab/>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762CA6">
    <w:pPr>
      <w:pStyle w:val="FooterLandscape"/>
    </w:pPr>
    <w:r>
      <w:rPr>
        <w:rFonts w:ascii="Arial" w:hAnsi="Arial"/>
        <w:b/>
        <w:sz w:val="48"/>
      </w:rPr>
      <w:tab/>
    </w:r>
    <w:r>
      <w:fldChar w:fldCharType="begin"/>
    </w:r>
    <w:r>
      <w:instrText xml:space="preserve"> PAGE  \* MERGEFORMAT </w:instrText>
    </w:r>
    <w:r>
      <w:fldChar w:fldCharType="separate"/>
    </w:r>
    <w:r>
      <w:rPr>
        <w:noProof/>
      </w:rPr>
      <w:t>150</w:t>
    </w:r>
    <w:r>
      <w:fldChar w:fldCharType="end"/>
    </w:r>
    <w:r>
      <w:tab/>
    </w:r>
    <w:r>
      <w:tab/>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93E" w:rsidRDefault="00762CA6">
      <w:pPr>
        <w:spacing w:after="0" w:line="240" w:lineRule="auto"/>
      </w:pPr>
      <w:r>
        <w:separator/>
      </w:r>
    </w:p>
  </w:footnote>
  <w:footnote w:type="continuationSeparator" w:id="0">
    <w:p w:rsidR="00B0093E" w:rsidRDefault="00762CA6">
      <w:pPr>
        <w:spacing w:after="0" w:line="240" w:lineRule="auto"/>
      </w:pPr>
      <w:r>
        <w:continuationSeparator/>
      </w:r>
    </w:p>
  </w:footnote>
  <w:footnote w:type="continuationNotice" w:id="1">
    <w:p w:rsidR="00B0093E" w:rsidRDefault="00B0093E">
      <w:pPr>
        <w:spacing w:after="0" w:line="240" w:lineRule="auto"/>
      </w:pPr>
    </w:p>
  </w:footnote>
  <w:footnote w:id="2">
    <w:p w:rsidR="00B0093E" w:rsidRDefault="00762CA6">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Lukuun ottamatta tämän toimenpiteen mukaisia sähkön- ja/tai lämmöntuotantoon sekä siihen liittyvään maakaasun siirto- ja jakeluinfrastruktuuriin liittyviä hankkeit</w:t>
      </w:r>
      <w:r>
        <w:rPr>
          <w:rStyle w:val="FootnoteReference"/>
          <w:vertAlign w:val="baseline"/>
        </w:rPr>
        <w:t>a, jotka täyttävät ”ei merkittävää haittaa” -periaatteen teknisten ohjeiden (2021/C58/01) liitteen III mukaiset vaatimukset.</w:t>
      </w:r>
    </w:p>
  </w:footnote>
  <w:footnote w:id="3">
    <w:p w:rsidR="00B0093E" w:rsidRDefault="00762CA6">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Jos tuetulla toiminnalla saavutetaan ennustetut kasvihuonepäästöt, jotka eivät merkittävästi alita asiaankuuluvia viitearvoja, on</w:t>
      </w:r>
      <w:r>
        <w:rPr>
          <w:rStyle w:val="FootnoteReference"/>
          <w:vertAlign w:val="baseline"/>
        </w:rPr>
        <w:t xml:space="preserve"> toimitettava selvitys siitä, miksi tämä ei ole mahdollista. Päästökauppajärjestelmässä ilmaisjakomäärien laskemiseen käytettävät vahvistetut vertailuarvot sen soveltamisalaan kuuluvien toimien osalta komission täytäntöönpanoasetuksen (EU) 2021/447 mukaise</w:t>
      </w:r>
      <w:r>
        <w:rPr>
          <w:rStyle w:val="FootnoteReference"/>
          <w:vertAlign w:val="baseline"/>
        </w:rPr>
        <w:t>sti.</w:t>
      </w:r>
    </w:p>
  </w:footnote>
  <w:footnote w:id="4">
    <w:p w:rsidR="00B0093E" w:rsidRDefault="00762CA6">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Tämä soveltamisalan ulkopuolelle jättäminen ei koske tämän toimenpiteen mukaisia toimia laitoksissa, jotka on tarkoitettu yksinomaan kierrätykseen kelpaamattoman vaarallisen jätteen käsittelemiseen, eikä käytössä olevia laitoksia, joissa tämän toime</w:t>
      </w:r>
      <w:r>
        <w:rPr>
          <w:rStyle w:val="FootnoteReference"/>
          <w:vertAlign w:val="baseline"/>
        </w:rPr>
        <w:t>npiteen mukaisilla toiminnoilla pyritään energiatehokkuuden lisäämiseen, pakokaasujen talteen ottamiseen varastointia tai käyttöä varten tai materiaalin talteen ottamiseen polttotuhkasta edellyttäen, että tämän toimenpiteen mukaiset toimet eivät lisää lait</w:t>
      </w:r>
      <w:r>
        <w:rPr>
          <w:rStyle w:val="FootnoteReference"/>
          <w:vertAlign w:val="baseline"/>
        </w:rPr>
        <w:t>osten jätteenkäsittelykapasiteettia eivätkä pidennä niiden käyttöikää; tästä esitetään todisteet laitoksen tasolla.</w:t>
      </w:r>
    </w:p>
  </w:footnote>
  <w:footnote w:id="5">
    <w:p w:rsidR="00B0093E" w:rsidRDefault="00762CA6">
      <w:pPr>
        <w:pStyle w:val="FootnoteText"/>
        <w:ind w:left="0" w:firstLine="0"/>
      </w:pPr>
      <w:r>
        <w:rPr>
          <w:rStyle w:val="FootnoteReference"/>
        </w:rPr>
        <w:footnoteRef/>
      </w:r>
      <w:r>
        <w:rPr>
          <w:rStyle w:val="FootnoteReference"/>
        </w:rPr>
        <w:t xml:space="preserve"> </w:t>
      </w:r>
      <w:r>
        <w:rPr>
          <w:rStyle w:val="FootnoteReference"/>
          <w:vertAlign w:val="baseline"/>
        </w:rPr>
        <w:t>Tämä soveltamisalan ulkopuolelle jättäminen ei koske tämän toimenpiteen mukaisia toimia nykyisissä mekaanisissa biologisissa käsittelylait</w:t>
      </w:r>
      <w:r>
        <w:rPr>
          <w:rStyle w:val="FootnoteReference"/>
          <w:vertAlign w:val="baseline"/>
        </w:rPr>
        <w:t>oksissa, joissa tämän toimenpiteen mukaisilla toimilla pyritään lisäämään energiatehokkuutta tai täydentämään erilliskerätyn jätteen kierrätystoimia biojätteen kompostoimiseksi ja biojätteen anaerobista mädätystä varten edellyttäen, että tämän toimenpiteen</w:t>
      </w:r>
      <w:r>
        <w:rPr>
          <w:rStyle w:val="FootnoteReference"/>
          <w:vertAlign w:val="baseline"/>
        </w:rPr>
        <w:t xml:space="preserve"> mukaiset toimet eivät lisää laitosten jätteenkäsittelykapasiteettia eivätkä pidentää niiden käyttöikää; tästä esitetään todisteet laitoksen tasolla.</w:t>
      </w:r>
    </w:p>
  </w:footnote>
  <w:footnote w:id="6">
    <w:p w:rsidR="00B0093E" w:rsidRDefault="00762CA6">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Lukuun ottamatta tämän toimenpiteen mukaisia sähkön- ja/tai lämmöntuotantoon sekä siihen liittyvään maak</w:t>
      </w:r>
      <w:r>
        <w:rPr>
          <w:rStyle w:val="FootnoteReference"/>
          <w:vertAlign w:val="baseline"/>
        </w:rPr>
        <w:t>aasun siirto- ja jakeluinfrastruktuuriin liittyviä hankkeita, jotka täyttävät ”ei merkittävää haittaa” -periaatteen teknisten ohjeiden (2021/C58/01) liitteen III mukaiset vaatimukset.</w:t>
      </w:r>
    </w:p>
  </w:footnote>
  <w:footnote w:id="7">
    <w:p w:rsidR="00B0093E" w:rsidRDefault="00762CA6">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Jos tuetulla toiminnalla saavutetaan ennustetut kasvihuonepäästöt, jot</w:t>
      </w:r>
      <w:r>
        <w:rPr>
          <w:rStyle w:val="FootnoteReference"/>
          <w:vertAlign w:val="baseline"/>
        </w:rPr>
        <w:t>ka eivät merkittävästi alita asiaankuuluvia viitearvoja, on toimitettava selvitys siitä, miksi tämä ei ole mahdollista. Päästökauppajärjestelmässä ilmaisjakomäärien laskemiseen käytettävät vahvistetut vertailuarvot sen soveltamisalaan kuuluvien toimien osa</w:t>
      </w:r>
      <w:r>
        <w:rPr>
          <w:rStyle w:val="FootnoteReference"/>
          <w:vertAlign w:val="baseline"/>
        </w:rPr>
        <w:t>lta komission täytäntöönpanoasetuksen (EU) 2021/447 mukaisesti.</w:t>
      </w:r>
    </w:p>
  </w:footnote>
  <w:footnote w:id="8">
    <w:p w:rsidR="00B0093E" w:rsidRDefault="00762CA6">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 xml:space="preserve">Tämä soveltamisalan ulkopuolelle jättäminen ei koske tämän toimenpiteen mukaisia toimia laitoksissa, jotka on tarkoitettu yksinomaan kierrätykseen kelpaamattoman vaarallisen jätteen </w:t>
      </w:r>
      <w:r>
        <w:rPr>
          <w:rStyle w:val="FootnoteReference"/>
          <w:vertAlign w:val="baseline"/>
        </w:rPr>
        <w:t>käsittelemiseen, eikä käytössä olevia laitoksia, joissa tämän toimenpiteen mukaisilla toiminnoilla pyritään energiatehokkuuden lisäämiseen, pakokaasujen talteen ottamiseen varastointia tai käyttöä varten tai materiaalin talteen ottamiseen polttotuhkasta ed</w:t>
      </w:r>
      <w:r>
        <w:rPr>
          <w:rStyle w:val="FootnoteReference"/>
          <w:vertAlign w:val="baseline"/>
        </w:rPr>
        <w:t>ellyttäen, että tämän toimenpiteen mukaiset toimet eivät lisää laitosten jätteenkäsittelykapasiteettia eivätkä pidennä niiden käyttöikää; tästä esitetään todisteet laitoksen tasolla.</w:t>
      </w:r>
    </w:p>
  </w:footnote>
  <w:footnote w:id="9">
    <w:p w:rsidR="00B0093E" w:rsidRDefault="00762CA6">
      <w:pPr>
        <w:pStyle w:val="FootnoteText"/>
        <w:ind w:left="0" w:firstLine="0"/>
      </w:pPr>
      <w:r>
        <w:rPr>
          <w:rStyle w:val="FootnoteReference"/>
        </w:rPr>
        <w:footnoteRef/>
      </w:r>
      <w:r>
        <w:rPr>
          <w:rStyle w:val="FootnoteReference"/>
        </w:rPr>
        <w:t xml:space="preserve"> </w:t>
      </w:r>
      <w:r>
        <w:rPr>
          <w:rStyle w:val="FootnoteReference"/>
          <w:vertAlign w:val="baseline"/>
        </w:rPr>
        <w:t>Tämä soveltamisalan ulkopuolelle jättäminen ei koske tämän toimenpiteen</w:t>
      </w:r>
      <w:r>
        <w:rPr>
          <w:rStyle w:val="FootnoteReference"/>
          <w:vertAlign w:val="baseline"/>
        </w:rPr>
        <w:t xml:space="preserve"> mukaisia toimia nykyisissä mekaanisissa biologisissa käsittelylaitoksissa, joissa tämän toimenpiteen mukaisilla toimilla pyritään lisäämään energiatehokkuutta tai täydentämään erilliskerätyn jätteen kierrätystoimia biojätteen kompostoimiseksi ja biojättee</w:t>
      </w:r>
      <w:r>
        <w:rPr>
          <w:rStyle w:val="FootnoteReference"/>
          <w:vertAlign w:val="baseline"/>
        </w:rPr>
        <w:t>n anaerobista mädätystä varten edellyttäen, että tämän toimenpiteen mukaiset toimet eivät lisää laitosten jätteenkäsittelykapasiteettia eivätkä pidennä niiden käyttöikää; tästä esitetään todisteet laitoksen tasolla.</w:t>
      </w:r>
    </w:p>
  </w:footnote>
  <w:footnote w:id="10">
    <w:p w:rsidR="00B0093E" w:rsidRDefault="00762CA6">
      <w:pPr>
        <w:pStyle w:val="FootnoteText"/>
        <w:ind w:left="0" w:firstLine="0"/>
      </w:pPr>
      <w:r>
        <w:rPr>
          <w:rStyle w:val="FootnoteReference"/>
        </w:rPr>
        <w:footnoteRef/>
      </w:r>
      <w:r>
        <w:t xml:space="preserve"> Lukuun ottamatta tämän toimenpiteen mu</w:t>
      </w:r>
      <w:r>
        <w:t>kaisia sähkön- ja/tai lämmöntuotantoon sekä siihen liittyvään maakaasun siirto- ja jakeluinfrastruktuuriin liittyviä hankkeita, jotka täyttävät ”ei merkittävää haittaa” -periaatteen teknisten ohjeiden (2021/C58/01) liitteen III mukaiset vaatimukset.</w:t>
      </w:r>
    </w:p>
  </w:footnote>
  <w:footnote w:id="11">
    <w:p w:rsidR="00B0093E" w:rsidRDefault="00762CA6">
      <w:pPr>
        <w:pStyle w:val="FootnoteText"/>
        <w:ind w:left="0" w:firstLine="0"/>
      </w:pPr>
      <w:r>
        <w:rPr>
          <w:rStyle w:val="FootnoteReference"/>
        </w:rPr>
        <w:footnoteRef/>
      </w:r>
      <w:r>
        <w:t xml:space="preserve"> Jos </w:t>
      </w:r>
      <w:r>
        <w:t>tuetulla toiminnalla saavutetaan ennustetut kasvihuonepäästöt, jotka eivät merkittävästi alita asiaankuuluvia viitearvoja, on toimitettava selvitys siitä, miksi tämä ei ole mahdollista. Päästökauppajärjestelmässä ilmaisjakomäärien laskemiseen käytettävät v</w:t>
      </w:r>
      <w:r>
        <w:t>ahvistetut vertailuarvot sen soveltamisalaan kuuluvien toimien osalta komission täytäntöönpanoasetuksen (EU) 2021/447 mukaisesti.</w:t>
      </w:r>
    </w:p>
  </w:footnote>
  <w:footnote w:id="12">
    <w:p w:rsidR="00B0093E" w:rsidRDefault="00762CA6">
      <w:pPr>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cs="Times New Roman"/>
          <w:sz w:val="20"/>
          <w:szCs w:val="20"/>
        </w:rPr>
        <w:t xml:space="preserve">Tämä soveltamisalan ulkopuolelle jättäminen ei koske tämän toimenpiteen mukaisia toimia laitoksissa, jotka on tarkoitettu </w:t>
      </w:r>
      <w:r>
        <w:rPr>
          <w:rFonts w:ascii="Times New Roman" w:hAnsi="Times New Roman" w:cs="Times New Roman"/>
          <w:sz w:val="20"/>
          <w:szCs w:val="20"/>
        </w:rPr>
        <w:t>yksinomaan kierrätykseen kelpaamattoman vaarallisen jätteen käsittelemiseen, eikä käytössä olevia laitoksia, joissa tämän toimenpiteen mukaisilla toiminnoilla pyritään energiatehokkuuden lisäämiseen, pakokaasujen talteen ottamiseen varastointia tai käyttöä</w:t>
      </w:r>
      <w:r>
        <w:rPr>
          <w:rFonts w:ascii="Times New Roman" w:hAnsi="Times New Roman" w:cs="Times New Roman"/>
          <w:sz w:val="20"/>
          <w:szCs w:val="20"/>
        </w:rPr>
        <w:t xml:space="preserve"> varten tai materiaalin talteen ottamiseen polttotuhkasta edellyttäen, että tämän toimenpiteen mukaiset toimet eivät lisää laitosten jätteenkäsittelykapasiteettia eivätkä pidennä niiden käyttöikää; tästä esitetään todisteet laitoksen tasolla.</w:t>
      </w:r>
    </w:p>
  </w:footnote>
  <w:footnote w:id="13">
    <w:p w:rsidR="00B0093E" w:rsidRDefault="00762CA6">
      <w:pPr>
        <w:pStyle w:val="FootnoteText"/>
        <w:ind w:left="0" w:firstLine="0"/>
      </w:pPr>
      <w:r>
        <w:rPr>
          <w:rStyle w:val="FootnoteReference"/>
        </w:rPr>
        <w:footnoteRef/>
      </w:r>
      <w:r>
        <w:t xml:space="preserve"> Tämä sovelt</w:t>
      </w:r>
      <w:r>
        <w:t>amisalan ulkopuolelle jättäminen ei koske tämän toimenpiteen mukaisia toimia nykyisissä mekaanisissa biologisissa käsittelylaitoksissa, joissa tämän toimenpiteen mukaisilla toimilla pyritään lisäämään energiatehokkuutta tai täydentämään erilliskerätyn jätt</w:t>
      </w:r>
      <w:r>
        <w:t>een kierrätystoimia biojätteen kompostoimiseksi ja biojätteen anaerobista mädätystä varten edellyttäen, että tämän toimenpiteen mukaiset toimet eivät lisää laitosten jätteenkäsittelykapasiteettia eivätkä pidennä niiden käyttöikää; tästä esitetään todisteet</w:t>
      </w:r>
      <w:r>
        <w:t xml:space="preserve"> laitoksen tasolla.</w:t>
      </w:r>
    </w:p>
  </w:footnote>
  <w:footnote w:id="14">
    <w:p w:rsidR="00B0093E" w:rsidRDefault="00762CA6">
      <w:pPr>
        <w:pStyle w:val="FootnoteText"/>
        <w:ind w:left="0" w:firstLine="0"/>
      </w:pPr>
      <w:r>
        <w:rPr>
          <w:rStyle w:val="FootnoteReference"/>
        </w:rPr>
        <w:footnoteRef/>
      </w:r>
      <w:r>
        <w:t xml:space="preserve"> Lukuun ottamatta tämän toimenpiteen mukaisia sähkön- ja/tai lämmöntuotantoon sekä siihen liittyvään maakaasun siirto- ja jakeluinfrastruktuuriin liittyviä hankkeita, jotka täyttävät ”ei merkittävää haittaa” -periaatteen teknisten ohje</w:t>
      </w:r>
      <w:r>
        <w:t>iden (2021/C58/01) liitteen III mukaiset vaatimukset.</w:t>
      </w:r>
    </w:p>
  </w:footnote>
  <w:footnote w:id="15">
    <w:p w:rsidR="00B0093E" w:rsidRDefault="00762CA6">
      <w:pPr>
        <w:pStyle w:val="FootnoteText"/>
        <w:ind w:left="0" w:firstLine="0"/>
      </w:pPr>
      <w:r>
        <w:rPr>
          <w:rStyle w:val="FootnoteReference"/>
        </w:rPr>
        <w:footnoteRef/>
      </w:r>
      <w:r>
        <w:t xml:space="preserve"> Jos tuetulla toiminnalla saavutetaan ennustetut kasvihuonepäästöt, jotka eivät merkittävästi alita asiaankuuluvia viitearvoja, on toimitettava selvitys siitä, miksi tämä ei ole mahdollista. Päästökaup</w:t>
      </w:r>
      <w:r>
        <w:t>pajärjestelmässä ilmaisjakomäärien laskemiseen käytettävät vahvistetut vertailuarvot sen soveltamisalaan kuuluvien toimien osalta komission täytäntöönpanoasetuksen (EU) 2021/447 mukaisesti.</w:t>
      </w:r>
    </w:p>
  </w:footnote>
  <w:footnote w:id="16">
    <w:p w:rsidR="00B0093E" w:rsidRDefault="00762CA6">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Tämä soveltamisalan ulkopuolelle jättäminen ei koske tämän toime</w:t>
      </w:r>
      <w:r>
        <w:rPr>
          <w:rFonts w:ascii="Times New Roman" w:hAnsi="Times New Roman"/>
          <w:sz w:val="20"/>
          <w:szCs w:val="20"/>
        </w:rPr>
        <w:t>npiteen mukaisia toimia laitoksissa, jotka on tarkoitettu yksinomaan kierrätykseen kelpaamattoman vaarallisen jätteen käsittelemiseen, eikä käytössä olevia laitoksia, joissa tämän toimenpiteen mukaisilla toiminnoilla pyritään energiatehokkuuden lisäämiseen</w:t>
      </w:r>
      <w:r>
        <w:rPr>
          <w:rFonts w:ascii="Times New Roman" w:hAnsi="Times New Roman"/>
          <w:sz w:val="20"/>
          <w:szCs w:val="20"/>
        </w:rPr>
        <w:t xml:space="preserve">, pakokaasujen talteen ottamiseen varastointia tai käyttöä varten tai materiaalin talteen ottamiseen polttotuhkasta edellyttäen, että tämän toimenpiteen mukaiset toimet eivät lisää laitosten jätteenkäsittelykapasiteettia eivätkä pidennä niiden käyttöikää; </w:t>
      </w:r>
      <w:r>
        <w:rPr>
          <w:rFonts w:ascii="Times New Roman" w:hAnsi="Times New Roman"/>
          <w:sz w:val="20"/>
          <w:szCs w:val="20"/>
        </w:rPr>
        <w:t>tästä esitetään todisteet laitoksen tasolla.</w:t>
      </w:r>
    </w:p>
  </w:footnote>
  <w:footnote w:id="17">
    <w:p w:rsidR="00B0093E" w:rsidRDefault="00762CA6">
      <w:pPr>
        <w:pStyle w:val="FootnoteText"/>
        <w:ind w:left="0" w:firstLine="0"/>
      </w:pPr>
      <w:r>
        <w:rPr>
          <w:rStyle w:val="FootnoteReference"/>
        </w:rPr>
        <w:footnoteRef/>
      </w:r>
      <w:r>
        <w:t xml:space="preserve"> Tämä soveltamisalan ulkopuolelle jättäminen ei koske tämän toimenpiteen mukaisia toimia nykyisissä mekaanisissa biologisissa käsittelylaitoksissa, joissa tämän toimenpiteen mukaisilla toimilla pyritään lisäämä</w:t>
      </w:r>
      <w:r>
        <w:t>än energiatehokkuutta tai täydentämään erilliskerätyn jätteen kierrätystoimia biojätteen kompostoimiseksi ja biojätteen anaerobista mädätystä varten edellyttäen, että tämän toimenpiteen mukaiset toimet eivät lisää laitosten jätteenkäsittelykapasiteettia ei</w:t>
      </w:r>
      <w:r>
        <w:t>vätkä pidennä niiden käyttöikää; tästä esitetään todisteet laitoksen tasolla.</w:t>
      </w:r>
    </w:p>
  </w:footnote>
  <w:footnote w:id="18">
    <w:p w:rsidR="00B0093E" w:rsidRDefault="00762CA6">
      <w:pPr>
        <w:pStyle w:val="FootnoteText"/>
        <w:ind w:left="0" w:firstLine="0"/>
      </w:pPr>
      <w:r>
        <w:rPr>
          <w:rStyle w:val="FootnoteReference"/>
        </w:rPr>
        <w:footnoteRef/>
      </w:r>
      <w:r>
        <w:t xml:space="preserve"> Lukuun ottamatta tämän toimenpiteen mukaisia sähkön- ja/tai lämmöntuotantoon sekä siihen liittyvään maakaasun siirto- ja jakeluinfrastruktuuriin liittyviä hankkeita, jotka täyt</w:t>
      </w:r>
      <w:r>
        <w:t>tävät ”ei merkittävää haittaa” -periaatteen teknisten ohjeiden (2021/C58/01) liitteen III mukaiset vaatimukset.</w:t>
      </w:r>
    </w:p>
  </w:footnote>
  <w:footnote w:id="19">
    <w:p w:rsidR="00B0093E" w:rsidRDefault="00762CA6">
      <w:pPr>
        <w:pStyle w:val="FootnoteText"/>
        <w:ind w:left="0" w:firstLine="0"/>
      </w:pPr>
      <w:r>
        <w:rPr>
          <w:rStyle w:val="FootnoteReference"/>
        </w:rPr>
        <w:footnoteRef/>
      </w:r>
      <w:r>
        <w:t xml:space="preserve"> Jos tuetulla toiminnalla saavutetaan ennustetut kasvihuonepäästöt, jotka eivät merkittävästi alita asiaankuuluvia viitearvoja, on toimitettava</w:t>
      </w:r>
      <w:r>
        <w:t xml:space="preserve"> selvitys siitä, miksi tämä ei ole mahdollista. Päästökauppajärjestelmässä ilmaisjakomäärien laskemiseen käytettävät vahvistetut vertailuarvot sen soveltamisalaan kuuluvien toimien osalta komission täytäntöönpanoasetuksen (EU) 2021/447 mukaisesti.</w:t>
      </w:r>
    </w:p>
  </w:footnote>
  <w:footnote w:id="20">
    <w:p w:rsidR="00B0093E" w:rsidRDefault="00762CA6">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Tämä s</w:t>
      </w:r>
      <w:r>
        <w:rPr>
          <w:rFonts w:ascii="Times New Roman" w:hAnsi="Times New Roman"/>
          <w:sz w:val="20"/>
          <w:szCs w:val="20"/>
        </w:rPr>
        <w:t>oveltamisalan ulkopuolelle jättäminen ei koske tämän toimenpiteen mukaisia toimia laitoksissa, jotka on tarkoitettu yksinomaan kierrätykseen kelpaamattoman vaarallisen jätteen käsittelemiseen, eikä käytössä olevia laitoksia, joissa tämän toimenpiteen mukai</w:t>
      </w:r>
      <w:r>
        <w:rPr>
          <w:rFonts w:ascii="Times New Roman" w:hAnsi="Times New Roman"/>
          <w:sz w:val="20"/>
          <w:szCs w:val="20"/>
        </w:rPr>
        <w:t>silla toiminnoilla pyritään energiatehokkuuden lisäämiseen, pakokaasujen talteen ottamiseen varastointia tai käyttöä varten tai materiaalin talteen ottamiseen polttotuhkasta edellyttäen, että tämän toimenpiteen mukaiset toimet eivät lisää laitosten jätteen</w:t>
      </w:r>
      <w:r>
        <w:rPr>
          <w:rFonts w:ascii="Times New Roman" w:hAnsi="Times New Roman"/>
          <w:sz w:val="20"/>
          <w:szCs w:val="20"/>
        </w:rPr>
        <w:t>käsittelykapasiteettia eivätkä pidennä niiden käyttöikää; tästä esitetään todisteet laitoksen tasolla.</w:t>
      </w:r>
    </w:p>
  </w:footnote>
  <w:footnote w:id="21">
    <w:p w:rsidR="00B0093E" w:rsidRDefault="00762CA6">
      <w:pPr>
        <w:pStyle w:val="FootnoteText"/>
        <w:ind w:left="0" w:firstLine="0"/>
      </w:pPr>
      <w:r>
        <w:rPr>
          <w:rStyle w:val="FootnoteReference"/>
        </w:rPr>
        <w:footnoteRef/>
      </w:r>
      <w:r>
        <w:t xml:space="preserve"> Tämä soveltamisalan ulkopuolelle jättäminen ei koske tämän toimenpiteen mukaisia toimia nykyisissä mekaanisissa biologisissa käsittelylaitoksissa, jois</w:t>
      </w:r>
      <w:r>
        <w:t>sa tämän toimenpiteen mukaisilla toimilla pyritään lisäämään energiatehokkuutta tai täydentämään erilliskerätyn jätteen kierrätystoimia biojätteen kompostoimiseksi ja biojätteen anaerobista mädätystä varten edellyttäen, että tämän toimenpiteen mukaiset toi</w:t>
      </w:r>
      <w:r>
        <w:t>met eivät lisää laitosten jätteenkäsittelykapasiteettia eivätkä pidennä niiden käyttöikää; tästä esitetään todisteet laitoksen tasolla.</w:t>
      </w:r>
    </w:p>
  </w:footnote>
  <w:footnote w:id="22">
    <w:p w:rsidR="00B0093E" w:rsidRDefault="00762CA6">
      <w:pPr>
        <w:pStyle w:val="FootnoteText"/>
        <w:ind w:left="57" w:firstLine="0"/>
      </w:pPr>
      <w:r>
        <w:rPr>
          <w:rStyle w:val="FootnoteReference"/>
        </w:rPr>
        <w:footnoteRef/>
      </w:r>
      <w:r>
        <w:t xml:space="preserve"> Lukuun ottamatta tämän toimenpiteen mukaisia sähkön- ja/tai lämmöntuotantoon sekä siihen liittyvään maakaasun siirto- </w:t>
      </w:r>
      <w:r>
        <w:t>ja jakeluinfrastruktuuriin liittyviä hankkeita, jotka täyttävät ”ei merkittävää haittaa” -periaatteen teknisten ohjeiden (2021/C58/01) liitteen III mukaiset vaatimukset.</w:t>
      </w:r>
    </w:p>
  </w:footnote>
  <w:footnote w:id="23">
    <w:p w:rsidR="00B0093E" w:rsidRDefault="00762CA6">
      <w:pPr>
        <w:pStyle w:val="FootnoteText"/>
        <w:ind w:left="57" w:firstLine="0"/>
      </w:pPr>
      <w:r>
        <w:rPr>
          <w:rStyle w:val="FootnoteReference"/>
        </w:rPr>
        <w:footnoteRef/>
      </w:r>
      <w:r>
        <w:t xml:space="preserve"> Jos tuetulla toiminnalla saavutetaan ennustetut kasvihuonepäästöt, jotka eivät merki</w:t>
      </w:r>
      <w:r>
        <w:t xml:space="preserve">ttävästi alita asiaankuuluvia viitearvoja, on toimitettava selvitys siitä, miksi tämä ei ole mahdollista. Päästökauppajärjestelmässä ilmaisjakomäärien laskemiseen käytettävät vahvistetut vertailuarvot sen soveltamisalaan kuuluvien toimien osalta komission </w:t>
      </w:r>
      <w:r>
        <w:t>täytäntöönpanoasetuksen (EU) 2021/447 mukaisesti.</w:t>
      </w:r>
    </w:p>
  </w:footnote>
  <w:footnote w:id="24">
    <w:p w:rsidR="00B0093E" w:rsidRDefault="00762CA6">
      <w:pPr>
        <w:spacing w:after="0" w:line="240" w:lineRule="auto"/>
        <w:ind w:left="57"/>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Tämä soveltamisalan ulkopuolelle jättäminen ei koske tämän toimenpiteen mukaisia toimia laitoksissa, jotka on tarkoitettu yksinomaan kierrätykseen kelpaamattoman vaarallisen jätteen käsittelemiseen, eikä </w:t>
      </w:r>
      <w:r>
        <w:rPr>
          <w:rFonts w:ascii="Times New Roman" w:hAnsi="Times New Roman"/>
          <w:sz w:val="20"/>
          <w:szCs w:val="20"/>
        </w:rPr>
        <w:t xml:space="preserve">käytössä olevia laitoksia, joissa tämän toimenpiteen mukaisilla toiminnoilla pyritään energiatehokkuuden lisäämiseen, pakokaasujen talteen ottamiseen varastointia tai käyttöä varten tai materiaalin talteen ottamiseen polttotuhkasta edellyttäen, että tämän </w:t>
      </w:r>
      <w:r>
        <w:rPr>
          <w:rFonts w:ascii="Times New Roman" w:hAnsi="Times New Roman"/>
          <w:sz w:val="20"/>
          <w:szCs w:val="20"/>
        </w:rPr>
        <w:t>toimenpiteen mukaiset toimet eivät lisää laitosten jätteenkäsittelykapasiteettia eivätkä pidennä niiden käyttöikää; tästä esitetään todisteet laitoksen tasolla.</w:t>
      </w:r>
    </w:p>
  </w:footnote>
  <w:footnote w:id="25">
    <w:p w:rsidR="00B0093E" w:rsidRDefault="00762CA6">
      <w:pPr>
        <w:pStyle w:val="FootnoteText"/>
        <w:ind w:left="57" w:firstLine="0"/>
      </w:pPr>
      <w:r>
        <w:rPr>
          <w:rStyle w:val="FootnoteReference"/>
        </w:rPr>
        <w:footnoteRef/>
      </w:r>
      <w:r>
        <w:t xml:space="preserve"> Tämä soveltamisalan ulkopuolelle jättäminen ei koske tämän toimenpiteen mukaisia toimia nykyi</w:t>
      </w:r>
      <w:r>
        <w:t>sissä mekaanisissa biologisissa käsittelylaitoksissa, joissa tämän toimenpiteen mukaisilla toimilla pyritään lisäämään energiatehokkuutta tai täydentämään erilliskerätyn jätteen kierrätystoimia biojätteen kompostoimiseksi ja biojätteen anaerobista mädätyst</w:t>
      </w:r>
      <w:r>
        <w:t>ä varten edellyttäen, että tämän toimenpiteen mukaiset toimet eivät lisää laitosten jätteenkäsittelykapasiteettia eivätkä pidennä niiden käyttöikää; tästä esitetään todisteet laitoksen tasolla.</w:t>
      </w:r>
    </w:p>
  </w:footnote>
  <w:footnote w:id="26">
    <w:p w:rsidR="00B0093E" w:rsidRDefault="00762CA6">
      <w:pPr>
        <w:pStyle w:val="FootnoteText"/>
        <w:ind w:left="0" w:firstLine="0"/>
      </w:pPr>
      <w:r>
        <w:rPr>
          <w:rStyle w:val="FootnoteReference"/>
        </w:rPr>
        <w:footnoteRef/>
      </w:r>
      <w:r>
        <w:t xml:space="preserve"> Lukuun ottamatta tämän toimenpiteen mukaisia sähkön- ja/tai </w:t>
      </w:r>
      <w:r>
        <w:t>lämmöntuotantoon sekä siihen liittyvään maakaasun siirto- ja jakeluinfrastruktuuriin liittyviä hankkeita, jotka täyttävät ”ei merkittävää haittaa” -periaatteen teknisten ohjeiden (2021/C58/01) liitteen III mukaiset vaatimukset.</w:t>
      </w:r>
    </w:p>
  </w:footnote>
  <w:footnote w:id="27">
    <w:p w:rsidR="00B0093E" w:rsidRDefault="00762CA6">
      <w:pPr>
        <w:pStyle w:val="FootnoteText"/>
        <w:ind w:left="0" w:firstLine="0"/>
      </w:pPr>
      <w:r>
        <w:rPr>
          <w:rStyle w:val="FootnoteReference"/>
        </w:rPr>
        <w:footnoteRef/>
      </w:r>
      <w:r>
        <w:t xml:space="preserve"> Jos tuetulla toiminnalla s</w:t>
      </w:r>
      <w:r>
        <w:t>aavutetaan ennustetut kasvihuonepäästöt, jotka eivät merkittävästi alita asiaankuuluvia viitearvoja, on toimitettava selvitys siitä, miksi tämä ei ole mahdollista. Päästökauppajärjestelmässä ilmaisjakomäärien laskemiseen käytettävät vahvistetut vertailuarv</w:t>
      </w:r>
      <w:r>
        <w:t>ot sen soveltamisalaan kuuluvien toimien osalta komission täytäntöönpanoasetuksen (EU) 2021/447 mukaisesti.</w:t>
      </w:r>
    </w:p>
  </w:footnote>
  <w:footnote w:id="28">
    <w:p w:rsidR="00B0093E" w:rsidRDefault="00762CA6">
      <w:pPr>
        <w:spacing w:after="0" w:line="240" w:lineRule="auto"/>
        <w:jc w:val="both"/>
      </w:pPr>
      <w:r>
        <w:rPr>
          <w:rStyle w:val="FootnoteReference"/>
          <w:rFonts w:ascii="Times New Roman" w:hAnsi="Times New Roman" w:cs="Times New Roman"/>
          <w:sz w:val="20"/>
          <w:szCs w:val="20"/>
        </w:rPr>
        <w:footnoteRef/>
      </w:r>
      <w:r>
        <w:rPr>
          <w:rFonts w:ascii="Times New Roman" w:hAnsi="Times New Roman"/>
          <w:sz w:val="20"/>
          <w:szCs w:val="20"/>
        </w:rPr>
        <w:t xml:space="preserve"> Tämä soveltamisalan ulkopuolelle jättäminen ei koske tämän toimenpiteen mukaisia toimia laitoksissa, jotka on tarkoitettu yksinomaan kierrätykseen</w:t>
      </w:r>
      <w:r>
        <w:rPr>
          <w:rFonts w:ascii="Times New Roman" w:hAnsi="Times New Roman"/>
          <w:sz w:val="20"/>
          <w:szCs w:val="20"/>
        </w:rPr>
        <w:t xml:space="preserve"> kelpaamattoman vaarallisen jätteen käsittelemiseen, eikä käytössä olevia laitoksia, joissa tämän toimenpiteen mukaisilla toiminnoilla pyritään energiatehokkuuden lisäämiseen, pakokaasujen talteen ottamiseen varastointia tai käyttöä varten tai materiaalin </w:t>
      </w:r>
      <w:r>
        <w:rPr>
          <w:rFonts w:ascii="Times New Roman" w:hAnsi="Times New Roman"/>
          <w:sz w:val="20"/>
          <w:szCs w:val="20"/>
        </w:rPr>
        <w:t>talteen ottamiseen polttotuhkasta edellyttäen, että tämän toimenpiteen mukaiset toimet eivät lisää laitosten jätteenkäsittelykapasiteettia eivätkä pidennä niiden käyttöikää; tästä esitetään todisteet laitoksen tasolla.</w:t>
      </w:r>
    </w:p>
  </w:footnote>
  <w:footnote w:id="29">
    <w:p w:rsidR="00B0093E" w:rsidRDefault="00762CA6">
      <w:pPr>
        <w:pStyle w:val="FootnoteText"/>
        <w:ind w:left="0" w:firstLine="0"/>
      </w:pPr>
      <w:r>
        <w:rPr>
          <w:rStyle w:val="FootnoteReference"/>
        </w:rPr>
        <w:footnoteRef/>
      </w:r>
      <w:r>
        <w:t xml:space="preserve"> Tämä soveltamisalan ulkopuolelle jä</w:t>
      </w:r>
      <w:r>
        <w:t>ttäminen ei koske tämän toimenpiteen mukaisia toimia nykyisissä mekaanisissa biologisissa käsittelylaitoksissa, joissa tämän toimenpiteen mukaisilla toimilla pyritään lisäämään energiatehokkuutta tai täydentämään erilliskerätyn jätteen kierrätystoimia bioj</w:t>
      </w:r>
      <w:r>
        <w:t>ätteen kompostoimiseksi ja biojätteen anaerobista mädätystä varten edellyttäen, että tämän toimenpiteen mukaiset toimet eivät lisää laitosten jätteenkäsittelykapasiteettia eivätkä pidennä niiden käyttöikää; tästä esitetään todisteet laitoksen tasolla.</w:t>
      </w:r>
    </w:p>
  </w:footnote>
  <w:footnote w:id="30">
    <w:p w:rsidR="00B0093E" w:rsidRDefault="00762CA6">
      <w:pPr>
        <w:pStyle w:val="FootnoteText"/>
        <w:ind w:left="0" w:firstLine="0"/>
      </w:pPr>
      <w:r>
        <w:rPr>
          <w:rStyle w:val="FootnoteReference"/>
        </w:rPr>
        <w:footnoteRef/>
      </w:r>
      <w:r>
        <w:t xml:space="preserve"> Lu</w:t>
      </w:r>
      <w:r>
        <w:t>kuun ottamatta tämän toimenpiteen mukaisia sähkön- ja/tai lämmöntuotantoon sekä siihen liittyvään maakaasun siirto- ja jakeluinfrastruktuuriin liittyviä hankkeita, jotka täyttävät ”ei merkittävää haittaa” -periaatteen teknisten ohjeiden (2021/C58/01) liitt</w:t>
      </w:r>
      <w:r>
        <w:t>een III mukaiset vaatimukset.</w:t>
      </w:r>
    </w:p>
  </w:footnote>
  <w:footnote w:id="31">
    <w:p w:rsidR="00B0093E" w:rsidRDefault="00762CA6">
      <w:pPr>
        <w:pStyle w:val="FootnoteText"/>
        <w:ind w:left="0" w:firstLine="0"/>
      </w:pPr>
      <w:r>
        <w:rPr>
          <w:rStyle w:val="FootnoteReference"/>
        </w:rPr>
        <w:footnoteRef/>
      </w:r>
      <w:r>
        <w:t xml:space="preserve"> Jos tuetulla toiminnalla saavutetaan ennustetut kasvihuonepäästöt, jotka eivät ole merkittävästi alita asiaankuuluvia viitearvoja, on toimitettava selvitys siitä, miksi tämä ei ole mahdollista. Päästökauppajärjestelmässä ilm</w:t>
      </w:r>
      <w:r>
        <w:t>aisjakomäärien laskemiseen käytettävät vahvistetut vertailuarvot sen soveltamisalaan kuuluvien toimien osalta komission täytäntöönpanoasetuksen (EU) 2021/447 mukaisesti.</w:t>
      </w:r>
    </w:p>
  </w:footnote>
  <w:footnote w:id="32">
    <w:p w:rsidR="00B0093E" w:rsidRDefault="00762CA6">
      <w:pPr>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Tämä soveltamisalan ulkopuolelle jättäminen ei koske tämän toimenpiteen mukaisia toimia laitoksissa, jotka on tarkoitettu yksinomaan kierrätykseen kelpaamattoman vaarallisen jätteen käsittelemiseen, eikä käytössä olevia laitoksia, joissa tämän toimenpitee</w:t>
      </w:r>
      <w:r>
        <w:rPr>
          <w:rFonts w:ascii="Times New Roman" w:hAnsi="Times New Roman"/>
          <w:sz w:val="20"/>
          <w:szCs w:val="20"/>
        </w:rPr>
        <w:t xml:space="preserve">n mukaisilla toiminnoilla pyritään energiatehokkuuden lisäämiseen, pakokaasujen talteen ottamiseen varastointia tai käyttöä varten tai materiaalin talteen ottamiseen polttotuhkasta edellyttäen, että tämän toimenpiteen mukaiset toimet eivät lisää laitosten </w:t>
      </w:r>
      <w:r>
        <w:rPr>
          <w:rFonts w:ascii="Times New Roman" w:hAnsi="Times New Roman"/>
          <w:sz w:val="20"/>
          <w:szCs w:val="20"/>
        </w:rPr>
        <w:t>jätteenkäsittelykapasiteettia eivätkä pidennä niiden käyttöikää; tästä esitetään todisteet laitoksen tasolla.</w:t>
      </w:r>
    </w:p>
  </w:footnote>
  <w:footnote w:id="33">
    <w:p w:rsidR="00B0093E" w:rsidRDefault="00762CA6">
      <w:pPr>
        <w:pStyle w:val="FootnoteText"/>
        <w:ind w:left="0" w:firstLine="0"/>
      </w:pPr>
      <w:r>
        <w:rPr>
          <w:rStyle w:val="FootnoteReference"/>
        </w:rPr>
        <w:footnoteRef/>
      </w:r>
      <w:r>
        <w:t xml:space="preserve"> Tämä soveltamisalan ulkopuolelle jättäminen ei koske tämän toimenpiteen mukaisia toimia nykyisissä mekaanisissa biologisissa käsittelylaitoksiss</w:t>
      </w:r>
      <w:r>
        <w:t>a, joissa tämän toimenpiteen mukaisilla toimilla pyritään lisäämään energiatehokkuutta tai täydentämään erilliskerätyn jätteen kierrätystoimia biojätteen kompostoimiseksi ja biojätteen anaerobista mädätystä varten edellyttäen, että tämän toimenpiteen mukai</w:t>
      </w:r>
      <w:r>
        <w:t>set toimet eivät lisää laitosten jätteenkäsittelykapasiteettia eivätkä pidennä niiden käyttöikää; tästä esitetään todisteet laitoksen tasolla.</w:t>
      </w:r>
    </w:p>
  </w:footnote>
  <w:footnote w:id="34">
    <w:p w:rsidR="00B0093E" w:rsidRDefault="00762CA6">
      <w:pPr>
        <w:pStyle w:val="FootnoteText"/>
        <w:ind w:left="0" w:firstLine="0"/>
        <w:rPr>
          <w:rStyle w:val="FootnoteReference"/>
          <w:vertAlign w:val="baseline"/>
        </w:rPr>
      </w:pPr>
      <w:r>
        <w:rPr>
          <w:rStyle w:val="FootnoteReference"/>
        </w:rPr>
        <w:footnoteRef/>
      </w:r>
      <w:r>
        <w:rPr>
          <w:rStyle w:val="FootnoteReference"/>
        </w:rPr>
        <w:t xml:space="preserve"> </w:t>
      </w:r>
      <w:r>
        <w:rPr>
          <w:rStyle w:val="FootnoteReference"/>
          <w:vertAlign w:val="baseline"/>
        </w:rPr>
        <w:t>Lukuun ottamatta tämän toimenpiteen mukaisia sähkön- ja/tai lämmöntuotantoon sekä siihen liittyvään maakaasun s</w:t>
      </w:r>
      <w:r>
        <w:rPr>
          <w:rStyle w:val="FootnoteReference"/>
          <w:vertAlign w:val="baseline"/>
        </w:rPr>
        <w:t>iirto- ja jakeluinfrastruktuuriin liittyviä hankkeita, jotka täyttävät ”ei merkittävää haittaa” -periaatteen teknisten ohjeiden (2021/C58/01) liitteen III mukaiset vaatimukset.</w:t>
      </w:r>
    </w:p>
  </w:footnote>
  <w:footnote w:id="35">
    <w:p w:rsidR="00B0093E" w:rsidRDefault="00762CA6">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 xml:space="preserve">Jos tuetulla toiminnalla saavutetaan ennustetut kasvihuonepäästöt, jotka </w:t>
      </w:r>
      <w:r>
        <w:rPr>
          <w:rStyle w:val="FootnoteReference"/>
          <w:vertAlign w:val="baseline"/>
        </w:rPr>
        <w:t>eivät merkittävästi alita asiaankuuluvia viitearvoja, on toimitettava selvitys siitä, miksi tämä ei ole mahdollista. Päästökauppajärjestelmässä ilmaisjakomäärien laskemiseen käytettävät vahvistetut vertailuarvot sen soveltamisalaan kuuluvien toimien osalta</w:t>
      </w:r>
      <w:r>
        <w:rPr>
          <w:rStyle w:val="FootnoteReference"/>
          <w:vertAlign w:val="baseline"/>
        </w:rPr>
        <w:t xml:space="preserve"> komission täytäntöönpanoasetuksen (EU) 2021/447 mukaisesti.</w:t>
      </w:r>
    </w:p>
  </w:footnote>
  <w:footnote w:id="36">
    <w:p w:rsidR="00B0093E" w:rsidRDefault="00762CA6">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Tämä soveltamisalan ulkopuolelle jättäminen ei koske tämän toimenpiteen mukaisia toimia laitoksissa, jotka on tarkoitettu yksinomaan kierrätykseen kelpaamattoman vaarallisen jätteen käsittelemi</w:t>
      </w:r>
      <w:r>
        <w:rPr>
          <w:rStyle w:val="FootnoteReference"/>
          <w:vertAlign w:val="baseline"/>
        </w:rPr>
        <w:t xml:space="preserve">seen, eikä käytössä olevia laitoksia, joissa tämän toimenpiteen mukaisilla toiminnoilla pyritään energiatehokkuuden lisäämiseen, pakokaasujen talteen ottamiseen varastointia tai käyttöä varten tai materiaalin talteen ottamiseen polttotuhkasta edellyttäen, </w:t>
      </w:r>
      <w:r>
        <w:rPr>
          <w:rStyle w:val="FootnoteReference"/>
          <w:vertAlign w:val="baseline"/>
        </w:rPr>
        <w:t>että tämän toimenpiteen mukaiset toimet eivät lisää laitosten jätteenkäsittelykapasiteettia eivätkä pidennä niiden käyttöikää; tästä esitetään todisteet laitoksen tasolla.</w:t>
      </w:r>
    </w:p>
  </w:footnote>
  <w:footnote w:id="37">
    <w:p w:rsidR="00B0093E" w:rsidRDefault="00762CA6">
      <w:pPr>
        <w:pStyle w:val="FootnoteText"/>
        <w:ind w:left="0" w:firstLine="0"/>
      </w:pPr>
      <w:r>
        <w:rPr>
          <w:rStyle w:val="FootnoteReference"/>
        </w:rPr>
        <w:footnoteRef/>
      </w:r>
      <w:r>
        <w:rPr>
          <w:rStyle w:val="FootnoteReference"/>
        </w:rPr>
        <w:t xml:space="preserve"> </w:t>
      </w:r>
      <w:r>
        <w:rPr>
          <w:rStyle w:val="FootnoteReference"/>
          <w:vertAlign w:val="baseline"/>
        </w:rPr>
        <w:t>Tämä soveltamisalan ulkopuolelle jättäminen ei koske tämän toimenpiteen mukaisia t</w:t>
      </w:r>
      <w:r>
        <w:rPr>
          <w:rStyle w:val="FootnoteReference"/>
          <w:vertAlign w:val="baseline"/>
        </w:rPr>
        <w:t>oimia nykyisissä mekaanisissa biologisissa käsittelylaitoksissa, joissa tämän toimenpiteen mukaisilla toimilla pyritään lisäämään energiatehokkuutta tai täydentämään erilliskerätyn jätteen kierrätystoimia biojätteen kompostoimiseksi ja biojätteen anaerobis</w:t>
      </w:r>
      <w:r>
        <w:rPr>
          <w:rStyle w:val="FootnoteReference"/>
          <w:vertAlign w:val="baseline"/>
        </w:rPr>
        <w:t>ta mädätystä varten edellyttäen, että tämän toimenpiteen mukaiset toimet eivät lisää laitosten jätteenkäsittelykapasiteettia eivätkä pidennä niiden käyttöikää; tästä esitetään todisteet laitoksen tasolla.</w:t>
      </w:r>
    </w:p>
  </w:footnote>
  <w:footnote w:id="38">
    <w:p w:rsidR="00B0093E" w:rsidRDefault="00762CA6">
      <w:pPr>
        <w:pStyle w:val="FootnoteText"/>
        <w:ind w:left="0" w:firstLine="0"/>
      </w:pPr>
      <w:r>
        <w:rPr>
          <w:rStyle w:val="FootnoteReference"/>
        </w:rPr>
        <w:footnoteRef/>
      </w:r>
      <w:r>
        <w:t xml:space="preserve"> Lukuun ottamatta tämän toimenpiteen mukaisia sähk</w:t>
      </w:r>
      <w:r>
        <w:t>ön- ja/tai lämmöntuotantoon sekä siihen liittyvään maakaasun siirto- ja jakeluinfrastruktuuriin liittyviä hankkeita, jotka täyttävät ”ei merkittävää haittaa” -periaatteen teknisten ohjeiden (2021/C58/01) liitteen III mukaiset vaatimukset.</w:t>
      </w:r>
    </w:p>
  </w:footnote>
  <w:footnote w:id="39">
    <w:p w:rsidR="00B0093E" w:rsidRDefault="00762CA6">
      <w:pPr>
        <w:pStyle w:val="FootnoteText"/>
        <w:ind w:left="0" w:firstLine="0"/>
      </w:pPr>
      <w:r>
        <w:rPr>
          <w:rStyle w:val="FootnoteReference"/>
        </w:rPr>
        <w:footnoteRef/>
      </w:r>
      <w:r>
        <w:t xml:space="preserve"> Jos tuetulla to</w:t>
      </w:r>
      <w:r>
        <w:t xml:space="preserve">iminnalla saavutetaan ennustetut kasvihuonepäästöt, jotka eivät merkittävästi alita asiaankuuluvia viitearvoja, on toimitettava selvitys siitä, miksi tämä ei ole mahdollista. Päästökauppajärjestelmässä ilmaisjakomäärien laskemiseen käytettävät vahvistetut </w:t>
      </w:r>
      <w:r>
        <w:t>vertailuarvot sen soveltamisalaan kuuluvien toimien osalta komission täytäntöönpanoasetuksen (EU) 2021/447 mukaisesti.</w:t>
      </w:r>
    </w:p>
  </w:footnote>
  <w:footnote w:id="40">
    <w:p w:rsidR="00B0093E" w:rsidRDefault="00762CA6">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Tämä soveltamisalan ulkopuolelle jättäminen ei koske tämän toimenpiteen mukaisia toimia laitoksissa, jotka on tarkoitettu yksinomaan ki</w:t>
      </w:r>
      <w:r>
        <w:rPr>
          <w:rFonts w:ascii="Times New Roman" w:hAnsi="Times New Roman"/>
          <w:sz w:val="20"/>
          <w:szCs w:val="20"/>
        </w:rPr>
        <w:t>errätykseen kelpaamattoman vaarallisen jätteen käsittelemiseen, eikä käytössä olevia laitoksia, joissa tämän toimenpiteen mukaisilla toiminnoilla pyritään energiatehokkuuden lisäämiseen, pakokaasujen talteen ottamiseen varastointia tai käyttöä varten tai m</w:t>
      </w:r>
      <w:r>
        <w:rPr>
          <w:rFonts w:ascii="Times New Roman" w:hAnsi="Times New Roman"/>
          <w:sz w:val="20"/>
          <w:szCs w:val="20"/>
        </w:rPr>
        <w:t>ateriaalin talteen ottamiseen polttotuhkasta edellyttäen, että tämän toimenpiteen mukaiset toimet eivät lisää laitosten jätteenkäsittelykapasiteettia eivätkä pidennä niiden käyttöikää; tästä esitetään todisteet laitoksen tasolla.</w:t>
      </w:r>
    </w:p>
  </w:footnote>
  <w:footnote w:id="41">
    <w:p w:rsidR="00B0093E" w:rsidRDefault="00762CA6">
      <w:pPr>
        <w:pStyle w:val="FootnoteText"/>
        <w:ind w:left="0" w:firstLine="0"/>
      </w:pPr>
      <w:r>
        <w:rPr>
          <w:rStyle w:val="FootnoteReference"/>
        </w:rPr>
        <w:footnoteRef/>
      </w:r>
      <w:r>
        <w:t xml:space="preserve"> Tämä soveltamisalan ulko</w:t>
      </w:r>
      <w:r>
        <w:t>puolelle jättäminen ei koske tämän toimenpiteen mukaisia toimia nykyisissä mekaanisissa biologisissa käsittelylaitoksissa, joissa tämän toimenpiteen mukaisilla toimilla pyritään lisäämään energiatehokkuutta tai täydentämään erilliskerätyn jätteen kierrätys</w:t>
      </w:r>
      <w:r>
        <w:t>toimia biojätteen kompostoimiseksi ja biojätteen anaerobista mädätystä varten edellyttäen, että tämän toimenpiteen mukaiset toimet eivät lisää laitosten jätteenkäsittelykapasiteettia eivätkä pidennä niiden käyttöikää; tästä esitetään todisteet laitoksen ta</w:t>
      </w:r>
      <w:r>
        <w:t>solla.</w:t>
      </w:r>
    </w:p>
  </w:footnote>
  <w:footnote w:id="42">
    <w:p w:rsidR="00B0093E" w:rsidRDefault="00762CA6">
      <w:pPr>
        <w:pStyle w:val="FootnoteText"/>
        <w:ind w:left="0" w:firstLine="0"/>
      </w:pPr>
      <w:r>
        <w:rPr>
          <w:rStyle w:val="FootnoteReference"/>
        </w:rPr>
        <w:footnoteRef/>
      </w:r>
      <w:r>
        <w:t xml:space="preserve"> Lukuun ottamatta tämän toimenpiteen mukaisia sähkön- ja/tai lämmöntuotantoon sekä siihen liittyvään maakaasun siirto- ja jakeluinfrastruktuuriin liittyviä hankkeita, jotka täyttävät ”ei merkittävää haittaa” -periaatteen teknisten ohjeiden (2021/C5</w:t>
      </w:r>
      <w:r>
        <w:t>8/01) liitteen III mukaiset vaatimukset.</w:t>
      </w:r>
    </w:p>
  </w:footnote>
  <w:footnote w:id="43">
    <w:p w:rsidR="00B0093E" w:rsidRDefault="00762CA6">
      <w:pPr>
        <w:pStyle w:val="FootnoteText"/>
        <w:ind w:left="0" w:firstLine="0"/>
      </w:pPr>
      <w:r>
        <w:rPr>
          <w:rStyle w:val="FootnoteReference"/>
        </w:rPr>
        <w:footnoteRef/>
      </w:r>
      <w:r>
        <w:t xml:space="preserve"> Jos tuetulla toiminnalla saavutetaan ennustetut kasvihuonepäästöt, jotka eivät merkittävästi alita asiaankuuluvia viitearvoja, on toimitettava selvitys siitä, miksi tämä ei ole mahdollista. Päästökauppajärjestelmä</w:t>
      </w:r>
      <w:r>
        <w:t>ssä ilmaisjakomäärien laskemiseen käytettävät vahvistetut vertailuarvot sen soveltamisalaan kuuluvien toimien osalta komission täytäntöönpanoasetuksen (EU) 2021/447 mukaisesti.</w:t>
      </w:r>
    </w:p>
  </w:footnote>
  <w:footnote w:id="44">
    <w:p w:rsidR="00B0093E" w:rsidRDefault="00762CA6">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Tämä soveltamisalan ulkopuolelle jättäminen ei koske tämän toimenpiteen mukai</w:t>
      </w:r>
      <w:r>
        <w:rPr>
          <w:rFonts w:ascii="Times New Roman" w:hAnsi="Times New Roman"/>
          <w:sz w:val="20"/>
          <w:szCs w:val="20"/>
        </w:rPr>
        <w:t>sia toimia laitoksissa, jotka on tarkoitettu yksinomaan kierrätykseen kelpaamattoman vaarallisen jätteen käsittelemiseen, eikä käytössä olevia laitoksia, joissa tämän toimenpiteen mukaisilla toiminnoilla pyritään energiatehokkuuden lisäämiseen, pakokaasuje</w:t>
      </w:r>
      <w:r>
        <w:rPr>
          <w:rFonts w:ascii="Times New Roman" w:hAnsi="Times New Roman"/>
          <w:sz w:val="20"/>
          <w:szCs w:val="20"/>
        </w:rPr>
        <w:t>n talteen ottamiseen varastointia tai käyttöä varten tai materiaalin talteen ottamiseen polttotuhkasta edellyttäen, että tämän toimenpiteen mukaiset toimet eivät lisää laitosten jätteenkäsittelykapasiteettia eivätkä pidennä niiden käyttöikää; tästä esitetä</w:t>
      </w:r>
      <w:r>
        <w:rPr>
          <w:rFonts w:ascii="Times New Roman" w:hAnsi="Times New Roman"/>
          <w:sz w:val="20"/>
          <w:szCs w:val="20"/>
        </w:rPr>
        <w:t>än todisteet laitoksen tasolla.</w:t>
      </w:r>
    </w:p>
  </w:footnote>
  <w:footnote w:id="45">
    <w:p w:rsidR="00B0093E" w:rsidRDefault="00762CA6">
      <w:pPr>
        <w:pStyle w:val="FootnoteText"/>
        <w:ind w:left="0" w:firstLine="0"/>
      </w:pPr>
      <w:r>
        <w:rPr>
          <w:rStyle w:val="FootnoteReference"/>
        </w:rPr>
        <w:footnoteRef/>
      </w:r>
      <w:r>
        <w:t xml:space="preserve"> Tämä soveltamisalan ulkopuolelle jättäminen ei koske tämän toimenpiteen mukaisia toimia nykyisissä mekaanisissa biologisissa käsittelylaitoksissa, joissa tämän toimenpiteen mukaisilla toimilla pyritään lisäämään energiateh</w:t>
      </w:r>
      <w:r>
        <w:t>okkuutta tai täydentämään erilliskerätyn jätteen kierrätystoimia biojätteen kompostoimiseksi ja biojätteen anaerobista mädätystä varten edellyttäen, että tämän toimenpiteen mukaiset toimet eivät lisää laitosten jätteenkäsittelykapasiteettia eivätkä pidennä</w:t>
      </w:r>
      <w:r>
        <w:t xml:space="preserve"> niiden käyttöikää; tästä esitetään todisteet laitoksen tasolla.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A6" w:rsidRPr="00762CA6" w:rsidRDefault="00762CA6" w:rsidP="00762C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A6" w:rsidRPr="00762CA6" w:rsidRDefault="00762CA6" w:rsidP="00762CA6">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A6" w:rsidRPr="00762CA6" w:rsidRDefault="00762CA6" w:rsidP="00762CA6">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Landscape"/>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E" w:rsidRDefault="00B00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21A28"/>
    <w:multiLevelType w:val="multilevel"/>
    <w:tmpl w:val="7174EE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2A22527"/>
    <w:multiLevelType w:val="multilevel"/>
    <w:tmpl w:val="F6327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64457B"/>
    <w:multiLevelType w:val="multilevel"/>
    <w:tmpl w:val="905ED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3E395C"/>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9B22FCB"/>
    <w:multiLevelType w:val="multilevel"/>
    <w:tmpl w:val="5A1C7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0DC866E5"/>
    <w:multiLevelType w:val="hybridMultilevel"/>
    <w:tmpl w:val="3EB8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175DC"/>
    <w:multiLevelType w:val="multilevel"/>
    <w:tmpl w:val="7FF44A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12EE5687"/>
    <w:multiLevelType w:val="multilevel"/>
    <w:tmpl w:val="A3A21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5D3EF1"/>
    <w:multiLevelType w:val="multilevel"/>
    <w:tmpl w:val="DBAE26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9921D6B"/>
    <w:multiLevelType w:val="multilevel"/>
    <w:tmpl w:val="9BAED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E64B66"/>
    <w:multiLevelType w:val="multilevel"/>
    <w:tmpl w:val="A90805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1F5C3451"/>
    <w:multiLevelType w:val="hybridMultilevel"/>
    <w:tmpl w:val="54EC4DF6"/>
    <w:lvl w:ilvl="0" w:tplc="69D451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01921A2"/>
    <w:multiLevelType w:val="hybridMultilevel"/>
    <w:tmpl w:val="FCE8F21E"/>
    <w:lvl w:ilvl="0" w:tplc="143EE164">
      <w:start w:val="1"/>
      <w:numFmt w:val="lowerRoman"/>
      <w:lvlText w:val="(%1)"/>
      <w:lvlJc w:val="left"/>
      <w:pPr>
        <w:ind w:left="772" w:hanging="720"/>
      </w:pPr>
      <w:rPr>
        <w:rFonts w:hint="default"/>
        <w:color w:val="006100"/>
        <w:sz w:val="18"/>
        <w:szCs w:val="18"/>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18" w15:restartNumberingAfterBreak="0">
    <w:nsid w:val="21F32B4A"/>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62737E"/>
    <w:multiLevelType w:val="hybridMultilevel"/>
    <w:tmpl w:val="6128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15:restartNumberingAfterBreak="0">
    <w:nsid w:val="2CD05BB1"/>
    <w:multiLevelType w:val="hybridMultilevel"/>
    <w:tmpl w:val="DF902C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2CD116E7"/>
    <w:multiLevelType w:val="multilevel"/>
    <w:tmpl w:val="C2607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300D3194"/>
    <w:multiLevelType w:val="multilevel"/>
    <w:tmpl w:val="8368A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0C2934"/>
    <w:multiLevelType w:val="hybridMultilevel"/>
    <w:tmpl w:val="DD9ADCD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37A0803"/>
    <w:multiLevelType w:val="hybridMultilevel"/>
    <w:tmpl w:val="7EDE79A4"/>
    <w:lvl w:ilvl="0" w:tplc="98E2A8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39203A52"/>
    <w:multiLevelType w:val="multilevel"/>
    <w:tmpl w:val="24C88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3A800118"/>
    <w:multiLevelType w:val="hybridMultilevel"/>
    <w:tmpl w:val="B2C4AB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00A7B18"/>
    <w:multiLevelType w:val="multilevel"/>
    <w:tmpl w:val="2DB03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016359"/>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4" w15:restartNumberingAfterBreak="0">
    <w:nsid w:val="444248FB"/>
    <w:multiLevelType w:val="hybridMultilevel"/>
    <w:tmpl w:val="0B04F2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15:restartNumberingAfterBreak="0">
    <w:nsid w:val="46EE6E57"/>
    <w:multiLevelType w:val="hybridMultilevel"/>
    <w:tmpl w:val="9A38D79A"/>
    <w:lvl w:ilvl="0" w:tplc="A4B2B7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47CE62D2"/>
    <w:multiLevelType w:val="hybridMultilevel"/>
    <w:tmpl w:val="89DE6B22"/>
    <w:lvl w:ilvl="0" w:tplc="A4B2B7E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4B054A94"/>
    <w:multiLevelType w:val="hybridMultilevel"/>
    <w:tmpl w:val="8F0E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E2717E"/>
    <w:multiLevelType w:val="hybridMultilevel"/>
    <w:tmpl w:val="4FB0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3B34F7"/>
    <w:multiLevelType w:val="multilevel"/>
    <w:tmpl w:val="50DED8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4F4F6024"/>
    <w:multiLevelType w:val="hybridMultilevel"/>
    <w:tmpl w:val="2B281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6B06BC"/>
    <w:multiLevelType w:val="hybridMultilevel"/>
    <w:tmpl w:val="DA9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2B6C49"/>
    <w:multiLevelType w:val="hybridMultilevel"/>
    <w:tmpl w:val="108AE942"/>
    <w:lvl w:ilvl="0" w:tplc="1616BC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5" w15:restartNumberingAfterBreak="0">
    <w:nsid w:val="5620612B"/>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59F422D7"/>
    <w:multiLevelType w:val="multilevel"/>
    <w:tmpl w:val="7618F6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15:restartNumberingAfterBreak="0">
    <w:nsid w:val="5C4F1CC4"/>
    <w:multiLevelType w:val="multilevel"/>
    <w:tmpl w:val="913C5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1" w15:restartNumberingAfterBreak="0">
    <w:nsid w:val="5DCC1A5E"/>
    <w:multiLevelType w:val="multilevel"/>
    <w:tmpl w:val="64044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F1446F8"/>
    <w:multiLevelType w:val="hybridMultilevel"/>
    <w:tmpl w:val="CBCA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DA099C"/>
    <w:multiLevelType w:val="hybridMultilevel"/>
    <w:tmpl w:val="5F3E4828"/>
    <w:lvl w:ilvl="0" w:tplc="B0820C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63C42873"/>
    <w:multiLevelType w:val="multilevel"/>
    <w:tmpl w:val="17462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A12FA4"/>
    <w:multiLevelType w:val="multilevel"/>
    <w:tmpl w:val="BC1C158C"/>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7" w15:restartNumberingAfterBreak="0">
    <w:nsid w:val="6D367641"/>
    <w:multiLevelType w:val="hybridMultilevel"/>
    <w:tmpl w:val="2B744C64"/>
    <w:lvl w:ilvl="0" w:tplc="A4B2B7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6E184B22"/>
    <w:multiLevelType w:val="multilevel"/>
    <w:tmpl w:val="1A34B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F3B7FF3"/>
    <w:multiLevelType w:val="hybridMultilevel"/>
    <w:tmpl w:val="72DCE090"/>
    <w:lvl w:ilvl="0" w:tplc="A4B2B7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0" w15:restartNumberingAfterBreak="0">
    <w:nsid w:val="6FD63E69"/>
    <w:multiLevelType w:val="hybridMultilevel"/>
    <w:tmpl w:val="9E722B94"/>
    <w:lvl w:ilvl="0" w:tplc="3014CE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70140041"/>
    <w:multiLevelType w:val="multilevel"/>
    <w:tmpl w:val="817E2E62"/>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62" w15:restartNumberingAfterBreak="0">
    <w:nsid w:val="72B72642"/>
    <w:multiLevelType w:val="multilevel"/>
    <w:tmpl w:val="24C88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752436E5"/>
    <w:multiLevelType w:val="hybridMultilevel"/>
    <w:tmpl w:val="650AC2E6"/>
    <w:lvl w:ilvl="0" w:tplc="080C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75C14FE6"/>
    <w:multiLevelType w:val="hybridMultilevel"/>
    <w:tmpl w:val="E848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D06977"/>
    <w:multiLevelType w:val="hybridMultilevel"/>
    <w:tmpl w:val="42E4798A"/>
    <w:lvl w:ilvl="0" w:tplc="991C3E1E">
      <w:start w:val="1"/>
      <w:numFmt w:val="bullet"/>
      <w:lvlText w:val="-"/>
      <w:lvlJc w:val="left"/>
      <w:pPr>
        <w:ind w:left="1080" w:hanging="720"/>
      </w:pPr>
      <w:rPr>
        <w:rFonts w:ascii="Calibri" w:hAnsi="Calibri" w:hint="default"/>
      </w:rPr>
    </w:lvl>
    <w:lvl w:ilvl="1" w:tplc="548ABFEE">
      <w:start w:val="1"/>
      <w:numFmt w:val="decimal"/>
      <w:lvlText w:val="%2."/>
      <w:lvlJc w:val="left"/>
      <w:pPr>
        <w:ind w:left="1440" w:hanging="360"/>
      </w:pPr>
      <w:rPr>
        <w:rFonts w:hint="default"/>
      </w:rPr>
    </w:lvl>
    <w:lvl w:ilvl="2" w:tplc="450EA25E">
      <w:start w:val="1"/>
      <w:numFmt w:val="lowerRoman"/>
      <w:lvlText w:val="(%3)"/>
      <w:lvlJc w:val="left"/>
      <w:pPr>
        <w:ind w:left="2700" w:hanging="72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BF94956"/>
    <w:multiLevelType w:val="hybridMultilevel"/>
    <w:tmpl w:val="26F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8" w15:restartNumberingAfterBreak="0">
    <w:nsid w:val="7CD26665"/>
    <w:multiLevelType w:val="multilevel"/>
    <w:tmpl w:val="13DA1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F010CB7"/>
    <w:multiLevelType w:val="multilevel"/>
    <w:tmpl w:val="08ECA5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15:restartNumberingAfterBreak="0">
    <w:nsid w:val="7F332538"/>
    <w:multiLevelType w:val="multilevel"/>
    <w:tmpl w:val="209439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1" w15:restartNumberingAfterBreak="0">
    <w:nsid w:val="7F830756"/>
    <w:multiLevelType w:val="hybridMultilevel"/>
    <w:tmpl w:val="8A4CF84E"/>
    <w:lvl w:ilvl="0" w:tplc="F96681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2"/>
  </w:num>
  <w:num w:numId="3">
    <w:abstractNumId w:val="56"/>
  </w:num>
  <w:num w:numId="4">
    <w:abstractNumId w:val="24"/>
  </w:num>
  <w:num w:numId="5">
    <w:abstractNumId w:val="33"/>
  </w:num>
  <w:num w:numId="6">
    <w:abstractNumId w:val="19"/>
  </w:num>
  <w:num w:numId="7">
    <w:abstractNumId w:val="55"/>
  </w:num>
  <w:num w:numId="8">
    <w:abstractNumId w:val="15"/>
  </w:num>
  <w:num w:numId="9">
    <w:abstractNumId w:val="35"/>
  </w:num>
  <w:num w:numId="10">
    <w:abstractNumId w:val="47"/>
  </w:num>
  <w:num w:numId="11">
    <w:abstractNumId w:val="48"/>
  </w:num>
  <w:num w:numId="12">
    <w:abstractNumId w:val="21"/>
  </w:num>
  <w:num w:numId="13">
    <w:abstractNumId w:val="44"/>
  </w:num>
  <w:num w:numId="14">
    <w:abstractNumId w:val="67"/>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
  </w:num>
  <w:num w:numId="19">
    <w:abstractNumId w:val="0"/>
  </w:num>
  <w:num w:numId="20">
    <w:abstractNumId w:val="30"/>
  </w:num>
  <w:num w:numId="21">
    <w:abstractNumId w:val="54"/>
  </w:num>
  <w:num w:numId="22">
    <w:abstractNumId w:val="11"/>
  </w:num>
  <w:num w:numId="23">
    <w:abstractNumId w:val="61"/>
  </w:num>
  <w:num w:numId="24">
    <w:abstractNumId w:val="28"/>
  </w:num>
  <w:num w:numId="25">
    <w:abstractNumId w:val="23"/>
  </w:num>
  <w:num w:numId="26">
    <w:abstractNumId w:val="13"/>
  </w:num>
  <w:num w:numId="27">
    <w:abstractNumId w:val="41"/>
  </w:num>
  <w:num w:numId="28">
    <w:abstractNumId w:val="68"/>
  </w:num>
  <w:num w:numId="29">
    <w:abstractNumId w:val="5"/>
  </w:num>
  <w:num w:numId="30">
    <w:abstractNumId w:val="49"/>
  </w:num>
  <w:num w:numId="31">
    <w:abstractNumId w:val="25"/>
  </w:num>
  <w:num w:numId="32">
    <w:abstractNumId w:val="6"/>
  </w:num>
  <w:num w:numId="33">
    <w:abstractNumId w:val="51"/>
  </w:num>
  <w:num w:numId="34">
    <w:abstractNumId w:val="58"/>
  </w:num>
  <w:num w:numId="35">
    <w:abstractNumId w:val="4"/>
  </w:num>
  <w:num w:numId="36">
    <w:abstractNumId w:val="40"/>
  </w:num>
  <w:num w:numId="37">
    <w:abstractNumId w:val="14"/>
  </w:num>
  <w:num w:numId="38">
    <w:abstractNumId w:val="10"/>
  </w:num>
  <w:num w:numId="39">
    <w:abstractNumId w:val="70"/>
  </w:num>
  <w:num w:numId="40">
    <w:abstractNumId w:val="8"/>
  </w:num>
  <w:num w:numId="41">
    <w:abstractNumId w:val="12"/>
  </w:num>
  <w:num w:numId="42">
    <w:abstractNumId w:val="46"/>
  </w:num>
  <w:num w:numId="43">
    <w:abstractNumId w:val="69"/>
  </w:num>
  <w:num w:numId="44">
    <w:abstractNumId w:val="43"/>
  </w:num>
  <w:num w:numId="45">
    <w:abstractNumId w:val="38"/>
  </w:num>
  <w:num w:numId="46">
    <w:abstractNumId w:val="17"/>
  </w:num>
  <w:num w:numId="47">
    <w:abstractNumId w:val="42"/>
  </w:num>
  <w:num w:numId="48">
    <w:abstractNumId w:val="39"/>
  </w:num>
  <w:num w:numId="49">
    <w:abstractNumId w:val="66"/>
  </w:num>
  <w:num w:numId="50">
    <w:abstractNumId w:val="20"/>
  </w:num>
  <w:num w:numId="51">
    <w:abstractNumId w:val="64"/>
  </w:num>
  <w:num w:numId="52">
    <w:abstractNumId w:val="71"/>
  </w:num>
  <w:num w:numId="53">
    <w:abstractNumId w:val="9"/>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num>
  <w:num w:numId="58">
    <w:abstractNumId w:val="52"/>
  </w:num>
  <w:num w:numId="59">
    <w:abstractNumId w:val="27"/>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num>
  <w:num w:numId="62">
    <w:abstractNumId w:val="22"/>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num>
  <w:num w:numId="68">
    <w:abstractNumId w:val="37"/>
  </w:num>
  <w:num w:numId="69">
    <w:abstractNumId w:val="16"/>
  </w:num>
  <w:num w:numId="70">
    <w:abstractNumId w:val="18"/>
  </w:num>
  <w:num w:numId="71">
    <w:abstractNumId w:val="45"/>
  </w:num>
  <w:num w:numId="72">
    <w:abstractNumId w:val="7"/>
  </w:num>
  <w:num w:numId="73">
    <w:abstractNumId w:val="26"/>
  </w:num>
  <w:num w:numId="74">
    <w:abstractNumId w:val="31"/>
  </w:num>
  <w:num w:numId="75">
    <w:abstractNumId w:val="63"/>
  </w:num>
  <w:num w:numId="76">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i-FI" w:vendorID="64" w:dllVersion="131078" w:nlCheck="1" w:checkStyle="0"/>
  <w:revisionView w:markup="0"/>
  <w:doNotTrackMove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ACCOMPAGNANT.CP" w:val="asiakirjaan"/>
    <w:docVar w:name="LW_ANNEX_NBR_FIRST" w:val="1"/>
    <w:docVar w:name="LW_ANNEX_NBR_LAST" w:val="1"/>
    <w:docVar w:name="LW_ANNEX_UNIQUE" w:val="1"/>
    <w:docVar w:name="LW_CORRIGENDUM" w:val="&lt;UNUSED&gt;"/>
    <w:docVar w:name="LW_COVERPAGE_EXISTS" w:val="True"/>
    <w:docVar w:name="LW_COVERPAGE_GUID" w:val="74401187-E08C-457A-B517-0EA05EC1BD38"/>
    <w:docVar w:name="LW_COVERPAGE_TYPE" w:val="1"/>
    <w:docVar w:name="LW_CROSSREFERENCE" w:val="{SWD(2021) 155 final}"/>
    <w:docVar w:name="LW_DocType" w:val="NORMAL"/>
    <w:docVar w:name="LW_EMISSION" w:val="17.6.2021"/>
    <w:docVar w:name="LW_EMISSION_ISODATE" w:val="2021-06-17"/>
    <w:docVar w:name="LW_EMISSION_LOCATION" w:val="BRX"/>
    <w:docVar w:name="LW_EMISSION_PREFIX" w:val="Bryssel "/>
    <w:docVar w:name="LW_EMISSION_SUFFIX" w:val=" "/>
    <w:docVar w:name="LW_ID_DOCTYPE_NONLW" w:val="CP-036"/>
    <w:docVar w:name="LW_LANGUE" w:val="FI"/>
    <w:docVar w:name="LW_LEVEL_OF_SENSITIVITY" w:val="Standard treatment"/>
    <w:docVar w:name="LW_NOM.INST" w:val="EUROOPAN KOMISSIO"/>
    <w:docVar w:name="LW_NOM.INST_JOINTDOC" w:val="&lt;EMPTY&gt;"/>
    <w:docVar w:name="LW_OBJETACTEPRINCIPAL.CP" w:val="Kreikan elpymis- ja palautumissuunnitelmasta tehdyn arvion hyväksymisestä"/>
    <w:docVar w:name="LW_PART_NBR" w:val="1"/>
    <w:docVar w:name="LW_PART_NBR_TOTAL" w:val="1"/>
    <w:docVar w:name="LW_REF.INST.NEW" w:val="COM"/>
    <w:docVar w:name="LW_REF.INST.NEW_ADOPTED" w:val="final"/>
    <w:docVar w:name="LW_REF.INST.NEW_TEXT" w:val="(2021) 3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ITE_x000b_"/>
    <w:docVar w:name="LW_TYPEACTEPRINCIPAL.CP" w:val="Ehdotus neuvoston päätökseksi"/>
    <w:docVar w:name="LwApiVersions" w:val="LW4CoDe 1.23.0.0; LW 8.0, Build 20210114"/>
  </w:docVars>
  <w:rsids>
    <w:rsidRoot w:val="00B0093E"/>
    <w:rsid w:val="00762CA6"/>
    <w:rsid w:val="00B0093E"/>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A640275-2598-4B24-9436-FA21E849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yanmar Text"/>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fi-FI"/>
    </w:rPr>
  </w:style>
  <w:style w:type="paragraph" w:styleId="Heading1">
    <w:name w:val="heading 1"/>
    <w:basedOn w:val="Normal"/>
    <w:next w:val="Text1"/>
    <w:link w:val="Heading1Char"/>
    <w:uiPriority w:val="9"/>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7"/>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7"/>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Text1"/>
    <w:next w:val="Text1"/>
    <w:link w:val="Heading4Char"/>
    <w:uiPriority w:val="9"/>
    <w:unhideWhenUsed/>
    <w:qFormat/>
    <w:pPr>
      <w:ind w:left="680" w:firstLine="6"/>
      <w:outlineLvl w:val="3"/>
    </w:pPr>
    <w:rPr>
      <w:b/>
      <w:bCs/>
    </w:rPr>
  </w:style>
  <w:style w:type="paragraph" w:styleId="Heading5">
    <w:name w:val="heading 5"/>
    <w:basedOn w:val="Normal"/>
    <w:next w:val="Normal"/>
    <w:link w:val="Heading5Char"/>
    <w:uiPriority w:val="9"/>
    <w:unhideWhenUsed/>
    <w:qFormat/>
    <w:pPr>
      <w:keepNext/>
      <w:keepLines/>
      <w:spacing w:before="40" w:after="0" w:line="240" w:lineRule="auto"/>
      <w:jc w:val="both"/>
      <w:outlineLvl w:val="4"/>
    </w:pPr>
    <w:rPr>
      <w:rFonts w:ascii="Cambria" w:eastAsia="Times New Roman" w:hAnsi="Cambria"/>
      <w:color w:val="365F9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rPr>
  </w:style>
  <w:style w:type="character" w:customStyle="1" w:styleId="Heading2Char">
    <w:name w:val="Heading 2 Char"/>
    <w:link w:val="Heading2"/>
    <w:uiPriority w:val="9"/>
    <w:rPr>
      <w:rFonts w:ascii="Times New Roman" w:eastAsia="Times New Roman" w:hAnsi="Times New Roman" w:cs="Times New Roman"/>
      <w:b/>
      <w:bCs/>
      <w:sz w:val="24"/>
      <w:szCs w:val="26"/>
    </w:rPr>
  </w:style>
  <w:style w:type="character" w:customStyle="1" w:styleId="Heading3Char">
    <w:name w:val="Heading 3 Char"/>
    <w:link w:val="Heading3"/>
    <w:uiPriority w:val="9"/>
    <w:rPr>
      <w:rFonts w:ascii="Times New Roman" w:eastAsia="Times New Roman" w:hAnsi="Times New Roman" w:cs="Times New Roman"/>
      <w:bCs/>
      <w:i/>
      <w:sz w:val="24"/>
    </w:rPr>
  </w:style>
  <w:style w:type="character" w:customStyle="1" w:styleId="Heading4Char">
    <w:name w:val="Heading 4 Char"/>
    <w:link w:val="Heading4"/>
    <w:uiPriority w:val="9"/>
    <w:rPr>
      <w:rFonts w:ascii="Times New Roman" w:hAnsi="Times New Roman" w:cs="Times New Roman"/>
      <w:b/>
      <w:bCs/>
      <w:sz w:val="24"/>
    </w:rPr>
  </w:style>
  <w:style w:type="character" w:customStyle="1" w:styleId="Heading5Char">
    <w:name w:val="Heading 5 Char"/>
    <w:link w:val="Heading5"/>
    <w:uiPriority w:val="9"/>
    <w:rPr>
      <w:rFonts w:ascii="Cambria" w:eastAsia="Times New Roman" w:hAnsi="Cambria" w:cs="Myanmar Text"/>
      <w:color w:val="365F91"/>
      <w:sz w:val="24"/>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10"/>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Pr>
      <w:lang w:val="fi-FI"/>
    </w:rPr>
  </w:style>
  <w:style w:type="character" w:styleId="IntenseEmphasis">
    <w:name w:val="Intense Emphasis"/>
    <w:uiPriority w:val="21"/>
    <w:qFormat/>
    <w:rPr>
      <w:i/>
      <w:iCs/>
      <w:color w:val="4F81BD"/>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9"/>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rPr>
  </w:style>
  <w:style w:type="paragraph" w:styleId="Revision">
    <w:name w:val="Revision"/>
    <w:hidden/>
    <w:uiPriority w:val="99"/>
    <w:semiHidden/>
    <w:rPr>
      <w:rFonts w:ascii="Times New Roman" w:hAnsi="Times New Roman" w:cs="Times New Roman"/>
      <w:sz w:val="24"/>
      <w:szCs w:val="22"/>
      <w:lang w:val="fi-FI"/>
    </w:rPr>
  </w:style>
  <w:style w:type="character" w:styleId="Hyperlink">
    <w:name w:val="Hyperlink"/>
    <w:uiPriority w:val="99"/>
    <w:unhideWhenUsed/>
    <w:rPr>
      <w:color w:val="0000FF"/>
      <w:u w:val="singl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character" w:customStyle="1" w:styleId="normaltextrun">
    <w:name w:val="normaltextrun"/>
    <w:basedOn w:val="DefaultParagraphFont"/>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Pr>
      <w:rFonts w:ascii="Times New Roman" w:hAnsi="Times New Roman" w:cs="Times New Roman"/>
      <w:sz w:val="24"/>
      <w:szCs w:val="22"/>
      <w:lang w:val="fi-FI"/>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link w:val="HeaderCoverPage"/>
    <w:rPr>
      <w:rFonts w:ascii="Times New Roman" w:hAnsi="Times New Roman" w:cs="Times New Roman"/>
      <w:sz w:val="24"/>
      <w:szCs w:val="22"/>
      <w:lang w:val="fi-FI"/>
    </w:rPr>
  </w:style>
  <w:style w:type="numbering" w:customStyle="1" w:styleId="NoList2">
    <w:name w:val="No List2"/>
    <w:next w:val="NoList"/>
    <w:uiPriority w:val="99"/>
    <w:semiHidden/>
    <w:unhideWhenUsed/>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style>
  <w:style w:type="numbering" w:customStyle="1" w:styleId="NoList3">
    <w:name w:val="No List3"/>
    <w:next w:val="NoList"/>
    <w:uiPriority w:val="99"/>
    <w:semiHidden/>
    <w:unhideWhenUsed/>
  </w:style>
  <w:style w:type="character" w:customStyle="1" w:styleId="findhit">
    <w:name w:val="findhit"/>
    <w:basedOn w:val="DefaultParagraphFont"/>
  </w:style>
  <w:style w:type="numbering" w:customStyle="1" w:styleId="NoList4">
    <w:name w:val="No List4"/>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71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1.xml"/><Relationship Id="rId299" Type="http://schemas.openxmlformats.org/officeDocument/2006/relationships/header" Target="header142.xml"/><Relationship Id="rId303" Type="http://schemas.openxmlformats.org/officeDocument/2006/relationships/header" Target="header144.xml"/><Relationship Id="rId21" Type="http://schemas.openxmlformats.org/officeDocument/2006/relationships/footer" Target="footer5.xml"/><Relationship Id="rId42" Type="http://schemas.openxmlformats.org/officeDocument/2006/relationships/footer" Target="footer14.xml"/><Relationship Id="rId63" Type="http://schemas.openxmlformats.org/officeDocument/2006/relationships/header" Target="header25.xml"/><Relationship Id="rId84" Type="http://schemas.openxmlformats.org/officeDocument/2006/relationships/footer" Target="footer35.xml"/><Relationship Id="rId138" Type="http://schemas.openxmlformats.org/officeDocument/2006/relationships/header" Target="header62.xml"/><Relationship Id="rId159" Type="http://schemas.openxmlformats.org/officeDocument/2006/relationships/header" Target="header72.xml"/><Relationship Id="rId324" Type="http://schemas.openxmlformats.org/officeDocument/2006/relationships/header" Target="header155.xml"/><Relationship Id="rId170" Type="http://schemas.openxmlformats.org/officeDocument/2006/relationships/footer" Target="footer77.xml"/><Relationship Id="rId191" Type="http://schemas.openxmlformats.org/officeDocument/2006/relationships/header" Target="header88.xml"/><Relationship Id="rId205" Type="http://schemas.openxmlformats.org/officeDocument/2006/relationships/footer" Target="footer94.xml"/><Relationship Id="rId226" Type="http://schemas.openxmlformats.org/officeDocument/2006/relationships/footer" Target="footer105.xml"/><Relationship Id="rId247" Type="http://schemas.openxmlformats.org/officeDocument/2006/relationships/footer" Target="footer115.xml"/><Relationship Id="rId107" Type="http://schemas.openxmlformats.org/officeDocument/2006/relationships/header" Target="header46.xml"/><Relationship Id="rId268" Type="http://schemas.openxmlformats.org/officeDocument/2006/relationships/footer" Target="footer126.xml"/><Relationship Id="rId289" Type="http://schemas.openxmlformats.org/officeDocument/2006/relationships/footer" Target="footer136.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19.xml"/><Relationship Id="rId74" Type="http://schemas.openxmlformats.org/officeDocument/2006/relationships/footer" Target="footer30.xml"/><Relationship Id="rId128" Type="http://schemas.openxmlformats.org/officeDocument/2006/relationships/footer" Target="footer56.xml"/><Relationship Id="rId149" Type="http://schemas.openxmlformats.org/officeDocument/2006/relationships/header" Target="header67.xml"/><Relationship Id="rId314" Type="http://schemas.openxmlformats.org/officeDocument/2006/relationships/footer" Target="footer149.xml"/><Relationship Id="rId335" Type="http://schemas.openxmlformats.org/officeDocument/2006/relationships/header" Target="header160.xml"/><Relationship Id="rId5" Type="http://schemas.openxmlformats.org/officeDocument/2006/relationships/numbering" Target="numbering.xml"/><Relationship Id="rId95" Type="http://schemas.openxmlformats.org/officeDocument/2006/relationships/header" Target="header40.xml"/><Relationship Id="rId160" Type="http://schemas.openxmlformats.org/officeDocument/2006/relationships/footer" Target="footer72.xml"/><Relationship Id="rId181" Type="http://schemas.openxmlformats.org/officeDocument/2006/relationships/footer" Target="footer82.xml"/><Relationship Id="rId216" Type="http://schemas.openxmlformats.org/officeDocument/2006/relationships/header" Target="header101.xml"/><Relationship Id="rId237" Type="http://schemas.openxmlformats.org/officeDocument/2006/relationships/header" Target="header111.xml"/><Relationship Id="rId258" Type="http://schemas.openxmlformats.org/officeDocument/2006/relationships/header" Target="header122.xml"/><Relationship Id="rId279" Type="http://schemas.openxmlformats.org/officeDocument/2006/relationships/header" Target="header132.xml"/><Relationship Id="rId22" Type="http://schemas.openxmlformats.org/officeDocument/2006/relationships/header" Target="header6.xml"/><Relationship Id="rId43" Type="http://schemas.openxmlformats.org/officeDocument/2006/relationships/header" Target="header15.xml"/><Relationship Id="rId64" Type="http://schemas.openxmlformats.org/officeDocument/2006/relationships/header" Target="header26.xml"/><Relationship Id="rId118" Type="http://schemas.openxmlformats.org/officeDocument/2006/relationships/footer" Target="footer51.xml"/><Relationship Id="rId139" Type="http://schemas.openxmlformats.org/officeDocument/2006/relationships/footer" Target="footer61.xml"/><Relationship Id="rId290" Type="http://schemas.openxmlformats.org/officeDocument/2006/relationships/footer" Target="footer137.xml"/><Relationship Id="rId304" Type="http://schemas.openxmlformats.org/officeDocument/2006/relationships/footer" Target="footer144.xml"/><Relationship Id="rId325" Type="http://schemas.openxmlformats.org/officeDocument/2006/relationships/footer" Target="footer154.xml"/><Relationship Id="rId85" Type="http://schemas.openxmlformats.org/officeDocument/2006/relationships/header" Target="header36.xml"/><Relationship Id="rId150" Type="http://schemas.openxmlformats.org/officeDocument/2006/relationships/header" Target="header68.xml"/><Relationship Id="rId171" Type="http://schemas.openxmlformats.org/officeDocument/2006/relationships/header" Target="header78.xml"/><Relationship Id="rId192" Type="http://schemas.openxmlformats.org/officeDocument/2006/relationships/header" Target="header89.xml"/><Relationship Id="rId206" Type="http://schemas.openxmlformats.org/officeDocument/2006/relationships/footer" Target="footer95.xml"/><Relationship Id="rId227" Type="http://schemas.openxmlformats.org/officeDocument/2006/relationships/header" Target="header106.xml"/><Relationship Id="rId248" Type="http://schemas.openxmlformats.org/officeDocument/2006/relationships/footer" Target="footer116.xml"/><Relationship Id="rId269" Type="http://schemas.openxmlformats.org/officeDocument/2006/relationships/header" Target="header127.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7.xml"/><Relationship Id="rId129" Type="http://schemas.openxmlformats.org/officeDocument/2006/relationships/header" Target="header57.xml"/><Relationship Id="rId280" Type="http://schemas.openxmlformats.org/officeDocument/2006/relationships/footer" Target="footer132.xml"/><Relationship Id="rId315" Type="http://schemas.openxmlformats.org/officeDocument/2006/relationships/header" Target="header150.xml"/><Relationship Id="rId336" Type="http://schemas.openxmlformats.org/officeDocument/2006/relationships/header" Target="header161.xml"/><Relationship Id="rId54" Type="http://schemas.openxmlformats.org/officeDocument/2006/relationships/footer" Target="footer20.xml"/><Relationship Id="rId75" Type="http://schemas.openxmlformats.org/officeDocument/2006/relationships/header" Target="header31.xml"/><Relationship Id="rId96" Type="http://schemas.openxmlformats.org/officeDocument/2006/relationships/header" Target="header41.xml"/><Relationship Id="rId140" Type="http://schemas.openxmlformats.org/officeDocument/2006/relationships/footer" Target="footer62.xml"/><Relationship Id="rId161" Type="http://schemas.openxmlformats.org/officeDocument/2006/relationships/header" Target="header73.xml"/><Relationship Id="rId182" Type="http://schemas.openxmlformats.org/officeDocument/2006/relationships/footer" Target="footer83.xml"/><Relationship Id="rId217" Type="http://schemas.openxmlformats.org/officeDocument/2006/relationships/footer" Target="footer100.xml"/><Relationship Id="rId6" Type="http://schemas.openxmlformats.org/officeDocument/2006/relationships/styles" Target="styles.xml"/><Relationship Id="rId238" Type="http://schemas.openxmlformats.org/officeDocument/2006/relationships/footer" Target="footer111.xml"/><Relationship Id="rId259" Type="http://schemas.openxmlformats.org/officeDocument/2006/relationships/footer" Target="footer121.xml"/><Relationship Id="rId23" Type="http://schemas.openxmlformats.org/officeDocument/2006/relationships/footer" Target="footer6.xml"/><Relationship Id="rId119" Type="http://schemas.openxmlformats.org/officeDocument/2006/relationships/header" Target="header52.xml"/><Relationship Id="rId270" Type="http://schemas.openxmlformats.org/officeDocument/2006/relationships/header" Target="header128.xml"/><Relationship Id="rId291" Type="http://schemas.openxmlformats.org/officeDocument/2006/relationships/header" Target="header138.xml"/><Relationship Id="rId305" Type="http://schemas.openxmlformats.org/officeDocument/2006/relationships/header" Target="header145.xml"/><Relationship Id="rId326" Type="http://schemas.openxmlformats.org/officeDocument/2006/relationships/footer" Target="footer155.xml"/><Relationship Id="rId44" Type="http://schemas.openxmlformats.org/officeDocument/2006/relationships/footer" Target="footer15.xml"/><Relationship Id="rId65" Type="http://schemas.openxmlformats.org/officeDocument/2006/relationships/footer" Target="footer25.xml"/><Relationship Id="rId86" Type="http://schemas.openxmlformats.org/officeDocument/2006/relationships/footer" Target="footer36.xml"/><Relationship Id="rId130" Type="http://schemas.openxmlformats.org/officeDocument/2006/relationships/footer" Target="footer57.xml"/><Relationship Id="rId151" Type="http://schemas.openxmlformats.org/officeDocument/2006/relationships/footer" Target="footer67.xml"/><Relationship Id="rId172" Type="http://schemas.openxmlformats.org/officeDocument/2006/relationships/footer" Target="footer78.xml"/><Relationship Id="rId193" Type="http://schemas.openxmlformats.org/officeDocument/2006/relationships/footer" Target="footer88.xml"/><Relationship Id="rId207" Type="http://schemas.openxmlformats.org/officeDocument/2006/relationships/header" Target="header96.xml"/><Relationship Id="rId228" Type="http://schemas.openxmlformats.org/officeDocument/2006/relationships/header" Target="header107.xml"/><Relationship Id="rId249" Type="http://schemas.openxmlformats.org/officeDocument/2006/relationships/header" Target="header117.xml"/><Relationship Id="rId13" Type="http://schemas.openxmlformats.org/officeDocument/2006/relationships/header" Target="header2.xml"/><Relationship Id="rId109" Type="http://schemas.openxmlformats.org/officeDocument/2006/relationships/footer" Target="footer46.xml"/><Relationship Id="rId260" Type="http://schemas.openxmlformats.org/officeDocument/2006/relationships/footer" Target="footer122.xml"/><Relationship Id="rId281" Type="http://schemas.openxmlformats.org/officeDocument/2006/relationships/header" Target="header133.xml"/><Relationship Id="rId316" Type="http://schemas.openxmlformats.org/officeDocument/2006/relationships/footer" Target="footer150.xml"/><Relationship Id="rId337" Type="http://schemas.openxmlformats.org/officeDocument/2006/relationships/footer" Target="footer160.xml"/><Relationship Id="rId34" Type="http://schemas.openxmlformats.org/officeDocument/2006/relationships/header" Target="header12.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footer" Target="footer40.xml"/><Relationship Id="rId120" Type="http://schemas.openxmlformats.org/officeDocument/2006/relationships/header" Target="header53.xml"/><Relationship Id="rId141" Type="http://schemas.openxmlformats.org/officeDocument/2006/relationships/header" Target="header63.xml"/><Relationship Id="rId7" Type="http://schemas.openxmlformats.org/officeDocument/2006/relationships/settings" Target="settings.xml"/><Relationship Id="rId162" Type="http://schemas.openxmlformats.org/officeDocument/2006/relationships/header" Target="header74.xml"/><Relationship Id="rId183" Type="http://schemas.openxmlformats.org/officeDocument/2006/relationships/header" Target="header84.xml"/><Relationship Id="rId218" Type="http://schemas.openxmlformats.org/officeDocument/2006/relationships/footer" Target="footer101.xml"/><Relationship Id="rId239" Type="http://schemas.openxmlformats.org/officeDocument/2006/relationships/header" Target="header112.xml"/><Relationship Id="rId250" Type="http://schemas.openxmlformats.org/officeDocument/2006/relationships/footer" Target="footer117.xml"/><Relationship Id="rId271" Type="http://schemas.openxmlformats.org/officeDocument/2006/relationships/footer" Target="footer127.xml"/><Relationship Id="rId292" Type="http://schemas.openxmlformats.org/officeDocument/2006/relationships/footer" Target="footer138.xml"/><Relationship Id="rId306" Type="http://schemas.openxmlformats.org/officeDocument/2006/relationships/header" Target="header146.xml"/><Relationship Id="rId24" Type="http://schemas.openxmlformats.org/officeDocument/2006/relationships/header" Target="header7.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yperlink" Target="http://www.eprocurement.gov.gr" TargetMode="External"/><Relationship Id="rId110" Type="http://schemas.openxmlformats.org/officeDocument/2006/relationships/footer" Target="footer47.xml"/><Relationship Id="rId131" Type="http://schemas.openxmlformats.org/officeDocument/2006/relationships/header" Target="header58.xml"/><Relationship Id="rId327" Type="http://schemas.openxmlformats.org/officeDocument/2006/relationships/header" Target="header156.xml"/><Relationship Id="rId152" Type="http://schemas.openxmlformats.org/officeDocument/2006/relationships/footer" Target="footer68.xml"/><Relationship Id="rId173" Type="http://schemas.openxmlformats.org/officeDocument/2006/relationships/header" Target="header79.xml"/><Relationship Id="rId194" Type="http://schemas.openxmlformats.org/officeDocument/2006/relationships/footer" Target="footer89.xml"/><Relationship Id="rId208" Type="http://schemas.openxmlformats.org/officeDocument/2006/relationships/footer" Target="footer96.xml"/><Relationship Id="rId229" Type="http://schemas.openxmlformats.org/officeDocument/2006/relationships/footer" Target="footer106.xml"/><Relationship Id="rId240" Type="http://schemas.openxmlformats.org/officeDocument/2006/relationships/header" Target="header113.xml"/><Relationship Id="rId261" Type="http://schemas.openxmlformats.org/officeDocument/2006/relationships/header" Target="header123.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footer" Target="footer42.xml"/><Relationship Id="rId282" Type="http://schemas.openxmlformats.org/officeDocument/2006/relationships/header" Target="header134.xml"/><Relationship Id="rId317" Type="http://schemas.openxmlformats.org/officeDocument/2006/relationships/header" Target="header151.xml"/><Relationship Id="rId338" Type="http://schemas.openxmlformats.org/officeDocument/2006/relationships/footer" Target="footer161.xml"/><Relationship Id="rId8" Type="http://schemas.openxmlformats.org/officeDocument/2006/relationships/webSettings" Target="webSettings.xml"/><Relationship Id="rId98" Type="http://schemas.openxmlformats.org/officeDocument/2006/relationships/footer" Target="footer41.xml"/><Relationship Id="rId121" Type="http://schemas.openxmlformats.org/officeDocument/2006/relationships/footer" Target="footer52.xml"/><Relationship Id="rId142" Type="http://schemas.openxmlformats.org/officeDocument/2006/relationships/footer" Target="footer63.xml"/><Relationship Id="rId163" Type="http://schemas.openxmlformats.org/officeDocument/2006/relationships/footer" Target="footer73.xml"/><Relationship Id="rId184" Type="http://schemas.openxmlformats.org/officeDocument/2006/relationships/footer" Target="footer84.xml"/><Relationship Id="rId219" Type="http://schemas.openxmlformats.org/officeDocument/2006/relationships/header" Target="header102.xml"/><Relationship Id="rId3" Type="http://schemas.openxmlformats.org/officeDocument/2006/relationships/customXml" Target="../customXml/item3.xml"/><Relationship Id="rId214" Type="http://schemas.openxmlformats.org/officeDocument/2006/relationships/footer" Target="footer99.xml"/><Relationship Id="rId230" Type="http://schemas.openxmlformats.org/officeDocument/2006/relationships/footer" Target="footer107.xml"/><Relationship Id="rId235" Type="http://schemas.openxmlformats.org/officeDocument/2006/relationships/footer" Target="footer109.xml"/><Relationship Id="rId251" Type="http://schemas.openxmlformats.org/officeDocument/2006/relationships/header" Target="header118.xml"/><Relationship Id="rId256" Type="http://schemas.openxmlformats.org/officeDocument/2006/relationships/footer" Target="footer120.xml"/><Relationship Id="rId277" Type="http://schemas.openxmlformats.org/officeDocument/2006/relationships/footer" Target="footer130.xml"/><Relationship Id="rId298" Type="http://schemas.openxmlformats.org/officeDocument/2006/relationships/footer" Target="footer141.xml"/><Relationship Id="rId25" Type="http://schemas.openxmlformats.org/officeDocument/2006/relationships/header" Target="header8.xml"/><Relationship Id="rId46" Type="http://schemas.openxmlformats.org/officeDocument/2006/relationships/header" Target="header17.xml"/><Relationship Id="rId67" Type="http://schemas.openxmlformats.org/officeDocument/2006/relationships/header" Target="header27.xml"/><Relationship Id="rId116" Type="http://schemas.openxmlformats.org/officeDocument/2006/relationships/footer" Target="footer50.xml"/><Relationship Id="rId137" Type="http://schemas.openxmlformats.org/officeDocument/2006/relationships/header" Target="header61.xml"/><Relationship Id="rId158" Type="http://schemas.openxmlformats.org/officeDocument/2006/relationships/footer" Target="footer71.xml"/><Relationship Id="rId272" Type="http://schemas.openxmlformats.org/officeDocument/2006/relationships/footer" Target="footer128.xml"/><Relationship Id="rId293" Type="http://schemas.openxmlformats.org/officeDocument/2006/relationships/header" Target="header139.xml"/><Relationship Id="rId302" Type="http://schemas.openxmlformats.org/officeDocument/2006/relationships/footer" Target="footer143.xml"/><Relationship Id="rId307" Type="http://schemas.openxmlformats.org/officeDocument/2006/relationships/footer" Target="footer145.xml"/><Relationship Id="rId323" Type="http://schemas.openxmlformats.org/officeDocument/2006/relationships/header" Target="header154.xml"/><Relationship Id="rId328" Type="http://schemas.openxmlformats.org/officeDocument/2006/relationships/footer" Target="footer156.xml"/><Relationship Id="rId20" Type="http://schemas.openxmlformats.org/officeDocument/2006/relationships/footer" Target="footer4.xml"/><Relationship Id="rId41" Type="http://schemas.openxmlformats.org/officeDocument/2006/relationships/footer" Target="footer13.xml"/><Relationship Id="rId62" Type="http://schemas.openxmlformats.org/officeDocument/2006/relationships/footer" Target="footer24.xml"/><Relationship Id="rId83" Type="http://schemas.openxmlformats.org/officeDocument/2006/relationships/footer" Target="footer34.xml"/><Relationship Id="rId88" Type="http://schemas.openxmlformats.org/officeDocument/2006/relationships/header" Target="header37.xml"/><Relationship Id="rId111" Type="http://schemas.openxmlformats.org/officeDocument/2006/relationships/header" Target="header48.xml"/><Relationship Id="rId132" Type="http://schemas.openxmlformats.org/officeDocument/2006/relationships/header" Target="header59.xml"/><Relationship Id="rId153" Type="http://schemas.openxmlformats.org/officeDocument/2006/relationships/header" Target="header69.xml"/><Relationship Id="rId174" Type="http://schemas.openxmlformats.org/officeDocument/2006/relationships/header" Target="header80.xml"/><Relationship Id="rId179" Type="http://schemas.openxmlformats.org/officeDocument/2006/relationships/header" Target="header82.xml"/><Relationship Id="rId195" Type="http://schemas.openxmlformats.org/officeDocument/2006/relationships/header" Target="header90.xml"/><Relationship Id="rId209" Type="http://schemas.openxmlformats.org/officeDocument/2006/relationships/header" Target="header97.xml"/><Relationship Id="rId190" Type="http://schemas.openxmlformats.org/officeDocument/2006/relationships/footer" Target="footer87.xml"/><Relationship Id="rId204" Type="http://schemas.openxmlformats.org/officeDocument/2006/relationships/header" Target="header95.xml"/><Relationship Id="rId220" Type="http://schemas.openxmlformats.org/officeDocument/2006/relationships/footer" Target="footer102.xml"/><Relationship Id="rId225" Type="http://schemas.openxmlformats.org/officeDocument/2006/relationships/header" Target="header105.xml"/><Relationship Id="rId241" Type="http://schemas.openxmlformats.org/officeDocument/2006/relationships/footer" Target="footer112.xml"/><Relationship Id="rId246" Type="http://schemas.openxmlformats.org/officeDocument/2006/relationships/header" Target="header116.xml"/><Relationship Id="rId267" Type="http://schemas.openxmlformats.org/officeDocument/2006/relationships/header" Target="header126.xml"/><Relationship Id="rId288" Type="http://schemas.openxmlformats.org/officeDocument/2006/relationships/header" Target="header137.xml"/><Relationship Id="rId15" Type="http://schemas.openxmlformats.org/officeDocument/2006/relationships/footer" Target="footer2.xml"/><Relationship Id="rId36" Type="http://schemas.openxmlformats.org/officeDocument/2006/relationships/hyperlink" Target="https://www.buildingcert.gr/" TargetMode="External"/><Relationship Id="rId57" Type="http://schemas.openxmlformats.org/officeDocument/2006/relationships/header" Target="header22.xml"/><Relationship Id="rId106" Type="http://schemas.openxmlformats.org/officeDocument/2006/relationships/footer" Target="footer45.xml"/><Relationship Id="rId127" Type="http://schemas.openxmlformats.org/officeDocument/2006/relationships/footer" Target="footer55.xml"/><Relationship Id="rId262" Type="http://schemas.openxmlformats.org/officeDocument/2006/relationships/footer" Target="footer123.xml"/><Relationship Id="rId283" Type="http://schemas.openxmlformats.org/officeDocument/2006/relationships/footer" Target="footer133.xml"/><Relationship Id="rId313" Type="http://schemas.openxmlformats.org/officeDocument/2006/relationships/footer" Target="footer148.xml"/><Relationship Id="rId318" Type="http://schemas.openxmlformats.org/officeDocument/2006/relationships/header" Target="header152.xml"/><Relationship Id="rId339" Type="http://schemas.openxmlformats.org/officeDocument/2006/relationships/header" Target="header162.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0.xml"/><Relationship Id="rId73" Type="http://schemas.openxmlformats.org/officeDocument/2006/relationships/header" Target="header30.xml"/><Relationship Id="rId78" Type="http://schemas.openxmlformats.org/officeDocument/2006/relationships/footer" Target="footer32.xml"/><Relationship Id="rId94" Type="http://schemas.openxmlformats.org/officeDocument/2006/relationships/hyperlink" Target="http://myfoto.gov.gr/" TargetMode="External"/><Relationship Id="rId99" Type="http://schemas.openxmlformats.org/officeDocument/2006/relationships/header" Target="header42.xml"/><Relationship Id="rId101" Type="http://schemas.openxmlformats.org/officeDocument/2006/relationships/header" Target="header43.xml"/><Relationship Id="rId122" Type="http://schemas.openxmlformats.org/officeDocument/2006/relationships/footer" Target="footer53.xml"/><Relationship Id="rId143" Type="http://schemas.openxmlformats.org/officeDocument/2006/relationships/header" Target="header64.xml"/><Relationship Id="rId148" Type="http://schemas.openxmlformats.org/officeDocument/2006/relationships/footer" Target="footer66.xml"/><Relationship Id="rId164" Type="http://schemas.openxmlformats.org/officeDocument/2006/relationships/footer" Target="footer74.xml"/><Relationship Id="rId169" Type="http://schemas.openxmlformats.org/officeDocument/2006/relationships/footer" Target="footer76.xml"/><Relationship Id="rId185" Type="http://schemas.openxmlformats.org/officeDocument/2006/relationships/header" Target="header85.xml"/><Relationship Id="rId334" Type="http://schemas.openxmlformats.org/officeDocument/2006/relationships/footer" Target="footer159.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83.xml"/><Relationship Id="rId210" Type="http://schemas.openxmlformats.org/officeDocument/2006/relationships/header" Target="header98.xml"/><Relationship Id="rId215" Type="http://schemas.openxmlformats.org/officeDocument/2006/relationships/header" Target="header100.xml"/><Relationship Id="rId236" Type="http://schemas.openxmlformats.org/officeDocument/2006/relationships/footer" Target="footer110.xml"/><Relationship Id="rId257" Type="http://schemas.openxmlformats.org/officeDocument/2006/relationships/header" Target="header121.xml"/><Relationship Id="rId278" Type="http://schemas.openxmlformats.org/officeDocument/2006/relationships/footer" Target="footer131.xml"/><Relationship Id="rId26" Type="http://schemas.openxmlformats.org/officeDocument/2006/relationships/footer" Target="footer7.xml"/><Relationship Id="rId231" Type="http://schemas.openxmlformats.org/officeDocument/2006/relationships/header" Target="header108.xml"/><Relationship Id="rId252" Type="http://schemas.openxmlformats.org/officeDocument/2006/relationships/header" Target="header119.xml"/><Relationship Id="rId273" Type="http://schemas.openxmlformats.org/officeDocument/2006/relationships/header" Target="header129.xml"/><Relationship Id="rId294" Type="http://schemas.openxmlformats.org/officeDocument/2006/relationships/header" Target="header140.xml"/><Relationship Id="rId308" Type="http://schemas.openxmlformats.org/officeDocument/2006/relationships/footer" Target="footer146.xml"/><Relationship Id="rId329" Type="http://schemas.openxmlformats.org/officeDocument/2006/relationships/header" Target="header157.xml"/><Relationship Id="rId47" Type="http://schemas.openxmlformats.org/officeDocument/2006/relationships/footer" Target="footer16.xml"/><Relationship Id="rId68" Type="http://schemas.openxmlformats.org/officeDocument/2006/relationships/footer" Target="footer27.xml"/><Relationship Id="rId89" Type="http://schemas.openxmlformats.org/officeDocument/2006/relationships/header" Target="header38.xml"/><Relationship Id="rId112" Type="http://schemas.openxmlformats.org/officeDocument/2006/relationships/footer" Target="footer48.xml"/><Relationship Id="rId133" Type="http://schemas.openxmlformats.org/officeDocument/2006/relationships/footer" Target="footer58.xml"/><Relationship Id="rId154" Type="http://schemas.openxmlformats.org/officeDocument/2006/relationships/footer" Target="footer69.xml"/><Relationship Id="rId175" Type="http://schemas.openxmlformats.org/officeDocument/2006/relationships/footer" Target="footer79.xml"/><Relationship Id="rId340" Type="http://schemas.openxmlformats.org/officeDocument/2006/relationships/footer" Target="footer162.xml"/><Relationship Id="rId196" Type="http://schemas.openxmlformats.org/officeDocument/2006/relationships/footer" Target="footer90.xml"/><Relationship Id="rId200" Type="http://schemas.openxmlformats.org/officeDocument/2006/relationships/footer" Target="footer92.xml"/><Relationship Id="rId16" Type="http://schemas.openxmlformats.org/officeDocument/2006/relationships/header" Target="header3.xml"/><Relationship Id="rId221" Type="http://schemas.openxmlformats.org/officeDocument/2006/relationships/header" Target="header103.xml"/><Relationship Id="rId242" Type="http://schemas.openxmlformats.org/officeDocument/2006/relationships/footer" Target="footer113.xml"/><Relationship Id="rId263" Type="http://schemas.openxmlformats.org/officeDocument/2006/relationships/header" Target="header124.xml"/><Relationship Id="rId284" Type="http://schemas.openxmlformats.org/officeDocument/2006/relationships/footer" Target="footer134.xml"/><Relationship Id="rId319" Type="http://schemas.openxmlformats.org/officeDocument/2006/relationships/footer" Target="footer151.xml"/><Relationship Id="rId37" Type="http://schemas.openxmlformats.org/officeDocument/2006/relationships/hyperlink" Target="https://www.buildingcert.gr/" TargetMode="External"/><Relationship Id="rId58" Type="http://schemas.openxmlformats.org/officeDocument/2006/relationships/header" Target="header23.xml"/><Relationship Id="rId79" Type="http://schemas.openxmlformats.org/officeDocument/2006/relationships/header" Target="header33.xml"/><Relationship Id="rId102" Type="http://schemas.openxmlformats.org/officeDocument/2006/relationships/header" Target="header44.xml"/><Relationship Id="rId123" Type="http://schemas.openxmlformats.org/officeDocument/2006/relationships/header" Target="header54.xml"/><Relationship Id="rId144" Type="http://schemas.openxmlformats.org/officeDocument/2006/relationships/header" Target="header65.xml"/><Relationship Id="rId330" Type="http://schemas.openxmlformats.org/officeDocument/2006/relationships/header" Target="header158.xml"/><Relationship Id="rId90" Type="http://schemas.openxmlformats.org/officeDocument/2006/relationships/footer" Target="footer37.xml"/><Relationship Id="rId165" Type="http://schemas.openxmlformats.org/officeDocument/2006/relationships/header" Target="header75.xml"/><Relationship Id="rId186" Type="http://schemas.openxmlformats.org/officeDocument/2006/relationships/header" Target="header86.xml"/><Relationship Id="rId211" Type="http://schemas.openxmlformats.org/officeDocument/2006/relationships/footer" Target="footer97.xml"/><Relationship Id="rId232" Type="http://schemas.openxmlformats.org/officeDocument/2006/relationships/footer" Target="footer108.xml"/><Relationship Id="rId253" Type="http://schemas.openxmlformats.org/officeDocument/2006/relationships/footer" Target="footer118.xml"/><Relationship Id="rId274" Type="http://schemas.openxmlformats.org/officeDocument/2006/relationships/footer" Target="footer129.xml"/><Relationship Id="rId295" Type="http://schemas.openxmlformats.org/officeDocument/2006/relationships/footer" Target="footer139.xml"/><Relationship Id="rId309" Type="http://schemas.openxmlformats.org/officeDocument/2006/relationships/header" Target="header147.xml"/><Relationship Id="rId27" Type="http://schemas.openxmlformats.org/officeDocument/2006/relationships/footer" Target="footer8.xml"/><Relationship Id="rId48" Type="http://schemas.openxmlformats.org/officeDocument/2006/relationships/footer" Target="footer17.xml"/><Relationship Id="rId69" Type="http://schemas.openxmlformats.org/officeDocument/2006/relationships/header" Target="header28.xml"/><Relationship Id="rId113" Type="http://schemas.openxmlformats.org/officeDocument/2006/relationships/header" Target="header49.xml"/><Relationship Id="rId134" Type="http://schemas.openxmlformats.org/officeDocument/2006/relationships/footer" Target="footer59.xml"/><Relationship Id="rId320" Type="http://schemas.openxmlformats.org/officeDocument/2006/relationships/footer" Target="footer152.xml"/><Relationship Id="rId80" Type="http://schemas.openxmlformats.org/officeDocument/2006/relationships/footer" Target="footer33.xml"/><Relationship Id="rId155" Type="http://schemas.openxmlformats.org/officeDocument/2006/relationships/header" Target="header70.xml"/><Relationship Id="rId176" Type="http://schemas.openxmlformats.org/officeDocument/2006/relationships/footer" Target="footer80.xml"/><Relationship Id="rId197" Type="http://schemas.openxmlformats.org/officeDocument/2006/relationships/header" Target="header91.xml"/><Relationship Id="rId341" Type="http://schemas.openxmlformats.org/officeDocument/2006/relationships/fontTable" Target="fontTable.xml"/><Relationship Id="rId201" Type="http://schemas.openxmlformats.org/officeDocument/2006/relationships/header" Target="header93.xml"/><Relationship Id="rId222" Type="http://schemas.openxmlformats.org/officeDocument/2006/relationships/header" Target="header104.xml"/><Relationship Id="rId243" Type="http://schemas.openxmlformats.org/officeDocument/2006/relationships/header" Target="header114.xml"/><Relationship Id="rId264" Type="http://schemas.openxmlformats.org/officeDocument/2006/relationships/header" Target="header125.xml"/><Relationship Id="rId285" Type="http://schemas.openxmlformats.org/officeDocument/2006/relationships/header" Target="header135.xml"/><Relationship Id="rId17" Type="http://schemas.openxmlformats.org/officeDocument/2006/relationships/footer" Target="footer3.xml"/><Relationship Id="rId38" Type="http://schemas.openxmlformats.org/officeDocument/2006/relationships/hyperlink" Target="https://www.buildingcert.gr/" TargetMode="External"/><Relationship Id="rId59" Type="http://schemas.openxmlformats.org/officeDocument/2006/relationships/footer" Target="footer22.xml"/><Relationship Id="rId103" Type="http://schemas.openxmlformats.org/officeDocument/2006/relationships/footer" Target="footer43.xml"/><Relationship Id="rId124" Type="http://schemas.openxmlformats.org/officeDocument/2006/relationships/footer" Target="footer54.xml"/><Relationship Id="rId310" Type="http://schemas.openxmlformats.org/officeDocument/2006/relationships/footer" Target="footer147.xml"/><Relationship Id="rId70" Type="http://schemas.openxmlformats.org/officeDocument/2006/relationships/header" Target="header29.xml"/><Relationship Id="rId91" Type="http://schemas.openxmlformats.org/officeDocument/2006/relationships/footer" Target="footer38.xml"/><Relationship Id="rId145" Type="http://schemas.openxmlformats.org/officeDocument/2006/relationships/footer" Target="footer64.xml"/><Relationship Id="rId166" Type="http://schemas.openxmlformats.org/officeDocument/2006/relationships/footer" Target="footer75.xml"/><Relationship Id="rId187" Type="http://schemas.openxmlformats.org/officeDocument/2006/relationships/footer" Target="footer85.xml"/><Relationship Id="rId331" Type="http://schemas.openxmlformats.org/officeDocument/2006/relationships/footer" Target="footer157.xml"/><Relationship Id="rId1" Type="http://schemas.openxmlformats.org/officeDocument/2006/relationships/customXml" Target="../customXml/item1.xml"/><Relationship Id="rId212" Type="http://schemas.openxmlformats.org/officeDocument/2006/relationships/footer" Target="footer98.xml"/><Relationship Id="rId233" Type="http://schemas.openxmlformats.org/officeDocument/2006/relationships/header" Target="header109.xml"/><Relationship Id="rId254" Type="http://schemas.openxmlformats.org/officeDocument/2006/relationships/footer" Target="footer119.xml"/><Relationship Id="rId28" Type="http://schemas.openxmlformats.org/officeDocument/2006/relationships/header" Target="header9.xml"/><Relationship Id="rId49" Type="http://schemas.openxmlformats.org/officeDocument/2006/relationships/header" Target="header18.xml"/><Relationship Id="rId114" Type="http://schemas.openxmlformats.org/officeDocument/2006/relationships/header" Target="header50.xml"/><Relationship Id="rId275" Type="http://schemas.openxmlformats.org/officeDocument/2006/relationships/header" Target="header130.xml"/><Relationship Id="rId296" Type="http://schemas.openxmlformats.org/officeDocument/2006/relationships/footer" Target="footer140.xml"/><Relationship Id="rId300" Type="http://schemas.openxmlformats.org/officeDocument/2006/relationships/header" Target="header143.xml"/><Relationship Id="rId60" Type="http://schemas.openxmlformats.org/officeDocument/2006/relationships/footer" Target="footer23.xml"/><Relationship Id="rId81" Type="http://schemas.openxmlformats.org/officeDocument/2006/relationships/header" Target="header34.xml"/><Relationship Id="rId135" Type="http://schemas.openxmlformats.org/officeDocument/2006/relationships/header" Target="header60.xml"/><Relationship Id="rId156" Type="http://schemas.openxmlformats.org/officeDocument/2006/relationships/header" Target="header71.xml"/><Relationship Id="rId177" Type="http://schemas.openxmlformats.org/officeDocument/2006/relationships/header" Target="header81.xml"/><Relationship Id="rId198" Type="http://schemas.openxmlformats.org/officeDocument/2006/relationships/header" Target="header92.xml"/><Relationship Id="rId321" Type="http://schemas.openxmlformats.org/officeDocument/2006/relationships/header" Target="header153.xml"/><Relationship Id="rId342" Type="http://schemas.openxmlformats.org/officeDocument/2006/relationships/theme" Target="theme/theme1.xml"/><Relationship Id="rId202" Type="http://schemas.openxmlformats.org/officeDocument/2006/relationships/footer" Target="footer93.xml"/><Relationship Id="rId223" Type="http://schemas.openxmlformats.org/officeDocument/2006/relationships/footer" Target="footer103.xml"/><Relationship Id="rId244" Type="http://schemas.openxmlformats.org/officeDocument/2006/relationships/footer" Target="footer114.xml"/><Relationship Id="rId18" Type="http://schemas.openxmlformats.org/officeDocument/2006/relationships/header" Target="header4.xml"/><Relationship Id="rId39" Type="http://schemas.openxmlformats.org/officeDocument/2006/relationships/header" Target="header13.xml"/><Relationship Id="rId265" Type="http://schemas.openxmlformats.org/officeDocument/2006/relationships/footer" Target="footer124.xml"/><Relationship Id="rId286" Type="http://schemas.openxmlformats.org/officeDocument/2006/relationships/footer" Target="footer135.xml"/><Relationship Id="rId50" Type="http://schemas.openxmlformats.org/officeDocument/2006/relationships/footer" Target="footer18.xml"/><Relationship Id="rId104" Type="http://schemas.openxmlformats.org/officeDocument/2006/relationships/footer" Target="footer44.xml"/><Relationship Id="rId125" Type="http://schemas.openxmlformats.org/officeDocument/2006/relationships/header" Target="header55.xml"/><Relationship Id="rId146" Type="http://schemas.openxmlformats.org/officeDocument/2006/relationships/footer" Target="footer65.xml"/><Relationship Id="rId167" Type="http://schemas.openxmlformats.org/officeDocument/2006/relationships/header" Target="header76.xml"/><Relationship Id="rId188" Type="http://schemas.openxmlformats.org/officeDocument/2006/relationships/footer" Target="footer86.xml"/><Relationship Id="rId311" Type="http://schemas.openxmlformats.org/officeDocument/2006/relationships/header" Target="header148.xml"/><Relationship Id="rId332" Type="http://schemas.openxmlformats.org/officeDocument/2006/relationships/footer" Target="footer158.xml"/><Relationship Id="rId71" Type="http://schemas.openxmlformats.org/officeDocument/2006/relationships/footer" Target="footer28.xml"/><Relationship Id="rId92" Type="http://schemas.openxmlformats.org/officeDocument/2006/relationships/header" Target="header39.xml"/><Relationship Id="rId213" Type="http://schemas.openxmlformats.org/officeDocument/2006/relationships/header" Target="header99.xml"/><Relationship Id="rId234" Type="http://schemas.openxmlformats.org/officeDocument/2006/relationships/header" Target="header110.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header" Target="header120.xml"/><Relationship Id="rId276" Type="http://schemas.openxmlformats.org/officeDocument/2006/relationships/header" Target="header131.xml"/><Relationship Id="rId297" Type="http://schemas.openxmlformats.org/officeDocument/2006/relationships/header" Target="header141.xml"/><Relationship Id="rId40" Type="http://schemas.openxmlformats.org/officeDocument/2006/relationships/header" Target="header14.xml"/><Relationship Id="rId115" Type="http://schemas.openxmlformats.org/officeDocument/2006/relationships/footer" Target="footer49.xml"/><Relationship Id="rId136" Type="http://schemas.openxmlformats.org/officeDocument/2006/relationships/footer" Target="footer60.xml"/><Relationship Id="rId157" Type="http://schemas.openxmlformats.org/officeDocument/2006/relationships/footer" Target="footer70.xml"/><Relationship Id="rId178" Type="http://schemas.openxmlformats.org/officeDocument/2006/relationships/footer" Target="footer81.xml"/><Relationship Id="rId301" Type="http://schemas.openxmlformats.org/officeDocument/2006/relationships/footer" Target="footer142.xml"/><Relationship Id="rId322" Type="http://schemas.openxmlformats.org/officeDocument/2006/relationships/footer" Target="footer153.xml"/><Relationship Id="rId61" Type="http://schemas.openxmlformats.org/officeDocument/2006/relationships/header" Target="header24.xml"/><Relationship Id="rId82" Type="http://schemas.openxmlformats.org/officeDocument/2006/relationships/header" Target="header35.xml"/><Relationship Id="rId199" Type="http://schemas.openxmlformats.org/officeDocument/2006/relationships/footer" Target="footer91.xml"/><Relationship Id="rId203" Type="http://schemas.openxmlformats.org/officeDocument/2006/relationships/header" Target="header94.xml"/><Relationship Id="rId19" Type="http://schemas.openxmlformats.org/officeDocument/2006/relationships/header" Target="header5.xml"/><Relationship Id="rId224" Type="http://schemas.openxmlformats.org/officeDocument/2006/relationships/footer" Target="footer104.xml"/><Relationship Id="rId245" Type="http://schemas.openxmlformats.org/officeDocument/2006/relationships/header" Target="header115.xml"/><Relationship Id="rId266" Type="http://schemas.openxmlformats.org/officeDocument/2006/relationships/footer" Target="footer125.xml"/><Relationship Id="rId287" Type="http://schemas.openxmlformats.org/officeDocument/2006/relationships/header" Target="header136.xml"/><Relationship Id="rId30" Type="http://schemas.openxmlformats.org/officeDocument/2006/relationships/header" Target="header10.xml"/><Relationship Id="rId105" Type="http://schemas.openxmlformats.org/officeDocument/2006/relationships/header" Target="header45.xml"/><Relationship Id="rId126" Type="http://schemas.openxmlformats.org/officeDocument/2006/relationships/header" Target="header56.xml"/><Relationship Id="rId147" Type="http://schemas.openxmlformats.org/officeDocument/2006/relationships/header" Target="header66.xml"/><Relationship Id="rId168" Type="http://schemas.openxmlformats.org/officeDocument/2006/relationships/header" Target="header77.xml"/><Relationship Id="rId312" Type="http://schemas.openxmlformats.org/officeDocument/2006/relationships/header" Target="header149.xml"/><Relationship Id="rId333" Type="http://schemas.openxmlformats.org/officeDocument/2006/relationships/header" Target="header159.xml"/><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footer" Target="footer39.xml"/><Relationship Id="rId189" Type="http://schemas.openxmlformats.org/officeDocument/2006/relationships/header" Target="header8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EC_ARES_NUMBER xmlns="37c275fd-9572-4d80-bb3f-e0295c71b8c9"><Url xsi:nil="true"></Url><Description xsi:nil="true"></Description></EC_ARES_NUMBER><EC_ARES_DATE_TRANSFERRED xmlns="37c275fd-9572-4d80-bb3f-e0295c71b8c9" xsi:nil="true"/><EC_ARES_TRANSFERRED_BY xmlns="37c275fd-9572-4d80-bb3f-e0295c71b8c9" xsi:nil="true"/><EC_Collab_Status xmlns="$ListId:Shared Documents;">Not Started</EC_Collab_Status><EC_Collab_Reference xmlns="$ListId:Shared Documents;" xsi:nil="true"></EC_Collab_Reference><EC_Collab_DocumentLanguage xmlns="$ListId:Shared Documents;">EN</EC_Collab_DocumentLanguage></documentManagement></p:properties>
</file>

<file path=customXml/item3.xml><?xml version="1.0" encoding="utf-8"?><ct:contentTypeSchema ct:_="" ma:_="" ma:contentTypeName="EC Document" ma:contentTypeID="0x010100258AA79CEB83498886A3A08681123250006FCFE00C5D85F84383A4CB18CE3724D2" ma:contentTypeVersion="4" ma:contentTypeDescription="Create a new document in this library." ma:contentTypeScope="" ma:versionID="02f2fe0dd79f484e07daf59e140d8f27" xmlns:ct="http://schemas.microsoft.com/office/2006/metadata/contentType" xmlns:ma="http://schemas.microsoft.com/office/2006/metadata/properties/metaAttributes">
<xsd:schema targetNamespace="http://schemas.microsoft.com/office/2006/metadata/properties" ma:root="true" ma:fieldsID="ee98f2b499ef618e5489bcd5bc98fb78" ns3:_="" ns4:_="" xmlns:xsd="http://www.w3.org/2001/XMLSchema" xmlns:xs="http://www.w3.org/2001/XMLSchema" xmlns:p="http://schemas.microsoft.com/office/2006/metadata/properties" xmlns:ns3="$ListId:Shared Documents;" xmlns:ns4="37c275fd-9572-4d80-bb3f-e0295c71b8c9">
<xsd:import namespace="$ListId:Shared Documents;"/>
<xsd:import namespace="37c275fd-9572-4d80-bb3f-e0295c71b8c9"/>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37c275fd-9572-4d80-bb3f-e0295c71b8c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2B32-C235-489A-BB4D-493A46AD46A7}">
  <ds:schemaRefs>
    <ds:schemaRef ds:uri="http://schemas.microsoft.com/sharepoint/v3/contenttype/forms"/>
  </ds:schemaRefs>
</ds:datastoreItem>
</file>

<file path=customXml/itemProps2.xml><?xml version="1.0" encoding="utf-8"?>
<ds:datastoreItem xmlns:ds="http://schemas.openxmlformats.org/officeDocument/2006/customXml" ds:itemID="{0698F1C4-92B4-4FA4-9B48-0F02F4809976}">
  <ds:schemaRefs>
    <ds:schemaRef ds:uri="http://schemas.microsoft.com/office/2006/metadata/properties"/>
    <ds:schemaRef ds:uri="http://schemas.microsoft.com/office/infopath/2007/PartnerControls"/>
    <ds:schemaRef ds:uri="37c275fd-9572-4d80-bb3f-e0295c71b8c9"/>
    <ds:schemaRef ds:uri="$ListId:Shared Documents;"/>
  </ds:schemaRefs>
</ds:datastoreItem>
</file>

<file path=customXml/itemProps3.xml><?xml version="1.0" encoding="utf-8"?>
<ds:datastoreItem xmlns:ds="http://schemas.openxmlformats.org/officeDocument/2006/customXml" ds:itemID="{3523DF1E-2E9D-46F3-9339-5FBAA9A84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37c275fd-9572-4d80-bb3f-e0295c71b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B8F36-C3F4-4C09-9C49-9F299600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268</Pages>
  <Words>59704</Words>
  <Characters>557638</Characters>
  <Application>Microsoft Office Word</Application>
  <DocSecurity>0</DocSecurity>
  <Lines>20653</Lines>
  <Paragraphs>6638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KOUTZIAVASILI Dimitra (SG)</cp:lastModifiedBy>
  <cp:revision>22</cp:revision>
  <dcterms:created xsi:type="dcterms:W3CDTF">2021-06-16T16:21:00Z</dcterms:created>
  <dcterms:modified xsi:type="dcterms:W3CDTF">2021-06-17T14:59:00Z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7.0.1, Build 20200226</vt:lpwstr>
  </property>
  <property fmtid="{D5CDD505-2E9C-101B-9397-08002B2CF9AE}" pid="10" name="Created using">
    <vt:lpwstr>LW 7.0.1, Build 20190916</vt:lpwstr>
  </property>
  <property fmtid="{D5CDD505-2E9C-101B-9397-08002B2CF9AE}" pid="11" name="_LW_INVALIDATED__LW_INVALIDATED__LW_INVALIDATED__LW_INVALIDATED__LW_INVALIDATED__LW_INVALIDATED_ContentTypeId">
    <vt:lpwstr>0x010100258AA79CEB83498886A3A08681123250006FCFE00C5D85F84383A4CB18CE3724D2</vt:lpwstr>
  </property>
  <property fmtid="{D5CDD505-2E9C-101B-9397-08002B2CF9AE}" pid="12" name="_LW_INVALIDATED__LW_INVALIDATED__LW_INVALIDATED_ContentTypeId">
    <vt:lpwstr>0x010100258AA79CEB83498886A3A08681123250006FCFE00C5D85F84383A4CB18CE3724D2</vt:lpwstr>
  </property>
</Properties>
</file>