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749" w:rsidRDefault="00C87555" w:rsidP="00C8755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B45F71F-B790-4D45-9C14-CD5A8105FB90" style="width:450pt;height:379.55pt">
            <v:imagedata r:id="rId11" o:title=""/>
          </v:shape>
        </w:pict>
      </w:r>
    </w:p>
    <w:bookmarkEnd w:id="0"/>
    <w:p w:rsidR="00BF6749" w:rsidRDefault="00BF6749">
      <w:pPr>
        <w:rPr>
          <w:noProof/>
        </w:rPr>
        <w:sectPr w:rsidR="00BF6749" w:rsidSect="00C87555">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60"/>
        </w:sectPr>
      </w:pPr>
    </w:p>
    <w:p w:rsidR="00BF6749" w:rsidRDefault="00C87555">
      <w:pPr>
        <w:keepNext/>
        <w:spacing w:before="360" w:after="120" w:line="240" w:lineRule="auto"/>
        <w:jc w:val="center"/>
        <w:rPr>
          <w:rFonts w:ascii="Times New Roman" w:eastAsia="Times New Roman" w:hAnsi="Times New Roman"/>
          <w:b/>
          <w:bCs/>
          <w:noProof/>
          <w:color w:val="000000"/>
          <w:sz w:val="24"/>
          <w:szCs w:val="24"/>
          <w:u w:val="single"/>
        </w:rPr>
      </w:pPr>
      <w:bookmarkStart w:id="1" w:name="_GoBack"/>
      <w:bookmarkEnd w:id="1"/>
      <w:r>
        <w:rPr>
          <w:rFonts w:ascii="Times New Roman" w:eastAsia="Times New Roman" w:hAnsi="Times New Roman"/>
          <w:b/>
          <w:bCs/>
          <w:noProof/>
          <w:color w:val="000000"/>
          <w:sz w:val="24"/>
          <w:szCs w:val="24"/>
          <w:u w:val="single"/>
        </w:rPr>
        <w:lastRenderedPageBreak/>
        <w:t>ANNEX</w:t>
      </w:r>
    </w:p>
    <w:p w:rsidR="00BF6749" w:rsidRDefault="00C87555">
      <w:pPr>
        <w:keepNext/>
        <w:spacing w:before="120" w:after="120" w:line="240" w:lineRule="auto"/>
        <w:jc w:val="both"/>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rPr>
        <w:t>SECTION 1: REFORMS AND INVESTMENTS UNDER THE RECOVERY AND RESILIENCE PLAN</w:t>
      </w:r>
    </w:p>
    <w:p w:rsidR="00BF6749" w:rsidRDefault="00C87555">
      <w:pPr>
        <w:keepNext/>
        <w:spacing w:before="120" w:after="120" w:line="240" w:lineRule="auto"/>
        <w:jc w:val="both"/>
        <w:rPr>
          <w:rFonts w:ascii="Times New Roman" w:eastAsia="Times New Roman" w:hAnsi="Times New Roman"/>
          <w:b/>
          <w:noProof/>
          <w:color w:val="000000"/>
          <w:sz w:val="24"/>
          <w:szCs w:val="24"/>
        </w:rPr>
      </w:pPr>
      <w:r>
        <w:rPr>
          <w:rFonts w:ascii="Times New Roman" w:eastAsia="Times New Roman" w:hAnsi="Times New Roman"/>
          <w:b/>
          <w:bCs/>
          <w:noProof/>
          <w:color w:val="000000"/>
          <w:sz w:val="24"/>
          <w:szCs w:val="24"/>
        </w:rPr>
        <w:t>1. Description of Reforms and Investments</w:t>
      </w:r>
    </w:p>
    <w:p w:rsidR="00BF6749" w:rsidRDefault="00C87555">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COMPONENT 1: Renewable </w:t>
      </w:r>
      <w:r>
        <w:rPr>
          <w:rFonts w:ascii="Times New Roman" w:hAnsi="Times New Roman"/>
          <w:b/>
          <w:smallCaps/>
          <w:noProof/>
          <w:sz w:val="24"/>
        </w:rPr>
        <w:t>energy sources and energy infrastructure</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purpose of the ‘renewable energy sources and energy infrastructure’ component </w:t>
      </w:r>
      <w:r>
        <w:rPr>
          <w:rFonts w:ascii="Times New Roman" w:eastAsia="Times New Roman" w:hAnsi="Times New Roman"/>
          <w:noProof/>
          <w:sz w:val="24"/>
          <w:szCs w:val="24"/>
        </w:rPr>
        <w:t xml:space="preserve">of the Slovak recovery and resilience plan </w:t>
      </w:r>
      <w:r>
        <w:rPr>
          <w:rFonts w:ascii="Times New Roman" w:hAnsi="Times New Roman"/>
          <w:noProof/>
          <w:sz w:val="24"/>
          <w:szCs w:val="24"/>
        </w:rPr>
        <w:t xml:space="preserve">is to contribute directly to attaining the 2030 climate change targets. According to the Slovak National Energy and Climate Plan, achieving the climate objectives shall require a significant shift towards renewable energy sources in the Slovak energy mix. </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In this context, this component of the Slovak recovery and resilience plan aims at supporting faster roll-out of renewable investments. In view of this goal, the reforms shall modernise the Slovak electricity market and create an appropriate legislative e</w:t>
      </w:r>
      <w:r>
        <w:rPr>
          <w:rFonts w:ascii="Times New Roman" w:hAnsi="Times New Roman"/>
          <w:noProof/>
          <w:color w:val="000000"/>
          <w:sz w:val="24"/>
          <w:szCs w:val="24"/>
          <w:shd w:val="clear" w:color="auto" w:fill="FFFFFF"/>
          <w:lang w:val="en-IE"/>
        </w:rPr>
        <w:t>nvironment. The law amendments shall particularly improve the access for new market participants, increase certainty and confidence in the state support measures and improve integration of renewables to the Slovak electricity grid. The investment support s</w:t>
      </w:r>
      <w:r>
        <w:rPr>
          <w:rFonts w:ascii="Times New Roman" w:hAnsi="Times New Roman"/>
          <w:noProof/>
          <w:color w:val="000000"/>
          <w:sz w:val="24"/>
          <w:szCs w:val="24"/>
          <w:shd w:val="clear" w:color="auto" w:fill="FFFFFF"/>
          <w:lang w:val="en-IE"/>
        </w:rPr>
        <w:t>hall be channelled to increasing the capacities of new renewable sources as well as to the repowering of existing renewable installations, including modernisation of biogas and hydropower-stations. The investments into increasing flexibility of the electri</w:t>
      </w:r>
      <w:r>
        <w:rPr>
          <w:rFonts w:ascii="Times New Roman" w:hAnsi="Times New Roman"/>
          <w:noProof/>
          <w:color w:val="000000"/>
          <w:sz w:val="24"/>
          <w:szCs w:val="24"/>
          <w:shd w:val="clear" w:color="auto" w:fill="FFFFFF"/>
          <w:lang w:val="en-IE"/>
        </w:rPr>
        <w:t xml:space="preserve">city grid shall include support to new battery storages, including hydrogen-based solutions, as well as to increasing the electricity balancing capacity of hydropower installations. </w:t>
      </w:r>
    </w:p>
    <w:p w:rsidR="00BF6749" w:rsidRDefault="00C87555">
      <w:pPr>
        <w:spacing w:before="120" w:after="120" w:line="240" w:lineRule="auto"/>
        <w:jc w:val="both"/>
        <w:rPr>
          <w:rFonts w:ascii="Times New Roman" w:hAnsi="Times New Roman"/>
          <w:noProof/>
          <w:color w:val="000000"/>
          <w:sz w:val="24"/>
          <w:shd w:val="clear" w:color="auto" w:fill="FFFFFF"/>
          <w:lang w:val="en-IE"/>
        </w:rPr>
      </w:pPr>
      <w:r>
        <w:rPr>
          <w:rFonts w:ascii="Times New Roman" w:hAnsi="Times New Roman"/>
          <w:noProof/>
          <w:color w:val="000000"/>
          <w:sz w:val="24"/>
          <w:szCs w:val="24"/>
          <w:shd w:val="clear" w:color="auto" w:fill="FFFFFF"/>
          <w:lang w:val="en-IE"/>
        </w:rPr>
        <w:t xml:space="preserve">The component includes two reforms and three investments.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These measures</w:t>
      </w:r>
      <w:r>
        <w:rPr>
          <w:rFonts w:ascii="Times New Roman" w:hAnsi="Times New Roman"/>
          <w:noProof/>
          <w:sz w:val="24"/>
          <w:szCs w:val="24"/>
        </w:rPr>
        <w:t xml:space="preserve"> contribute to the green transition and climate neutrality objective, as well as to meeting Slovakia’s National Energy and Climate Plan commitments. The component strengthens the strategic autonomy and security of Slovakia through increasing the share of d</w:t>
      </w:r>
      <w:r>
        <w:rPr>
          <w:rFonts w:ascii="Times New Roman" w:hAnsi="Times New Roman"/>
          <w:noProof/>
          <w:sz w:val="24"/>
          <w:szCs w:val="24"/>
        </w:rPr>
        <w:t xml:space="preserve">omestic energy sources, as imports from third countries account for a significant part of its consumption. The investments shall add to the job creation at local level, including for SME sector.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w:t>
      </w:r>
      <w:r>
        <w:rPr>
          <w:rFonts w:ascii="Times New Roman" w:hAnsi="Times New Roman"/>
          <w:noProof/>
          <w:sz w:val="24"/>
          <w:szCs w:val="24"/>
        </w:rPr>
        <w:t>icant harm to environmental objectives within the meaning of Article 17 of Regulation (EU) 2020/852, taking into account the description of the measures and the mitigating steps set out in the recovery and resilience plan in accordance with the DNSH Techni</w:t>
      </w:r>
      <w:r>
        <w:rPr>
          <w:rFonts w:ascii="Times New Roman" w:hAnsi="Times New Roman"/>
          <w:noProof/>
          <w:sz w:val="24"/>
          <w:szCs w:val="24"/>
        </w:rPr>
        <w:t xml:space="preserve">cal Guidance (2021/C58/01).  </w:t>
      </w:r>
    </w:p>
    <w:p w:rsidR="00BF6749" w:rsidRDefault="00C87555">
      <w:pPr>
        <w:spacing w:before="120" w:after="120" w:line="240" w:lineRule="auto"/>
        <w:jc w:val="both"/>
        <w:rPr>
          <w:rFonts w:ascii="Times New Roman" w:hAnsi="Times New Roman"/>
          <w:noProof/>
          <w:sz w:val="24"/>
          <w:szCs w:val="24"/>
          <w:shd w:val="clear" w:color="auto" w:fill="FFFFFF"/>
          <w:lang w:val="en-IE"/>
        </w:rPr>
      </w:pPr>
      <w:r>
        <w:rPr>
          <w:rFonts w:ascii="Times New Roman" w:hAnsi="Times New Roman"/>
          <w:noProof/>
          <w:sz w:val="24"/>
          <w:szCs w:val="24"/>
        </w:rPr>
        <w:t>The investments and reforms shall contribute to addressing the Country Specific Recommendation conveyed to Slovakia in 2020, on the need to “focus investment on the green digital transitions, in particular on clean and efficie</w:t>
      </w:r>
      <w:r>
        <w:rPr>
          <w:rFonts w:ascii="Times New Roman" w:hAnsi="Times New Roman"/>
          <w:noProof/>
          <w:sz w:val="24"/>
          <w:szCs w:val="24"/>
        </w:rPr>
        <w:t>nt production and use of energy and resources” (Country Specific Recommendation 3/2020).</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bCs/>
          <w:noProof/>
          <w:sz w:val="24"/>
          <w:u w:val="single"/>
        </w:rPr>
        <w:t xml:space="preserve">A.1. </w:t>
      </w:r>
      <w:r>
        <w:rPr>
          <w:rFonts w:ascii="Times New Roman" w:hAnsi="Times New Roman"/>
          <w:noProof/>
          <w:sz w:val="24"/>
        </w:rPr>
        <w:tab/>
      </w:r>
      <w:r>
        <w:rPr>
          <w:rFonts w:ascii="Times New Roman" w:eastAsia="Times New Roman" w:hAnsi="Times New Roman"/>
          <w:b/>
          <w:bCs/>
          <w:noProof/>
          <w:sz w:val="24"/>
          <w:u w:val="single"/>
        </w:rPr>
        <w:t>Description of the reforms and investments for non-repayable financial support</w:t>
      </w: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Reform 1: Adapting of the electricity legal framework</w:t>
      </w:r>
      <w:r>
        <w:rPr>
          <w:rFonts w:ascii="Times New Roman" w:hAnsi="Times New Roman"/>
          <w:noProof/>
          <w:sz w:val="24"/>
        </w:rPr>
        <w:t xml:space="preserve">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purpose of the reform is to improve the legal framework of the Slovak electricity market by amending Act 251/2012 Coll. on energy and Act 250/2012 Coll. on regulation in network industries in accordance with the requirements of Directive 2019/944. Furt</w:t>
      </w:r>
      <w:r>
        <w:rPr>
          <w:rFonts w:ascii="Times New Roman" w:hAnsi="Times New Roman"/>
          <w:noProof/>
          <w:sz w:val="24"/>
          <w:szCs w:val="24"/>
        </w:rPr>
        <w:t>hermore, the adapted legal structure shall facilitate the new activities and access of participants to the electricity market (energy communities, aggregator, self-consumer, electricity storage), while increasing overall flexibility of electricity system a</w:t>
      </w:r>
      <w:r>
        <w:rPr>
          <w:rFonts w:ascii="Times New Roman" w:hAnsi="Times New Roman"/>
          <w:noProof/>
          <w:sz w:val="24"/>
          <w:szCs w:val="24"/>
        </w:rPr>
        <w:t xml:space="preserve">nd improving the possibilities for connecting of new renewables to the Slovak grid.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lastRenderedPageBreak/>
        <w:t>This reform also foresees (under Milestone 2) a measure aiming at releasing the technical capacities for electricity transmission within the domestic electricity system, f</w:t>
      </w:r>
      <w:r>
        <w:rPr>
          <w:rFonts w:ascii="Times New Roman" w:hAnsi="Times New Roman"/>
          <w:noProof/>
          <w:sz w:val="24"/>
          <w:szCs w:val="24"/>
        </w:rPr>
        <w:t xml:space="preserve">acilitated through the increase in capacity of the electricity interconnection profile between Slovakia and Hungary. </w:t>
      </w:r>
    </w:p>
    <w:p w:rsidR="00BF6749" w:rsidRDefault="00C87555">
      <w:pPr>
        <w:spacing w:before="120" w:after="120" w:line="240" w:lineRule="auto"/>
        <w:jc w:val="both"/>
        <w:rPr>
          <w:rFonts w:ascii="Times New Roman" w:hAnsi="Times New Roman"/>
          <w:noProof/>
          <w:sz w:val="24"/>
        </w:rPr>
      </w:pPr>
      <w:r>
        <w:rPr>
          <w:rFonts w:ascii="Times New Roman" w:hAnsi="Times New Roman"/>
          <w:noProof/>
          <w:color w:val="000000"/>
          <w:sz w:val="24"/>
          <w:szCs w:val="24"/>
          <w:shd w:val="clear" w:color="auto" w:fill="FFFFFF"/>
          <w:lang w:val="en-IE"/>
        </w:rPr>
        <w:t xml:space="preserve">The implementation of the reform shall be completed by 31 December 2022.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Reform 2: </w:t>
      </w:r>
      <w:r>
        <w:rPr>
          <w:rFonts w:ascii="Times New Roman" w:hAnsi="Times New Roman"/>
          <w:b/>
          <w:bCs/>
          <w:noProof/>
          <w:sz w:val="24"/>
          <w:szCs w:val="24"/>
        </w:rPr>
        <w:t>The legal</w:t>
      </w:r>
      <w:r>
        <w:rPr>
          <w:rFonts w:ascii="Times New Roman" w:hAnsi="Times New Roman"/>
          <w:b/>
          <w:noProof/>
          <w:sz w:val="24"/>
          <w:szCs w:val="24"/>
        </w:rPr>
        <w:t xml:space="preserve"> framework for the promotion of renewable ene</w:t>
      </w:r>
      <w:r>
        <w:rPr>
          <w:rFonts w:ascii="Times New Roman" w:hAnsi="Times New Roman"/>
          <w:b/>
          <w:noProof/>
          <w:sz w:val="24"/>
          <w:szCs w:val="24"/>
        </w:rPr>
        <w:t>rgy sources</w:t>
      </w:r>
      <w:r>
        <w:rPr>
          <w:rFonts w:ascii="Times New Roman" w:hAnsi="Times New Roman"/>
          <w:noProof/>
          <w:sz w:val="24"/>
          <w:szCs w:val="24"/>
        </w:rPr>
        <w:t xml:space="preserve"> </w:t>
      </w:r>
    </w:p>
    <w:p w:rsidR="00BF6749" w:rsidRDefault="00C87555">
      <w:pPr>
        <w:spacing w:before="120" w:after="120" w:line="240" w:lineRule="auto"/>
        <w:jc w:val="both"/>
        <w:rPr>
          <w:rFonts w:ascii="Times New Roman" w:hAnsi="Times New Roman"/>
          <w:noProof/>
          <w:color w:val="000000"/>
          <w:sz w:val="24"/>
          <w:szCs w:val="24"/>
          <w:lang w:val="en-US"/>
        </w:rPr>
      </w:pPr>
      <w:r>
        <w:rPr>
          <w:rFonts w:ascii="Times New Roman" w:hAnsi="Times New Roman"/>
          <w:noProof/>
          <w:color w:val="000000"/>
          <w:sz w:val="24"/>
          <w:szCs w:val="24"/>
          <w:shd w:val="clear" w:color="auto" w:fill="FFFFFF"/>
          <w:lang w:val="en-IE"/>
        </w:rPr>
        <w:t xml:space="preserve">The purpose of the reform is to promote the roll-out of new renewable energy sources. The new law amendments shall create efficient support mechanisms for increasing the share of renewables in transport, electricity and heating sector. </w:t>
      </w:r>
      <w:r>
        <w:rPr>
          <w:rFonts w:ascii="Times New Roman" w:hAnsi="Times New Roman"/>
          <w:noProof/>
          <w:color w:val="000000"/>
          <w:sz w:val="24"/>
          <w:szCs w:val="24"/>
          <w:lang w:val="en-US"/>
        </w:rPr>
        <w:t>The leg</w:t>
      </w:r>
      <w:r>
        <w:rPr>
          <w:rFonts w:ascii="Times New Roman" w:hAnsi="Times New Roman"/>
          <w:noProof/>
          <w:color w:val="000000"/>
          <w:sz w:val="24"/>
          <w:szCs w:val="24"/>
          <w:lang w:val="en-US"/>
        </w:rPr>
        <w:t>al framework shall be modified by amending the Acts 309/2009 Coll. on promotion of renewable energy sources and high-efficiency cogeneration and the Act 657/2004 Coll. on thermal energy.</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sz w:val="24"/>
          <w:szCs w:val="24"/>
        </w:rPr>
        <w:t>The reform shall also include the adoption of a long-term auctioning </w:t>
      </w:r>
      <w:r>
        <w:rPr>
          <w:rFonts w:ascii="Times New Roman" w:hAnsi="Times New Roman"/>
          <w:noProof/>
          <w:sz w:val="24"/>
          <w:szCs w:val="24"/>
        </w:rPr>
        <w:t>plan for new renewable sources. This measure shall contribute to better predictability of the overall installed </w:t>
      </w:r>
      <w:r>
        <w:rPr>
          <w:rFonts w:ascii="Times New Roman" w:hAnsi="Times New Roman"/>
          <w:noProof/>
          <w:color w:val="000000"/>
          <w:sz w:val="24"/>
          <w:szCs w:val="24"/>
          <w:shd w:val="clear" w:color="auto" w:fill="FFFFFF"/>
          <w:lang w:val="en-IE"/>
        </w:rPr>
        <w:t xml:space="preserve">renewable capacity, creating more favourable investment environment for private investors. </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lang w:val="en-IE"/>
        </w:rPr>
        <w:t>Furthermore, the reform shall incorporate the adoption of investment schemes for support of the renewable electricity sources. The Ministry of Economy shall adopt an auction scheme for new renewable energy sources (link to Investment 1, Component 1) and su</w:t>
      </w:r>
      <w:r>
        <w:rPr>
          <w:rFonts w:ascii="Times New Roman" w:hAnsi="Times New Roman"/>
          <w:noProof/>
          <w:color w:val="000000"/>
          <w:sz w:val="24"/>
          <w:szCs w:val="24"/>
          <w:lang w:val="en-IE"/>
        </w:rPr>
        <w:t>pport schemes for investments on repowering (link to Investment 2, Component 1) and increasing flexibility of the electricity system (link to Investment 3, Component 1). The investment policies of the schemes shall strictly adhere to both EU and national e</w:t>
      </w:r>
      <w:r>
        <w:rPr>
          <w:rFonts w:ascii="Times New Roman" w:hAnsi="Times New Roman"/>
          <w:noProof/>
          <w:color w:val="000000"/>
          <w:sz w:val="24"/>
          <w:szCs w:val="24"/>
          <w:lang w:val="en-IE"/>
        </w:rPr>
        <w:t>nvironmental legislation as well as to the Do-Not-Significant-Harm Technical Guidance (2021/C58/01) of supported activities and companies. Only investments into hydropower that are in line with the EU acquis shall be supported by the Slovak recovery and re</w:t>
      </w:r>
      <w:r>
        <w:rPr>
          <w:rFonts w:ascii="Times New Roman" w:hAnsi="Times New Roman"/>
          <w:noProof/>
          <w:color w:val="000000"/>
          <w:sz w:val="24"/>
          <w:szCs w:val="24"/>
          <w:lang w:val="en-IE"/>
        </w:rPr>
        <w:t xml:space="preserve">silience plan.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shd w:val="clear" w:color="auto" w:fill="FFFFFF"/>
          <w:lang w:val="en-IE"/>
        </w:rPr>
        <w:t>The implementation of reform shall be completed by 31 December 2022.</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 xml:space="preserve">Investment 1: Construction of the new renewable electricity sources </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sz w:val="24"/>
          <w:szCs w:val="24"/>
        </w:rPr>
        <w:t xml:space="preserve">The </w:t>
      </w:r>
      <w:r>
        <w:rPr>
          <w:rFonts w:ascii="Times New Roman" w:hAnsi="Times New Roman"/>
          <w:noProof/>
          <w:color w:val="000000"/>
          <w:sz w:val="24"/>
          <w:szCs w:val="24"/>
          <w:shd w:val="clear" w:color="auto" w:fill="FFFFFF"/>
          <w:lang w:val="en-IE"/>
        </w:rPr>
        <w:t>purpose of the measure is to support the roll out of investments into the new renewable sources of</w:t>
      </w:r>
      <w:r>
        <w:rPr>
          <w:rFonts w:ascii="Times New Roman" w:hAnsi="Times New Roman"/>
          <w:noProof/>
          <w:color w:val="000000"/>
          <w:sz w:val="24"/>
          <w:szCs w:val="24"/>
          <w:shd w:val="clear" w:color="auto" w:fill="FFFFFF"/>
          <w:lang w:val="en-IE"/>
        </w:rPr>
        <w:t xml:space="preserve"> electricity.</w:t>
      </w:r>
      <w:r>
        <w:rPr>
          <w:rFonts w:ascii="Times New Roman" w:hAnsi="Times New Roman"/>
          <w:noProof/>
          <w:color w:val="000000"/>
          <w:sz w:val="24"/>
          <w:szCs w:val="24"/>
          <w:lang w:val="en-IE"/>
        </w:rPr>
        <w:t xml:space="preserve"> Of the overall objective to increase the new renewable electricity capacity by 122.4 MW, the support scheme shall deliver at least 120 MW of new capacity induced by the new renewable sources under the measure connected to the grid. </w:t>
      </w:r>
      <w:r>
        <w:rPr>
          <w:rFonts w:ascii="Times New Roman" w:hAnsi="Times New Roman"/>
          <w:noProof/>
          <w:color w:val="000000"/>
          <w:sz w:val="24"/>
          <w:szCs w:val="24"/>
          <w:shd w:val="clear" w:color="auto" w:fill="FFFFFF"/>
          <w:lang w:val="en-IE"/>
        </w:rPr>
        <w:t>The compet</w:t>
      </w:r>
      <w:r>
        <w:rPr>
          <w:rFonts w:ascii="Times New Roman" w:hAnsi="Times New Roman"/>
          <w:noProof/>
          <w:color w:val="000000"/>
          <w:sz w:val="24"/>
          <w:szCs w:val="24"/>
          <w:shd w:val="clear" w:color="auto" w:fill="FFFFFF"/>
          <w:lang w:val="en-IE"/>
        </w:rPr>
        <w:t>itive auction mechanism shall be open to a wide range of renewable technologies, with clear project delivery deadlines and rules.</w:t>
      </w:r>
      <w:r>
        <w:rPr>
          <w:rFonts w:ascii="Times New Roman" w:eastAsia="Times New Roman" w:hAnsi="Times New Roman"/>
          <w:noProof/>
          <w:color w:val="000000"/>
          <w:sz w:val="24"/>
          <w:szCs w:val="24"/>
          <w:lang w:val="en-IE"/>
        </w:rPr>
        <w:t xml:space="preserve"> No investments to hydropower shall be eligible under Investment 1 (Component 1).</w:t>
      </w:r>
      <w:r>
        <w:rPr>
          <w:rFonts w:ascii="Times New Roman" w:hAnsi="Times New Roman"/>
          <w:noProof/>
          <w:color w:val="000000"/>
          <w:sz w:val="24"/>
          <w:szCs w:val="24"/>
          <w:shd w:val="clear" w:color="auto" w:fill="FFFFFF"/>
          <w:lang w:val="en-IE"/>
        </w:rPr>
        <w:t xml:space="preserve"> The Ministry of Economy shall be responsible </w:t>
      </w:r>
      <w:r>
        <w:rPr>
          <w:rFonts w:ascii="Times New Roman" w:hAnsi="Times New Roman"/>
          <w:noProof/>
          <w:color w:val="000000"/>
          <w:sz w:val="24"/>
          <w:szCs w:val="24"/>
          <w:shd w:val="clear" w:color="auto" w:fill="FFFFFF"/>
          <w:lang w:val="en-IE"/>
        </w:rPr>
        <w:t>for the implementation of the scheme and collecting the information on realised capacity from project promoters.</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lang w:val="en-IE"/>
        </w:rPr>
        <w:t>The auction support scheme shall respect the investment policies as set out under the milestone 3 of the Component 1 (Reform 2:  Legal framewor</w:t>
      </w:r>
      <w:r>
        <w:rPr>
          <w:rFonts w:ascii="Times New Roman" w:hAnsi="Times New Roman"/>
          <w:noProof/>
          <w:color w:val="000000"/>
          <w:sz w:val="24"/>
          <w:szCs w:val="24"/>
          <w:lang w:val="en-IE"/>
        </w:rPr>
        <w:t xml:space="preserve">k for the promotion of renewable energy sources’). </w:t>
      </w:r>
    </w:p>
    <w:p w:rsidR="00BF6749" w:rsidRDefault="00C87555">
      <w:pPr>
        <w:spacing w:before="120" w:after="120" w:line="240" w:lineRule="auto"/>
        <w:jc w:val="both"/>
        <w:rPr>
          <w:rFonts w:ascii="Times New Roman" w:hAnsi="Times New Roman"/>
          <w:noProof/>
          <w:color w:val="000000"/>
          <w:sz w:val="24"/>
          <w:shd w:val="clear" w:color="auto" w:fill="FFFFFF"/>
          <w:lang w:val="en-IE"/>
        </w:rPr>
      </w:pPr>
      <w:r>
        <w:rPr>
          <w:rFonts w:ascii="Times New Roman" w:hAnsi="Times New Roman"/>
          <w:noProof/>
          <w:color w:val="000000"/>
          <w:sz w:val="24"/>
          <w:szCs w:val="24"/>
          <w:shd w:val="clear" w:color="auto" w:fill="FFFFFF"/>
          <w:lang w:val="en-IE"/>
        </w:rPr>
        <w:t>The implementation of the investment is expected to start by 30 June 2021 and shall be completed by 30 June 2026.</w:t>
      </w:r>
    </w:p>
    <w:p w:rsidR="00BF6749" w:rsidRDefault="00C87555">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Investment 2: Modernising </w:t>
      </w:r>
      <w:r>
        <w:rPr>
          <w:rFonts w:ascii="Times New Roman" w:hAnsi="Times New Roman"/>
          <w:b/>
          <w:bCs/>
          <w:noProof/>
          <w:sz w:val="24"/>
          <w:szCs w:val="24"/>
        </w:rPr>
        <w:t xml:space="preserve">the </w:t>
      </w:r>
      <w:r>
        <w:rPr>
          <w:rFonts w:ascii="Times New Roman" w:hAnsi="Times New Roman"/>
          <w:b/>
          <w:noProof/>
          <w:sz w:val="24"/>
          <w:szCs w:val="24"/>
        </w:rPr>
        <w:t>existing renewable electricity sources (repowering)</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 xml:space="preserve">The </w:t>
      </w:r>
      <w:r>
        <w:rPr>
          <w:rFonts w:ascii="Times New Roman" w:hAnsi="Times New Roman"/>
          <w:noProof/>
          <w:color w:val="000000"/>
          <w:sz w:val="24"/>
          <w:szCs w:val="24"/>
          <w:shd w:val="clear" w:color="auto" w:fill="FFFFFF"/>
          <w:lang w:val="en-IE"/>
        </w:rPr>
        <w:t>objective of the measure is to extend the technological lifetime, upgrade and increase the efficiency of existing renewable energy source capacities. T</w:t>
      </w:r>
      <w:r>
        <w:rPr>
          <w:rFonts w:ascii="Times New Roman" w:eastAsia="Times New Roman" w:hAnsi="Times New Roman"/>
          <w:noProof/>
          <w:color w:val="000000"/>
          <w:sz w:val="24"/>
          <w:szCs w:val="24"/>
          <w:lang w:val="en-IE"/>
        </w:rPr>
        <w:t xml:space="preserve">he modernization shall concern the transformation of biogas stations and of hydropower plants. </w:t>
      </w:r>
      <w:r>
        <w:rPr>
          <w:rFonts w:ascii="Times New Roman" w:eastAsia="Times New Roman" w:hAnsi="Times New Roman"/>
          <w:noProof/>
          <w:sz w:val="24"/>
          <w:szCs w:val="24"/>
          <w:lang w:val="en-IE"/>
        </w:rPr>
        <w:t xml:space="preserve"> </w:t>
      </w:r>
      <w:r>
        <w:rPr>
          <w:rFonts w:ascii="Times New Roman" w:hAnsi="Times New Roman"/>
          <w:noProof/>
          <w:color w:val="000000"/>
          <w:sz w:val="24"/>
          <w:szCs w:val="24"/>
          <w:shd w:val="clear" w:color="auto" w:fill="FFFFFF"/>
          <w:lang w:val="en-IE"/>
        </w:rPr>
        <w:t>The schem</w:t>
      </w:r>
      <w:r>
        <w:rPr>
          <w:rFonts w:ascii="Times New Roman" w:hAnsi="Times New Roman"/>
          <w:noProof/>
          <w:color w:val="000000"/>
          <w:sz w:val="24"/>
          <w:szCs w:val="24"/>
          <w:shd w:val="clear" w:color="auto" w:fill="FFFFFF"/>
          <w:lang w:val="en-IE"/>
        </w:rPr>
        <w:t xml:space="preserve">e shall </w:t>
      </w:r>
      <w:r>
        <w:rPr>
          <w:rFonts w:ascii="Times New Roman" w:hAnsi="Times New Roman"/>
          <w:noProof/>
          <w:sz w:val="24"/>
          <w:szCs w:val="24"/>
        </w:rPr>
        <w:t xml:space="preserve">deliver at least </w:t>
      </w:r>
      <w:r>
        <w:rPr>
          <w:rFonts w:ascii="Times New Roman" w:hAnsi="Times New Roman"/>
          <w:noProof/>
          <w:color w:val="000000"/>
          <w:sz w:val="24"/>
          <w:szCs w:val="24"/>
          <w:lang w:val="en-IE"/>
        </w:rPr>
        <w:t xml:space="preserve">100 MW of modernised renewable capacity for electricity generation (repowering) connected to the grid, supported under the measure. </w:t>
      </w:r>
      <w:r>
        <w:rPr>
          <w:rFonts w:ascii="Times New Roman" w:hAnsi="Times New Roman"/>
          <w:noProof/>
          <w:color w:val="000000"/>
          <w:sz w:val="24"/>
          <w:szCs w:val="24"/>
          <w:shd w:val="clear" w:color="auto" w:fill="FFFFFF"/>
          <w:lang w:val="en-IE"/>
        </w:rPr>
        <w:t xml:space="preserve">The Ministry of Economy shall be </w:t>
      </w:r>
      <w:r>
        <w:rPr>
          <w:rFonts w:ascii="Times New Roman" w:hAnsi="Times New Roman"/>
          <w:noProof/>
          <w:color w:val="000000"/>
          <w:sz w:val="24"/>
          <w:szCs w:val="24"/>
          <w:shd w:val="clear" w:color="auto" w:fill="FFFFFF"/>
          <w:lang w:val="en-IE"/>
        </w:rPr>
        <w:lastRenderedPageBreak/>
        <w:t>responsible for the implementation of the investment and collectin</w:t>
      </w:r>
      <w:r>
        <w:rPr>
          <w:rFonts w:ascii="Times New Roman" w:hAnsi="Times New Roman"/>
          <w:noProof/>
          <w:color w:val="000000"/>
          <w:sz w:val="24"/>
          <w:szCs w:val="24"/>
          <w:shd w:val="clear" w:color="auto" w:fill="FFFFFF"/>
          <w:lang w:val="en-IE"/>
        </w:rPr>
        <w:t>g the information on realised capacity from project promoters.</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lang w:val="en-IE"/>
        </w:rPr>
        <w:t>The support for the different types of modernized renewable equipment shall be assessed separately, taking into account the principle of cost-effectiveness. The support schemes shall respect th</w:t>
      </w:r>
      <w:r>
        <w:rPr>
          <w:rFonts w:ascii="Times New Roman" w:hAnsi="Times New Roman"/>
          <w:noProof/>
          <w:color w:val="000000"/>
          <w:sz w:val="24"/>
          <w:szCs w:val="24"/>
          <w:lang w:val="en-IE"/>
        </w:rPr>
        <w:t>e investment policies as set out under the milestone 3 of the Component 1 (Reform 2: Legal framework for the promotion of renewable energy sources’)</w:t>
      </w:r>
      <w:r>
        <w:rPr>
          <w:rFonts w:ascii="Times New Roman" w:hAnsi="Times New Roman"/>
          <w:noProof/>
          <w:color w:val="000000"/>
          <w:sz w:val="24"/>
          <w:szCs w:val="24"/>
          <w:shd w:val="clear" w:color="auto" w:fill="FFFFFF"/>
          <w:lang w:val="en-IE"/>
        </w:rPr>
        <w:t>.</w:t>
      </w:r>
    </w:p>
    <w:p w:rsidR="00BF6749" w:rsidRDefault="00C87555">
      <w:pPr>
        <w:spacing w:before="120" w:after="120" w:line="240" w:lineRule="auto"/>
        <w:jc w:val="both"/>
        <w:rPr>
          <w:rFonts w:ascii="Times New Roman" w:hAnsi="Times New Roman"/>
          <w:noProof/>
          <w:color w:val="000000"/>
          <w:sz w:val="24"/>
          <w:shd w:val="clear" w:color="auto" w:fill="FFFFFF"/>
          <w:lang w:val="en-IE"/>
        </w:rPr>
      </w:pPr>
      <w:r>
        <w:rPr>
          <w:rFonts w:ascii="Times New Roman" w:hAnsi="Times New Roman"/>
          <w:noProof/>
          <w:color w:val="000000"/>
          <w:sz w:val="24"/>
          <w:szCs w:val="24"/>
          <w:shd w:val="clear" w:color="auto" w:fill="FFFFFF"/>
          <w:lang w:val="en-IE"/>
        </w:rPr>
        <w:t>The implementation of the investment is expected to start by 1 January 2022 and shall be completed by 30 J</w:t>
      </w:r>
      <w:r>
        <w:rPr>
          <w:rFonts w:ascii="Times New Roman" w:hAnsi="Times New Roman"/>
          <w:noProof/>
          <w:color w:val="000000"/>
          <w:sz w:val="24"/>
          <w:szCs w:val="24"/>
          <w:shd w:val="clear" w:color="auto" w:fill="FFFFFF"/>
          <w:lang w:val="en-IE"/>
        </w:rPr>
        <w:t>une 2026.</w:t>
      </w:r>
    </w:p>
    <w:p w:rsidR="00BF6749" w:rsidRDefault="00C87555">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Investment 3: Increasing </w:t>
      </w:r>
      <w:r>
        <w:rPr>
          <w:rFonts w:ascii="Times New Roman" w:hAnsi="Times New Roman"/>
          <w:b/>
          <w:bCs/>
          <w:noProof/>
          <w:sz w:val="24"/>
          <w:szCs w:val="24"/>
        </w:rPr>
        <w:t xml:space="preserve">the </w:t>
      </w:r>
      <w:r>
        <w:rPr>
          <w:rFonts w:ascii="Times New Roman" w:hAnsi="Times New Roman"/>
          <w:b/>
          <w:noProof/>
          <w:sz w:val="24"/>
          <w:szCs w:val="24"/>
        </w:rPr>
        <w:t>flexibility of electricity systems for greater integration</w:t>
      </w:r>
      <w:r>
        <w:rPr>
          <w:rFonts w:ascii="Times New Roman" w:hAnsi="Times New Roman"/>
          <w:b/>
          <w:bCs/>
          <w:noProof/>
          <w:sz w:val="24"/>
          <w:szCs w:val="24"/>
        </w:rPr>
        <w:t xml:space="preserve"> of renewables</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lang w:val="en-IE"/>
        </w:rPr>
        <w:t>The purpose of the investment is to increase the flexibility of Slovak electricity network. The phasing out of the flexible fossil electricity sources causes a loss of balancing performance, with a negative impact on the system’s ability to integrate varia</w:t>
      </w:r>
      <w:r>
        <w:rPr>
          <w:rFonts w:ascii="Times New Roman" w:hAnsi="Times New Roman"/>
          <w:noProof/>
          <w:color w:val="000000"/>
          <w:sz w:val="24"/>
          <w:szCs w:val="24"/>
          <w:lang w:val="en-IE"/>
        </w:rPr>
        <w:t xml:space="preserve">ble renewable energy sources. </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lang w:val="en-IE"/>
        </w:rPr>
        <w:t xml:space="preserve">The investment shall target the support to electricity storages facilities, including hydrogen-based solutions, and to increasing the electricity balancing capacity in hydro-power plants. The support scheme shall </w:t>
      </w:r>
      <w:r>
        <w:rPr>
          <w:rFonts w:ascii="Times New Roman" w:hAnsi="Times New Roman"/>
          <w:noProof/>
          <w:color w:val="000000"/>
          <w:sz w:val="24"/>
          <w:szCs w:val="24"/>
        </w:rPr>
        <w:t>deliver at l</w:t>
      </w:r>
      <w:r>
        <w:rPr>
          <w:rFonts w:ascii="Times New Roman" w:hAnsi="Times New Roman"/>
          <w:noProof/>
          <w:color w:val="000000"/>
          <w:sz w:val="24"/>
          <w:szCs w:val="24"/>
        </w:rPr>
        <w:t>east</w:t>
      </w:r>
      <w:r>
        <w:rPr>
          <w:rFonts w:ascii="Times New Roman" w:hAnsi="Times New Roman"/>
          <w:noProof/>
          <w:color w:val="000000"/>
          <w:sz w:val="24"/>
          <w:szCs w:val="24"/>
          <w:lang w:val="en-IE"/>
        </w:rPr>
        <w:t xml:space="preserve"> 68 MW cumulative increase of balancing capacity, induced by the new storage capacities and increase of balancing capacity of existing hydropower plants, connected to the grid. </w:t>
      </w:r>
      <w:r>
        <w:rPr>
          <w:rFonts w:ascii="Times New Roman" w:hAnsi="Times New Roman"/>
          <w:noProof/>
          <w:color w:val="000000"/>
          <w:sz w:val="24"/>
          <w:szCs w:val="24"/>
        </w:rPr>
        <w:t>The exact breakdown of 68 MW target shall depend on demand of relevant subj</w:t>
      </w:r>
      <w:r>
        <w:rPr>
          <w:rFonts w:ascii="Times New Roman" w:hAnsi="Times New Roman"/>
          <w:noProof/>
          <w:color w:val="000000"/>
          <w:sz w:val="24"/>
          <w:szCs w:val="24"/>
        </w:rPr>
        <w:t xml:space="preserve">ects. The investments into the balancing capacity of the hydropower plants shall not exceed EUR 12 000 000 under the measure. </w:t>
      </w:r>
      <w:r>
        <w:rPr>
          <w:rFonts w:ascii="Times New Roman" w:hAnsi="Times New Roman"/>
          <w:noProof/>
          <w:color w:val="000000"/>
          <w:sz w:val="24"/>
          <w:szCs w:val="24"/>
          <w:lang w:val="en-IE"/>
        </w:rPr>
        <w:t>The investments shall be highly complementary to other actions in the component, as it contributes to increasing the free grid cap</w:t>
      </w:r>
      <w:r>
        <w:rPr>
          <w:rFonts w:ascii="Times New Roman" w:hAnsi="Times New Roman"/>
          <w:noProof/>
          <w:color w:val="000000"/>
          <w:sz w:val="24"/>
          <w:szCs w:val="24"/>
          <w:lang w:val="en-IE"/>
        </w:rPr>
        <w:t xml:space="preserve">acity for integrating the renewable energy sources. </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lang w:val="en-IE"/>
        </w:rPr>
        <w:t>The support shall be granted under the technologically specific schemes, taking into account the principle of cost-effectiveness. The schemes shall respect the conditions on investment policies as specif</w:t>
      </w:r>
      <w:r>
        <w:rPr>
          <w:rFonts w:ascii="Times New Roman" w:hAnsi="Times New Roman"/>
          <w:noProof/>
          <w:color w:val="000000"/>
          <w:sz w:val="24"/>
          <w:szCs w:val="24"/>
          <w:lang w:val="en-IE"/>
        </w:rPr>
        <w:t>ied under the milestone 3 of the Component 1 (Reform 2:  Legal framework for the promotion of renewable energy sources’).</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lang w:val="en-IE"/>
        </w:rPr>
        <w:t>The implementation of the investment is expected to start by 1 January 2022 and shall be completed by 30 June 2026.</w:t>
      </w:r>
    </w:p>
    <w:p w:rsidR="00BF6749" w:rsidRDefault="00BF6749">
      <w:pPr>
        <w:spacing w:before="120" w:after="120" w:line="240" w:lineRule="auto"/>
        <w:jc w:val="both"/>
        <w:rPr>
          <w:rFonts w:ascii="Times New Roman" w:hAnsi="Times New Roman"/>
          <w:noProof/>
          <w:color w:val="000000"/>
          <w:sz w:val="24"/>
          <w:szCs w:val="24"/>
        </w:rPr>
      </w:pPr>
    </w:p>
    <w:p w:rsidR="00BF6749" w:rsidRDefault="00BF6749">
      <w:pPr>
        <w:spacing w:before="120" w:after="120" w:line="240" w:lineRule="auto"/>
        <w:jc w:val="both"/>
        <w:rPr>
          <w:rFonts w:ascii="Times New Roman" w:hAnsi="Times New Roman"/>
          <w:noProof/>
          <w:color w:val="000000"/>
          <w:sz w:val="24"/>
          <w:szCs w:val="24"/>
        </w:rPr>
        <w:sectPr w:rsidR="00BF6749">
          <w:headerReference w:type="even" r:id="rId18"/>
          <w:headerReference w:type="default" r:id="rId19"/>
          <w:footerReference w:type="even" r:id="rId20"/>
          <w:footerReference w:type="default" r:id="rId21"/>
          <w:headerReference w:type="first" r:id="rId22"/>
          <w:footerReference w:type="first" r:id="rId23"/>
          <w:pgSz w:w="11907" w:h="16839" w:code="9"/>
          <w:pgMar w:top="1134" w:right="1418" w:bottom="1134" w:left="1418" w:header="709" w:footer="709" w:gutter="0"/>
          <w:cols w:space="720"/>
          <w:docGrid w:linePitch="360"/>
        </w:sectPr>
      </w:pPr>
    </w:p>
    <w:p w:rsidR="00BF6749" w:rsidRDefault="00C87555">
      <w:pPr>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lastRenderedPageBreak/>
        <w:t xml:space="preserve">A.2. </w:t>
      </w:r>
      <w:r>
        <w:rPr>
          <w:rFonts w:ascii="Times New Roman" w:hAnsi="Times New Roman"/>
          <w:b/>
          <w:noProof/>
          <w:sz w:val="24"/>
          <w:szCs w:val="24"/>
          <w:u w:val="single"/>
        </w:rPr>
        <w:tab/>
        <w:t>Milestones, targets, indicators, and timetable for monitoring and implementation for non-repayable financial support.</w:t>
      </w:r>
    </w:p>
    <w:tbl>
      <w:tblPr>
        <w:tblW w:w="16034" w:type="dxa"/>
        <w:tblInd w:w="-176" w:type="dxa"/>
        <w:tblLayout w:type="fixed"/>
        <w:tblLook w:val="04A0" w:firstRow="1" w:lastRow="0" w:firstColumn="1" w:lastColumn="0" w:noHBand="0" w:noVBand="1"/>
      </w:tblPr>
      <w:tblGrid>
        <w:gridCol w:w="851"/>
        <w:gridCol w:w="1276"/>
        <w:gridCol w:w="1134"/>
        <w:gridCol w:w="1134"/>
        <w:gridCol w:w="1701"/>
        <w:gridCol w:w="1276"/>
        <w:gridCol w:w="992"/>
        <w:gridCol w:w="851"/>
        <w:gridCol w:w="992"/>
        <w:gridCol w:w="992"/>
        <w:gridCol w:w="4835"/>
      </w:tblGrid>
      <w:tr w:rsidR="00BF6749">
        <w:trPr>
          <w:trHeight w:val="1369"/>
        </w:trPr>
        <w:tc>
          <w:tcPr>
            <w:tcW w:w="851" w:type="dxa"/>
            <w:vMerge w:val="restart"/>
            <w:tcBorders>
              <w:top w:val="single" w:sz="4" w:space="0" w:color="auto"/>
              <w:left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bCs/>
                <w:noProof/>
                <w:sz w:val="20"/>
                <w:szCs w:val="20"/>
              </w:rPr>
              <w:t>Seq. Num.</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276"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Related measure (Reform or Investment)</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134"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Milestone / Target</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134"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Name</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701"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Qualitative indicators  (for milestones)</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3119" w:type="dxa"/>
            <w:gridSpan w:val="3"/>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Quantitative indicators  (for targets)</w:t>
            </w:r>
          </w:p>
        </w:tc>
        <w:tc>
          <w:tcPr>
            <w:tcW w:w="1984" w:type="dxa"/>
            <w:gridSpan w:val="2"/>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bCs/>
                <w:noProof/>
                <w:sz w:val="20"/>
                <w:szCs w:val="20"/>
              </w:rPr>
              <w:t xml:space="preserve">Indicative timeline for completion </w:t>
            </w:r>
          </w:p>
        </w:tc>
        <w:tc>
          <w:tcPr>
            <w:tcW w:w="4835"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Description and clear definition of each milestone and target</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r>
      <w:tr w:rsidR="00BF6749">
        <w:trPr>
          <w:trHeight w:val="313"/>
        </w:trPr>
        <w:tc>
          <w:tcPr>
            <w:tcW w:w="851" w:type="dxa"/>
            <w:vMerge/>
            <w:tcBorders>
              <w:left w:val="single" w:sz="4" w:space="0" w:color="auto"/>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276"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134"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134"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701"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276"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Unit of measure</w:t>
            </w:r>
          </w:p>
        </w:tc>
        <w:tc>
          <w:tcPr>
            <w:tcW w:w="992"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Baseline</w:t>
            </w:r>
          </w:p>
        </w:tc>
        <w:tc>
          <w:tcPr>
            <w:tcW w:w="851"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Goal</w:t>
            </w:r>
          </w:p>
        </w:tc>
        <w:tc>
          <w:tcPr>
            <w:tcW w:w="992"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Quarter</w:t>
            </w:r>
          </w:p>
        </w:tc>
        <w:tc>
          <w:tcPr>
            <w:tcW w:w="992"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Year</w:t>
            </w:r>
          </w:p>
        </w:tc>
        <w:tc>
          <w:tcPr>
            <w:tcW w:w="4835"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r>
      <w:tr w:rsidR="00BF6749">
        <w:trPr>
          <w:trHeight w:val="2728"/>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w:t>
            </w:r>
          </w:p>
        </w:tc>
        <w:tc>
          <w:tcPr>
            <w:tcW w:w="127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 – Renewable energy </w:t>
            </w:r>
            <w:r>
              <w:rPr>
                <w:rFonts w:ascii="Times New Roman" w:eastAsia="Times New Roman" w:hAnsi="Times New Roman"/>
                <w:noProof/>
                <w:color w:val="006100"/>
                <w:sz w:val="20"/>
                <w:szCs w:val="20"/>
              </w:rPr>
              <w:t>sources and energy infrastructure – Reform 1: Adapting  the electricity legal framework</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Reform of electricity market</w:t>
            </w:r>
          </w:p>
          <w:p w:rsidR="00BF6749" w:rsidRDefault="00BF6749">
            <w:pPr>
              <w:spacing w:after="0" w:line="240" w:lineRule="auto"/>
              <w:rPr>
                <w:rFonts w:ascii="Times New Roman" w:eastAsia="Times New Roman" w:hAnsi="Times New Roman"/>
                <w:noProof/>
                <w:color w:val="385724"/>
                <w:sz w:val="20"/>
                <w:szCs w:val="20"/>
              </w:rPr>
            </w:pPr>
          </w:p>
          <w:p w:rsidR="00BF6749" w:rsidRDefault="00BF6749">
            <w:pPr>
              <w:spacing w:after="0" w:line="240" w:lineRule="auto"/>
              <w:rPr>
                <w:rFonts w:ascii="Times New Roman" w:eastAsia="Times New Roman" w:hAnsi="Times New Roman"/>
                <w:noProof/>
                <w:color w:val="385724"/>
                <w:sz w:val="20"/>
                <w:szCs w:val="20"/>
              </w:rPr>
            </w:pPr>
          </w:p>
          <w:p w:rsidR="00BF6749" w:rsidRDefault="00BF6749">
            <w:pPr>
              <w:spacing w:after="0" w:line="240" w:lineRule="auto"/>
              <w:rPr>
                <w:rFonts w:ascii="Times New Roman" w:eastAsia="Times New Roman" w:hAnsi="Times New Roman"/>
                <w:noProof/>
                <w:color w:val="385724"/>
                <w:sz w:val="20"/>
                <w:szCs w:val="20"/>
              </w:rPr>
            </w:pPr>
          </w:p>
          <w:p w:rsidR="00BF6749" w:rsidRDefault="00BF6749">
            <w:pPr>
              <w:spacing w:after="0" w:line="240" w:lineRule="auto"/>
              <w:rPr>
                <w:rFonts w:ascii="Times New Roman" w:eastAsia="Times New Roman" w:hAnsi="Times New Roman"/>
                <w:noProof/>
                <w:color w:val="385724"/>
                <w:sz w:val="20"/>
                <w:szCs w:val="20"/>
              </w:rPr>
            </w:pP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Entry into force of legislative  amendments  to the Act on energy and Act on regulation in network industries</w:t>
            </w:r>
          </w:p>
          <w:p w:rsidR="00BF6749" w:rsidRDefault="00BF6749">
            <w:pPr>
              <w:spacing w:after="0" w:line="240" w:lineRule="auto"/>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tc>
        <w:tc>
          <w:tcPr>
            <w:tcW w:w="127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483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legal framework shall be modified by amending Act 251/2012 Coll. on energy and Act 250/2012 Coll. on regulation in network industries to transpose the Directive 2019/944. Furthermore, the updated legal framework shall facilitate the new activities</w:t>
            </w:r>
            <w:r>
              <w:rPr>
                <w:rFonts w:ascii="Times New Roman" w:eastAsia="Times New Roman" w:hAnsi="Times New Roman"/>
                <w:noProof/>
                <w:color w:val="006100"/>
                <w:sz w:val="20"/>
                <w:szCs w:val="20"/>
              </w:rPr>
              <w:t xml:space="preserve"> and access of participants to the electricity market (energy communities, aggregator, self-consumer, electricity storage), while increasing overall flexibility of the electricity system and improving the possibilities for connecting of new renewable sourc</w:t>
            </w:r>
            <w:r>
              <w:rPr>
                <w:rFonts w:ascii="Times New Roman" w:eastAsia="Times New Roman" w:hAnsi="Times New Roman"/>
                <w:noProof/>
                <w:color w:val="006100"/>
                <w:sz w:val="20"/>
                <w:szCs w:val="20"/>
              </w:rPr>
              <w:t>es to the Slovak grid.</w:t>
            </w:r>
          </w:p>
        </w:tc>
      </w:tr>
      <w:tr w:rsidR="00BF6749">
        <w:trPr>
          <w:trHeight w:val="313"/>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127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 – Renewable energy sources and energy infrastructure – Reform 1: Adapting the electricity legal framework </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 xml:space="preserve">Release of restrictions on technical capacities for electricity transmission within the Slovak electricity system </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rPr>
                <w:rFonts w:ascii="Times New Roman" w:eastAsia="Times New Roman" w:hAnsi="Times New Roman"/>
                <w:noProof/>
                <w:color w:val="385724"/>
                <w:sz w:val="20"/>
                <w:szCs w:val="20"/>
              </w:rPr>
            </w:pPr>
          </w:p>
          <w:p w:rsidR="00BF6749" w:rsidRDefault="00BF6749">
            <w:pPr>
              <w:spacing w:after="0" w:line="240" w:lineRule="auto"/>
              <w:rPr>
                <w:rFonts w:ascii="Times New Roman" w:eastAsia="Times New Roman" w:hAnsi="Times New Roman"/>
                <w:noProof/>
                <w:color w:val="385724"/>
                <w:sz w:val="20"/>
                <w:szCs w:val="20"/>
              </w:rPr>
            </w:pPr>
          </w:p>
          <w:p w:rsidR="00BF6749" w:rsidRDefault="00C87555">
            <w:pPr>
              <w:spacing w:after="0" w:line="240" w:lineRule="auto"/>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 xml:space="preserve">Joint public declaration by   the Ministry of Economy and the Slovak transmission system operator </w:t>
            </w:r>
            <w:r>
              <w:rPr>
                <w:rFonts w:ascii="Times New Roman" w:eastAsia="Times New Roman" w:hAnsi="Times New Roman"/>
                <w:i/>
                <w:iCs/>
                <w:noProof/>
                <w:color w:val="385724"/>
                <w:sz w:val="20"/>
                <w:szCs w:val="20"/>
              </w:rPr>
              <w:t>Slovenská elektrizačná prenosová sústava,</w:t>
            </w:r>
            <w:r>
              <w:rPr>
                <w:rFonts w:ascii="Times New Roman" w:eastAsia="Times New Roman" w:hAnsi="Times New Roman"/>
                <w:i/>
                <w:iCs/>
                <w:noProof/>
                <w:color w:val="385724"/>
                <w:sz w:val="20"/>
                <w:szCs w:val="20"/>
              </w:rPr>
              <w:t xml:space="preserve"> a.s.</w:t>
            </w:r>
            <w:r>
              <w:rPr>
                <w:rFonts w:ascii="Times New Roman" w:eastAsia="Times New Roman" w:hAnsi="Times New Roman"/>
                <w:noProof/>
                <w:color w:val="385724"/>
                <w:sz w:val="20"/>
                <w:szCs w:val="20"/>
              </w:rPr>
              <w:t xml:space="preserve"> </w:t>
            </w:r>
          </w:p>
          <w:p w:rsidR="00BF6749" w:rsidRDefault="00BF6749">
            <w:pPr>
              <w:spacing w:after="0" w:line="240" w:lineRule="auto"/>
              <w:rPr>
                <w:rFonts w:ascii="Times New Roman" w:eastAsia="Times New Roman" w:hAnsi="Times New Roman"/>
                <w:noProof/>
                <w:color w:val="385724"/>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385724"/>
                <w:sz w:val="20"/>
                <w:szCs w:val="20"/>
              </w:rPr>
              <w:t xml:space="preserve"> </w:t>
            </w:r>
          </w:p>
        </w:tc>
        <w:tc>
          <w:tcPr>
            <w:tcW w:w="127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tcPr>
          <w:p w:rsidR="00BF6749" w:rsidRDefault="00BF6749">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p w:rsidR="00BF6749" w:rsidRDefault="00BF6749">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2021</w:t>
            </w:r>
          </w:p>
        </w:tc>
        <w:tc>
          <w:tcPr>
            <w:tcW w:w="4835"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both"/>
              <w:rPr>
                <w:rFonts w:ascii="Times New Roman" w:eastAsia="Times New Roman" w:hAnsi="Times New Roman"/>
                <w:noProof/>
                <w:color w:val="006100"/>
                <w:sz w:val="20"/>
                <w:szCs w:val="20"/>
              </w:rPr>
            </w:pPr>
          </w:p>
          <w:p w:rsidR="00BF6749" w:rsidRDefault="00C87555">
            <w:pPr>
              <w:spacing w:after="0" w:line="240" w:lineRule="auto"/>
              <w:jc w:val="both"/>
              <w:rPr>
                <w:rFonts w:ascii="Times New Roman" w:eastAsia="Times New Roman" w:hAnsi="Times New Roman"/>
                <w:noProof/>
                <w:color w:val="385724"/>
                <w:sz w:val="20"/>
                <w:szCs w:val="20"/>
              </w:rPr>
            </w:pPr>
            <w:r>
              <w:rPr>
                <w:rFonts w:ascii="Times New Roman" w:eastAsia="Times New Roman" w:hAnsi="Times New Roman"/>
                <w:noProof/>
                <w:color w:val="006100"/>
                <w:sz w:val="20"/>
                <w:szCs w:val="20"/>
              </w:rPr>
              <w:t>The Slovak Ministry of Economy and the Slovak electricity transmission system operator</w:t>
            </w:r>
            <w:r>
              <w:rPr>
                <w:rFonts w:ascii="Times New Roman" w:eastAsia="Times New Roman" w:hAnsi="Times New Roman"/>
                <w:noProof/>
                <w:color w:val="385724"/>
                <w:sz w:val="20"/>
                <w:szCs w:val="20"/>
              </w:rPr>
              <w:t xml:space="preserve"> </w:t>
            </w:r>
            <w:r>
              <w:rPr>
                <w:rFonts w:ascii="Times New Roman" w:eastAsia="Times New Roman" w:hAnsi="Times New Roman"/>
                <w:i/>
                <w:noProof/>
                <w:color w:val="385724"/>
                <w:sz w:val="20"/>
                <w:szCs w:val="20"/>
              </w:rPr>
              <w:t>Slovenská elektrizačná prenosová sústava, a.s.</w:t>
            </w:r>
            <w:r>
              <w:rPr>
                <w:rFonts w:ascii="Times New Roman" w:eastAsia="Times New Roman" w:hAnsi="Times New Roman"/>
                <w:noProof/>
                <w:color w:val="385724"/>
                <w:sz w:val="20"/>
                <w:szCs w:val="20"/>
              </w:rPr>
              <w:t xml:space="preserve"> </w:t>
            </w:r>
            <w:r>
              <w:rPr>
                <w:rFonts w:ascii="Times New Roman" w:eastAsia="Times New Roman" w:hAnsi="Times New Roman"/>
                <w:noProof/>
                <w:color w:val="006100"/>
                <w:sz w:val="20"/>
                <w:szCs w:val="20"/>
              </w:rPr>
              <w:t>shall declare the release of restrictions on technical capacities for electricity transmission wit</w:t>
            </w:r>
            <w:r>
              <w:rPr>
                <w:rFonts w:ascii="Times New Roman" w:eastAsia="Times New Roman" w:hAnsi="Times New Roman"/>
                <w:noProof/>
                <w:color w:val="006100"/>
                <w:sz w:val="20"/>
                <w:szCs w:val="20"/>
              </w:rPr>
              <w:t xml:space="preserve">hin the Slovak electricity system and an increase of capacity for connecting renewable </w:t>
            </w:r>
            <w:r>
              <w:rPr>
                <w:rFonts w:ascii="Times New Roman" w:eastAsia="Times New Roman" w:hAnsi="Times New Roman"/>
                <w:noProof/>
                <w:color w:val="385724"/>
                <w:sz w:val="20"/>
                <w:szCs w:val="20"/>
              </w:rPr>
              <w:t>sources to the grid</w:t>
            </w:r>
            <w:r>
              <w:rPr>
                <w:rFonts w:ascii="Times New Roman" w:eastAsia="Times New Roman" w:hAnsi="Times New Roman"/>
                <w:noProof/>
                <w:color w:val="006100"/>
                <w:sz w:val="20"/>
                <w:szCs w:val="20"/>
              </w:rPr>
              <w:t>. The measure shall be facilitated through the increase in net transfer capacity of transmission interconnections with the Republic of Hungary.</w:t>
            </w:r>
          </w:p>
          <w:p w:rsidR="00BF6749" w:rsidRDefault="00BF6749">
            <w:pPr>
              <w:spacing w:after="0" w:line="240" w:lineRule="auto"/>
              <w:jc w:val="both"/>
              <w:rPr>
                <w:rFonts w:ascii="Times New Roman" w:eastAsia="Times New Roman" w:hAnsi="Times New Roman"/>
                <w:noProof/>
                <w:color w:val="006100"/>
                <w:sz w:val="20"/>
                <w:szCs w:val="20"/>
              </w:rPr>
            </w:pPr>
          </w:p>
        </w:tc>
      </w:tr>
      <w:tr w:rsidR="00BF6749">
        <w:trPr>
          <w:trHeight w:val="1779"/>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lastRenderedPageBreak/>
              <w:t>3</w:t>
            </w:r>
          </w:p>
        </w:tc>
        <w:tc>
          <w:tcPr>
            <w:tcW w:w="127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 </w:t>
            </w:r>
            <w:r>
              <w:rPr>
                <w:rFonts w:ascii="Times New Roman" w:eastAsia="Times New Roman" w:hAnsi="Times New Roman"/>
                <w:noProof/>
                <w:color w:val="006100"/>
                <w:sz w:val="20"/>
                <w:szCs w:val="20"/>
              </w:rPr>
              <w:t>– Renewable energy sources and energy infrastructure – Reform 2: The legal framework for promotion of renewable energy sources</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 xml:space="preserve">Framework for supporting the  investments into new renewable sources </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Entry into force of legislative  amendments  to the Act on the promotion of renewable energy sources and high-efficiency cogeneration and to the Act on thermal energy. </w:t>
            </w:r>
          </w:p>
          <w:p w:rsidR="00BF6749" w:rsidRDefault="00BF6749">
            <w:pPr>
              <w:spacing w:after="0" w:line="240" w:lineRule="auto"/>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Adoption of a long-term auctioning plan by the Ministry of Economy   </w:t>
            </w:r>
          </w:p>
          <w:p w:rsidR="00BF6749" w:rsidRDefault="00BF6749">
            <w:pPr>
              <w:spacing w:after="0" w:line="240" w:lineRule="auto"/>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Adoption of in</w:t>
            </w:r>
            <w:r>
              <w:rPr>
                <w:rFonts w:ascii="Times New Roman" w:eastAsia="Times New Roman" w:hAnsi="Times New Roman"/>
                <w:noProof/>
                <w:color w:val="006100"/>
                <w:sz w:val="20"/>
                <w:szCs w:val="20"/>
              </w:rPr>
              <w:t>vestment schemes by the  Ministry of Economy for the promotion</w:t>
            </w: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of new sources of electricity from renewable energy sources (defined in Investment 1),  investments to  repowering (defined in Investment 2)  and investments  increasing flexibility of the electricity system </w:t>
            </w: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(defined in Investment 3)</w:t>
            </w:r>
          </w:p>
          <w:p w:rsidR="00BF6749" w:rsidRDefault="00BF6749">
            <w:pPr>
              <w:spacing w:before="120" w:after="0" w:line="240" w:lineRule="auto"/>
              <w:jc w:val="both"/>
              <w:rPr>
                <w:rFonts w:ascii="Times New Roman" w:eastAsia="Times New Roman" w:hAnsi="Times New Roman"/>
                <w:noProof/>
                <w:color w:val="006100"/>
                <w:sz w:val="20"/>
                <w:szCs w:val="20"/>
              </w:rPr>
            </w:pPr>
          </w:p>
          <w:p w:rsidR="00BF6749" w:rsidRDefault="00BF6749">
            <w:pPr>
              <w:spacing w:before="120" w:after="0" w:line="240" w:lineRule="auto"/>
              <w:jc w:val="both"/>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tc>
        <w:tc>
          <w:tcPr>
            <w:tcW w:w="127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lastRenderedPageBreak/>
              <w:t> </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4835"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both"/>
              <w:rPr>
                <w:rFonts w:ascii="Times New Roman" w:eastAsia="Times New Roman" w:hAnsi="Times New Roman"/>
                <w:noProof/>
                <w:color w:val="006100"/>
                <w:sz w:val="20"/>
                <w:szCs w:val="20"/>
              </w:rPr>
            </w:pPr>
          </w:p>
          <w:p w:rsidR="00BF6749" w:rsidRDefault="00BF6749">
            <w:pPr>
              <w:spacing w:after="0" w:line="240" w:lineRule="auto"/>
              <w:jc w:val="both"/>
              <w:rPr>
                <w:rFonts w:ascii="Times New Roman" w:eastAsia="Times New Roman" w:hAnsi="Times New Roman"/>
                <w:noProof/>
                <w:color w:val="006100"/>
                <w:sz w:val="20"/>
                <w:szCs w:val="20"/>
              </w:rPr>
            </w:pP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w:t>
            </w:r>
            <w:r>
              <w:rPr>
                <w:rFonts w:ascii="Times New Roman" w:eastAsia="Times New Roman" w:hAnsi="Times New Roman"/>
                <w:noProof/>
                <w:color w:val="006100"/>
                <w:sz w:val="20"/>
                <w:szCs w:val="20"/>
              </w:rPr>
              <w:t xml:space="preserve">e legislative amendments shall create support mechanisms for increasing the share of renewable energy sources in transport, electricity and heating sector. The legal framework shall be modified by amending the Acts 309/2009 Coll. on promotion of renewable </w:t>
            </w:r>
            <w:r>
              <w:rPr>
                <w:rFonts w:ascii="Times New Roman" w:eastAsia="Times New Roman" w:hAnsi="Times New Roman"/>
                <w:noProof/>
                <w:color w:val="006100"/>
                <w:sz w:val="20"/>
                <w:szCs w:val="20"/>
              </w:rPr>
              <w:t xml:space="preserve">energy sources and high-efficiency cogeneration and the Act 657/2004 Coll. on thermal energy. </w:t>
            </w:r>
          </w:p>
          <w:p w:rsidR="00BF6749" w:rsidRDefault="00BF6749">
            <w:pPr>
              <w:spacing w:after="0" w:line="240" w:lineRule="auto"/>
              <w:jc w:val="both"/>
              <w:rPr>
                <w:rFonts w:ascii="Times New Roman" w:eastAsia="Times New Roman" w:hAnsi="Times New Roman"/>
                <w:noProof/>
                <w:color w:val="006100"/>
                <w:sz w:val="20"/>
                <w:szCs w:val="20"/>
              </w:rPr>
            </w:pP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Ministry of Economy shall adopt a long-term auctioning plan for new renewable sources, contributing to   better predictability of the increase in capacity </w:t>
            </w:r>
            <w:r>
              <w:rPr>
                <w:rFonts w:ascii="Times New Roman" w:eastAsia="Times New Roman" w:hAnsi="Times New Roman"/>
                <w:noProof/>
                <w:color w:val="006100"/>
                <w:sz w:val="20"/>
                <w:szCs w:val="20"/>
              </w:rPr>
              <w:t>of new renewable capacity.</w:t>
            </w: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w:t>
            </w: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Ministry of Economy shall adopt the new auction scheme for new sources of electricity from renewable energy sources (defined in Investment 1), the support schemes to investments on repowering (defined in Investment 2) and </w:t>
            </w:r>
            <w:r>
              <w:rPr>
                <w:rFonts w:ascii="Times New Roman" w:eastAsia="Times New Roman" w:hAnsi="Times New Roman"/>
                <w:noProof/>
                <w:color w:val="006100"/>
                <w:sz w:val="20"/>
                <w:szCs w:val="20"/>
              </w:rPr>
              <w:t xml:space="preserve">increasing flexibility of the electricity system (defined in Investment 3). The schemes shall detail the eligibility criteria for supported companies, ensuring compliance with the EU and national environmental acquis as well as the DNSH Technical Guidance </w:t>
            </w:r>
            <w:r>
              <w:rPr>
                <w:rFonts w:ascii="Times New Roman" w:eastAsia="Times New Roman" w:hAnsi="Times New Roman"/>
                <w:noProof/>
                <w:color w:val="006100"/>
                <w:sz w:val="20"/>
                <w:szCs w:val="20"/>
              </w:rPr>
              <w:t>(2021/C58/01) of supported activities and/or companies, while increasing the new RES capacities as detailed in corresponding targets (for Investments 1, 2 and 3). The biomass projects shall achieve at least 80% GHG emissions saving according to the GHG sav</w:t>
            </w:r>
            <w:r>
              <w:rPr>
                <w:rFonts w:ascii="Times New Roman" w:eastAsia="Times New Roman" w:hAnsi="Times New Roman"/>
                <w:noProof/>
                <w:color w:val="006100"/>
                <w:sz w:val="20"/>
                <w:szCs w:val="20"/>
              </w:rPr>
              <w:t>ing methodology and the relative fossil fuel comparator set out in Annex VI to Directive (EU) 2018/2001. Only investments into hydro-power that are in line with the EU acquis shall be supported.</w:t>
            </w:r>
          </w:p>
          <w:p w:rsidR="00BF6749" w:rsidRDefault="00BF6749">
            <w:pPr>
              <w:spacing w:after="0" w:line="240" w:lineRule="auto"/>
              <w:jc w:val="both"/>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highlight w:val="yellow"/>
              </w:rPr>
            </w:pPr>
          </w:p>
          <w:p w:rsidR="00BF6749" w:rsidRDefault="00BF6749">
            <w:pPr>
              <w:spacing w:after="0" w:line="240" w:lineRule="auto"/>
              <w:jc w:val="both"/>
              <w:rPr>
                <w:rFonts w:ascii="Times New Roman" w:eastAsia="Times New Roman" w:hAnsi="Times New Roman"/>
                <w:noProof/>
                <w:color w:val="006100"/>
                <w:sz w:val="20"/>
                <w:szCs w:val="20"/>
              </w:rPr>
            </w:pPr>
          </w:p>
        </w:tc>
      </w:tr>
      <w:tr w:rsidR="00BF6749">
        <w:trPr>
          <w:trHeight w:val="732"/>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w:t>
            </w:r>
          </w:p>
        </w:tc>
        <w:tc>
          <w:tcPr>
            <w:tcW w:w="127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 – Renewable energy sources and energy infrastructure </w:t>
            </w:r>
            <w:r>
              <w:rPr>
                <w:rFonts w:ascii="Times New Roman" w:eastAsia="Times New Roman" w:hAnsi="Times New Roman"/>
                <w:noProof/>
                <w:color w:val="006100"/>
                <w:sz w:val="20"/>
                <w:szCs w:val="20"/>
              </w:rPr>
              <w:t>– Investment 1:  Construction of the new renewable electricity sources</w:t>
            </w:r>
          </w:p>
          <w:p w:rsidR="00BF6749" w:rsidRDefault="00BF6749">
            <w:pPr>
              <w:spacing w:after="0" w:line="240" w:lineRule="auto"/>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 xml:space="preserve">New renewable energy source capacity  </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7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120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Q2</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Of the overall objective to increase the new renewable electricity capacity by 122.4 MW, the support scheme shall under the measure deliver at least 120 MW of new renewable electricity sources capacity connected to the grid. </w:t>
            </w:r>
          </w:p>
          <w:p w:rsidR="00BF6749" w:rsidRDefault="00BF6749">
            <w:pPr>
              <w:spacing w:after="0" w:line="240" w:lineRule="auto"/>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support mechanism shall t</w:t>
            </w:r>
            <w:r>
              <w:rPr>
                <w:rFonts w:ascii="Times New Roman" w:eastAsia="Times New Roman" w:hAnsi="Times New Roman"/>
                <w:noProof/>
                <w:color w:val="006100"/>
                <w:sz w:val="20"/>
                <w:szCs w:val="20"/>
              </w:rPr>
              <w:t>ake the form of auctions for investment support for new sources of electricity from renewable energy sources. The support scheme shall respect the conditions on investment policies as specified under the milestone 3 (‘1 – Renewable energy sources and energ</w:t>
            </w:r>
            <w:r>
              <w:rPr>
                <w:rFonts w:ascii="Times New Roman" w:eastAsia="Times New Roman" w:hAnsi="Times New Roman"/>
                <w:noProof/>
                <w:color w:val="006100"/>
                <w:sz w:val="20"/>
                <w:szCs w:val="20"/>
              </w:rPr>
              <w:t>y infrastructure - Reform 2:  Legal framework for the promotion of renewable energy sources’).</w:t>
            </w:r>
          </w:p>
          <w:p w:rsidR="00BF6749" w:rsidRDefault="00BF6749">
            <w:pPr>
              <w:spacing w:after="0" w:line="240" w:lineRule="auto"/>
              <w:rPr>
                <w:rFonts w:ascii="Times New Roman" w:eastAsia="Times New Roman" w:hAnsi="Times New Roman"/>
                <w:noProof/>
                <w:color w:val="006100"/>
                <w:sz w:val="20"/>
                <w:szCs w:val="20"/>
              </w:rPr>
            </w:pPr>
          </w:p>
        </w:tc>
      </w:tr>
      <w:tr w:rsidR="00BF6749">
        <w:trPr>
          <w:trHeight w:val="448"/>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w:t>
            </w:r>
          </w:p>
        </w:tc>
        <w:tc>
          <w:tcPr>
            <w:tcW w:w="127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 – Renewable energy sources and energy infrastructure – Investment 2: Modernising the existing renewable electricity sources (repowering)</w:t>
            </w:r>
          </w:p>
          <w:p w:rsidR="00BF6749" w:rsidRDefault="00BF6749">
            <w:pPr>
              <w:spacing w:after="0" w:line="240" w:lineRule="auto"/>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Reconstructed renewable energy source  capacity</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7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100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Q2</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both"/>
              <w:rPr>
                <w:rFonts w:ascii="Times New Roman" w:eastAsia="Times New Roman" w:hAnsi="Times New Roman"/>
                <w:noProof/>
                <w:color w:val="006100"/>
                <w:sz w:val="20"/>
                <w:szCs w:val="20"/>
              </w:rPr>
            </w:pP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At least of 100 MW increase in modernised renewable capacity for electricity generation (repowering), induced by connection to the grid of the modernized renewable electricity sources unde</w:t>
            </w:r>
            <w:r>
              <w:rPr>
                <w:rFonts w:ascii="Times New Roman" w:eastAsia="Times New Roman" w:hAnsi="Times New Roman"/>
                <w:noProof/>
                <w:color w:val="006100"/>
                <w:sz w:val="20"/>
                <w:szCs w:val="20"/>
              </w:rPr>
              <w:t>r the measure.</w:t>
            </w:r>
          </w:p>
          <w:p w:rsidR="00BF6749" w:rsidRDefault="00BF6749">
            <w:pPr>
              <w:spacing w:after="0" w:line="240" w:lineRule="auto"/>
              <w:jc w:val="both"/>
              <w:rPr>
                <w:rFonts w:ascii="Times New Roman" w:eastAsia="Times New Roman" w:hAnsi="Times New Roman"/>
                <w:noProof/>
                <w:color w:val="006100"/>
                <w:sz w:val="20"/>
                <w:szCs w:val="20"/>
              </w:rPr>
            </w:pP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support for the different types of modernized equipment shall be assessed separately, taking into account the principle of cost-effectiveness. The modernization shall concern the transformation of biogas stations and of hydropower plant</w:t>
            </w:r>
            <w:r>
              <w:rPr>
                <w:rFonts w:ascii="Times New Roman" w:eastAsia="Times New Roman" w:hAnsi="Times New Roman"/>
                <w:noProof/>
                <w:color w:val="006100"/>
                <w:sz w:val="20"/>
                <w:szCs w:val="20"/>
              </w:rPr>
              <w:t>s. The support schemes shall respect the conditions on investment policies as specified under the milestone 3 (‘1 – Renewable energy sources and energy infrastructure - Reform 2:  Legal framework for the promotion of renewable energy sources’).</w:t>
            </w:r>
          </w:p>
          <w:p w:rsidR="00BF6749" w:rsidRDefault="00BF6749">
            <w:pPr>
              <w:spacing w:after="0" w:line="240" w:lineRule="auto"/>
              <w:rPr>
                <w:rFonts w:ascii="Times New Roman" w:eastAsia="Times New Roman" w:hAnsi="Times New Roman"/>
                <w:noProof/>
                <w:color w:val="006100"/>
                <w:sz w:val="20"/>
                <w:szCs w:val="20"/>
              </w:rPr>
            </w:pPr>
          </w:p>
        </w:tc>
      </w:tr>
      <w:tr w:rsidR="00BF6749">
        <w:trPr>
          <w:trHeight w:val="882"/>
        </w:trPr>
        <w:tc>
          <w:tcPr>
            <w:tcW w:w="851"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6</w:t>
            </w:r>
          </w:p>
        </w:tc>
        <w:tc>
          <w:tcPr>
            <w:tcW w:w="127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 – Renewable energy sources and energy infrastructure – Investment 3: Increasing flexibility of electricity systems for greater renewables integration </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 xml:space="preserve">Cumulative increase in capacity of installations increasing the flexibility of energy systems </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7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MW</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0</w:t>
            </w:r>
          </w:p>
        </w:tc>
        <w:tc>
          <w:tcPr>
            <w:tcW w:w="85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68</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385724"/>
                <w:sz w:val="20"/>
                <w:szCs w:val="20"/>
              </w:rPr>
            </w:pPr>
            <w:r>
              <w:rPr>
                <w:rFonts w:ascii="Times New Roman" w:eastAsia="Times New Roman" w:hAnsi="Times New Roman"/>
                <w:noProof/>
                <w:color w:val="385724"/>
                <w:sz w:val="20"/>
                <w:szCs w:val="20"/>
              </w:rPr>
              <w:t>Q2</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4835"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both"/>
              <w:rPr>
                <w:rFonts w:ascii="Times New Roman" w:eastAsia="Times New Roman" w:hAnsi="Times New Roman"/>
                <w:noProof/>
                <w:color w:val="006100"/>
                <w:sz w:val="20"/>
                <w:szCs w:val="20"/>
              </w:rPr>
            </w:pP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At least 68 MW increase of new electricity storage facilities, induced by the entry into operation of the new storage capacities under the measure. The scheme shall support the installation of new capacity of battery systems, installation</w:t>
            </w:r>
            <w:r>
              <w:rPr>
                <w:rFonts w:ascii="Times New Roman" w:eastAsia="Times New Roman" w:hAnsi="Times New Roman"/>
                <w:noProof/>
                <w:color w:val="006100"/>
                <w:sz w:val="20"/>
                <w:szCs w:val="20"/>
              </w:rPr>
              <w:t xml:space="preserve"> of new capacity of hydrogen cells and an increase in the balancing capacity of the hydropower plants. The exact breakdown of 68 MW target will depend on demand of relevant subjects. The investments into the balancing capacity of the hydropower plants shal</w:t>
            </w:r>
            <w:r>
              <w:rPr>
                <w:rFonts w:ascii="Times New Roman" w:eastAsia="Times New Roman" w:hAnsi="Times New Roman"/>
                <w:noProof/>
                <w:color w:val="006100"/>
                <w:sz w:val="20"/>
                <w:szCs w:val="20"/>
              </w:rPr>
              <w:t>l not exceed EUR 12 000 000 under the measure.</w:t>
            </w:r>
          </w:p>
          <w:p w:rsidR="00BF6749" w:rsidRDefault="00BF6749">
            <w:pPr>
              <w:spacing w:after="0" w:line="240" w:lineRule="auto"/>
              <w:jc w:val="both"/>
              <w:rPr>
                <w:rFonts w:ascii="Times New Roman" w:hAnsi="Times New Roman"/>
                <w:noProof/>
                <w:sz w:val="20"/>
                <w:szCs w:val="20"/>
              </w:rPr>
            </w:pPr>
          </w:p>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support shall be granted under the technologically specific schemes, taking into account the principle of cost-effectiveness.  The support schemes shall respect the conditions on investment policies as sp</w:t>
            </w:r>
            <w:r>
              <w:rPr>
                <w:rFonts w:ascii="Times New Roman" w:eastAsia="Times New Roman" w:hAnsi="Times New Roman"/>
                <w:noProof/>
                <w:color w:val="006100"/>
                <w:sz w:val="20"/>
                <w:szCs w:val="20"/>
              </w:rPr>
              <w:t>ecified under the milestone 3 (‘1 – Renewable energy sources and energy infrastructure - Reform 2:  Legal framework for the promotion of renewable energy sources’).</w:t>
            </w:r>
          </w:p>
          <w:p w:rsidR="00BF6749" w:rsidRDefault="00BF6749">
            <w:pPr>
              <w:spacing w:after="0" w:line="240" w:lineRule="auto"/>
              <w:jc w:val="both"/>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tc>
      </w:tr>
    </w:tbl>
    <w:p w:rsidR="00BF6749" w:rsidRDefault="00BF6749">
      <w:pPr>
        <w:spacing w:before="120" w:after="120" w:line="240" w:lineRule="auto"/>
        <w:ind w:left="709"/>
        <w:jc w:val="both"/>
        <w:rPr>
          <w:rFonts w:ascii="Times New Roman" w:hAnsi="Times New Roman"/>
          <w:noProof/>
          <w:sz w:val="24"/>
          <w:szCs w:val="24"/>
        </w:rPr>
      </w:pPr>
    </w:p>
    <w:p w:rsidR="00BF6749" w:rsidRDefault="00BF6749">
      <w:pPr>
        <w:spacing w:before="120" w:after="120" w:line="240" w:lineRule="auto"/>
        <w:ind w:left="709"/>
        <w:jc w:val="both"/>
        <w:rPr>
          <w:rFonts w:ascii="Times New Roman" w:hAnsi="Times New Roman"/>
          <w:noProof/>
          <w:sz w:val="24"/>
          <w:lang w:val="en-US"/>
        </w:rPr>
        <w:sectPr w:rsidR="00BF6749">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568" w:right="720" w:bottom="720" w:left="720" w:header="709" w:footer="709" w:gutter="0"/>
          <w:cols w:space="720"/>
          <w:docGrid w:linePitch="360"/>
        </w:sectPr>
      </w:pPr>
    </w:p>
    <w:p w:rsidR="00BF6749" w:rsidRDefault="00C87555">
      <w:pPr>
        <w:keepNext/>
        <w:tabs>
          <w:tab w:val="left" w:pos="850"/>
        </w:tabs>
        <w:spacing w:before="120" w:after="120" w:line="240" w:lineRule="auto"/>
        <w:jc w:val="both"/>
        <w:outlineLvl w:val="0"/>
        <w:rPr>
          <w:rFonts w:ascii="Times New Roman" w:hAnsi="Times New Roman"/>
          <w:b/>
          <w:smallCaps/>
          <w:noProof/>
          <w:sz w:val="24"/>
          <w:szCs w:val="24"/>
        </w:rPr>
      </w:pPr>
      <w:r>
        <w:rPr>
          <w:rFonts w:ascii="Times New Roman" w:hAnsi="Times New Roman"/>
          <w:b/>
          <w:bCs/>
          <w:smallCaps/>
          <w:noProof/>
          <w:sz w:val="24"/>
          <w:szCs w:val="24"/>
        </w:rPr>
        <w:t xml:space="preserve">COMPONENT 2: Renovation of </w:t>
      </w:r>
      <w:r>
        <w:rPr>
          <w:rFonts w:ascii="Times New Roman" w:hAnsi="Times New Roman"/>
          <w:b/>
          <w:bCs/>
          <w:smallCaps/>
          <w:noProof/>
          <w:sz w:val="24"/>
          <w:szCs w:val="24"/>
        </w:rPr>
        <w:t>buildings</w:t>
      </w:r>
    </w:p>
    <w:p w:rsidR="00BF6749" w:rsidRDefault="00C87555">
      <w:pPr>
        <w:spacing w:before="120" w:after="120" w:line="240" w:lineRule="auto"/>
        <w:jc w:val="both"/>
        <w:textAlignment w:val="baseline"/>
        <w:rPr>
          <w:rFonts w:ascii="Times New Roman" w:eastAsia="Times New Roman" w:hAnsi="Times New Roman"/>
          <w:noProof/>
          <w:color w:val="000000"/>
          <w:sz w:val="24"/>
          <w:szCs w:val="24"/>
          <w:lang w:val="en-IE" w:eastAsia="fr-BE"/>
        </w:rPr>
      </w:pPr>
      <w:r>
        <w:rPr>
          <w:rFonts w:ascii="Times New Roman" w:eastAsia="Times New Roman" w:hAnsi="Times New Roman"/>
          <w:noProof/>
          <w:sz w:val="24"/>
          <w:szCs w:val="24"/>
          <w:lang w:eastAsia="fr-BE"/>
        </w:rPr>
        <w:t>According to the Slovak National Energy and Climate Plan and the Long-term renovation Strategy for Buildings, reaching the 2030 and 2050 EU emission reduction objectives requires a significant shift from the implementation of partial to medium (3</w:t>
      </w:r>
      <w:r>
        <w:rPr>
          <w:rFonts w:ascii="Times New Roman" w:eastAsia="Times New Roman" w:hAnsi="Times New Roman"/>
          <w:noProof/>
          <w:sz w:val="24"/>
          <w:szCs w:val="24"/>
          <w:lang w:eastAsia="fr-BE"/>
        </w:rPr>
        <w:t>0-60% primary energy savings) and deep (over 60%) renovation of buildings.</w:t>
      </w:r>
    </w:p>
    <w:p w:rsidR="00BF6749" w:rsidRDefault="00C87555">
      <w:pPr>
        <w:spacing w:before="120" w:after="120" w:line="240" w:lineRule="auto"/>
        <w:jc w:val="both"/>
        <w:textAlignment w:val="baseline"/>
        <w:rPr>
          <w:rFonts w:ascii="Times New Roman" w:eastAsia="Times New Roman" w:hAnsi="Times New Roman"/>
          <w:noProof/>
          <w:color w:val="000000"/>
          <w:sz w:val="24"/>
          <w:szCs w:val="24"/>
          <w:lang w:val="en-IE" w:eastAsia="fr-BE"/>
        </w:rPr>
      </w:pPr>
      <w:r>
        <w:rPr>
          <w:rFonts w:ascii="Times New Roman" w:eastAsia="Times New Roman" w:hAnsi="Times New Roman"/>
          <w:noProof/>
          <w:color w:val="000000"/>
          <w:sz w:val="24"/>
          <w:szCs w:val="24"/>
          <w:lang w:val="en-IE" w:eastAsia="fr-BE"/>
        </w:rPr>
        <w:t>This component of the Slovak recovery and resilience plan aims at reduction of energy consumption by pursuing a comprehensive renovation of family houses, public historic and listed</w:t>
      </w:r>
      <w:r>
        <w:rPr>
          <w:rFonts w:ascii="Times New Roman" w:eastAsia="Times New Roman" w:hAnsi="Times New Roman"/>
          <w:noProof/>
          <w:color w:val="000000"/>
          <w:sz w:val="24"/>
          <w:szCs w:val="24"/>
          <w:lang w:val="en-IE" w:eastAsia="fr-BE"/>
        </w:rPr>
        <w:t xml:space="preserve"> buildings. It combines measures to improve energy performance of buildings by achieving at least 30% of primary energy savings with measures to foster climate adaptation (such as installing green roofs, water retention system). The component contributes t</w:t>
      </w:r>
      <w:r>
        <w:rPr>
          <w:rFonts w:ascii="Times New Roman" w:eastAsia="Times New Roman" w:hAnsi="Times New Roman"/>
          <w:noProof/>
          <w:color w:val="000000"/>
          <w:sz w:val="24"/>
          <w:szCs w:val="24"/>
          <w:lang w:val="en-IE" w:eastAsia="fr-BE"/>
        </w:rPr>
        <w:t>o the climate and environmental objectives, while boosting the recovery and competitiveness of the construction sector by creating more jobs, in particular for SMEs at local level.</w:t>
      </w:r>
    </w:p>
    <w:p w:rsidR="00BF6749" w:rsidRDefault="00C87555">
      <w:pPr>
        <w:spacing w:before="120" w:after="120" w:line="240" w:lineRule="auto"/>
        <w:jc w:val="both"/>
        <w:rPr>
          <w:rFonts w:ascii="Times New Roman" w:eastAsia="Times New Roman" w:hAnsi="Times New Roman"/>
          <w:noProof/>
          <w:color w:val="000000"/>
          <w:sz w:val="24"/>
          <w:szCs w:val="24"/>
          <w:lang w:val="en-IE" w:eastAsia="fr-BE"/>
        </w:rPr>
      </w:pPr>
      <w:r>
        <w:rPr>
          <w:rFonts w:ascii="Times New Roman" w:hAnsi="Times New Roman"/>
          <w:noProof/>
          <w:sz w:val="24"/>
          <w:szCs w:val="24"/>
          <w:lang w:val="en-IE"/>
        </w:rPr>
        <w:t>It is expected that no measure in this component does significant harm to e</w:t>
      </w:r>
      <w:r>
        <w:rPr>
          <w:rFonts w:ascii="Times New Roman" w:hAnsi="Times New Roman"/>
          <w:noProof/>
          <w:sz w:val="24"/>
          <w:szCs w:val="24"/>
          <w:lang w:val="en-IE"/>
        </w:rPr>
        <w:t>nvironmental objectives within the meaning of Article 17 of Regulation (EU) 2020/852, taking into account the description of the measures and the mitigating steps set out in the recovery and resilience plan in accordance with the DNSH Technical Guidance (2</w:t>
      </w:r>
      <w:r>
        <w:rPr>
          <w:rFonts w:ascii="Times New Roman" w:hAnsi="Times New Roman"/>
          <w:noProof/>
          <w:sz w:val="24"/>
          <w:szCs w:val="24"/>
          <w:lang w:val="en-IE"/>
        </w:rPr>
        <w:t xml:space="preserve">021/C58/01).  </w:t>
      </w:r>
    </w:p>
    <w:p w:rsidR="00BF6749" w:rsidRDefault="00C87555">
      <w:pPr>
        <w:spacing w:before="120" w:after="120" w:line="240" w:lineRule="auto"/>
        <w:jc w:val="both"/>
        <w:textAlignment w:val="baseline"/>
        <w:rPr>
          <w:rFonts w:ascii="Times New Roman" w:eastAsia="Times New Roman" w:hAnsi="Times New Roman"/>
          <w:noProof/>
          <w:color w:val="000000"/>
          <w:sz w:val="24"/>
          <w:szCs w:val="24"/>
          <w:lang w:val="en-IE" w:eastAsia="fr-BE"/>
        </w:rPr>
      </w:pPr>
      <w:r>
        <w:rPr>
          <w:rFonts w:ascii="Times New Roman" w:eastAsia="Times New Roman" w:hAnsi="Times New Roman"/>
          <w:noProof/>
          <w:color w:val="000000"/>
          <w:sz w:val="24"/>
          <w:szCs w:val="24"/>
          <w:lang w:val="en-IE" w:eastAsia="fr-BE"/>
        </w:rPr>
        <w:t>The component includes 3 reforms and 2 investments.  </w:t>
      </w: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These investments and reforms shall contribute to addressing the Country Specific Recommendations addressed to Slovakia in the past two years, on the need to “focus investment-related pol</w:t>
      </w:r>
      <w:r>
        <w:rPr>
          <w:rFonts w:ascii="Times New Roman" w:eastAsia="Times New Roman" w:hAnsi="Times New Roman"/>
          <w:noProof/>
          <w:color w:val="000000"/>
          <w:sz w:val="24"/>
          <w:szCs w:val="24"/>
          <w:lang w:val="en-IE" w:eastAsia="fr-BE"/>
        </w:rPr>
        <w:t>icy on energy efficiency” (Country Specific Recommendation 3/2019) and to “focus investment on the green transition” (Country Specific Recommendation 3/2020).  </w:t>
      </w:r>
    </w:p>
    <w:p w:rsidR="00BF6749" w:rsidRDefault="00BF6749">
      <w:pPr>
        <w:spacing w:before="120" w:after="120" w:line="240" w:lineRule="auto"/>
        <w:jc w:val="both"/>
        <w:textAlignment w:val="baseline"/>
        <w:rPr>
          <w:rFonts w:ascii="Times New Roman" w:eastAsia="Times New Roman" w:hAnsi="Times New Roman"/>
          <w:b/>
          <w:bCs/>
          <w:noProof/>
          <w:sz w:val="24"/>
          <w:szCs w:val="24"/>
          <w:u w:val="single"/>
          <w:lang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b/>
          <w:bCs/>
          <w:noProof/>
          <w:sz w:val="24"/>
          <w:szCs w:val="24"/>
          <w:u w:val="single"/>
          <w:lang w:eastAsia="fr-BE"/>
        </w:rPr>
        <w:t>A.1. </w:t>
      </w:r>
      <w:r>
        <w:rPr>
          <w:rFonts w:eastAsia="Times New Roman" w:cs="Calibri"/>
          <w:noProof/>
          <w:sz w:val="24"/>
          <w:szCs w:val="24"/>
          <w:lang w:val="en-IE" w:eastAsia="fr-BE"/>
        </w:rPr>
        <w:t xml:space="preserve"> </w:t>
      </w:r>
      <w:r>
        <w:rPr>
          <w:rFonts w:ascii="Times New Roman" w:eastAsia="Times New Roman" w:hAnsi="Times New Roman"/>
          <w:b/>
          <w:bCs/>
          <w:noProof/>
          <w:sz w:val="24"/>
          <w:szCs w:val="24"/>
          <w:u w:val="single"/>
          <w:lang w:eastAsia="fr-BE"/>
        </w:rPr>
        <w:t>Description of the reforms and investments for non-repayable financial support</w:t>
      </w:r>
      <w:r>
        <w:rPr>
          <w:rFonts w:ascii="Times New Roman" w:eastAsia="Times New Roman" w:hAnsi="Times New Roman"/>
          <w:noProof/>
          <w:sz w:val="24"/>
          <w:szCs w:val="24"/>
          <w:lang w:val="en-IE" w:eastAsia="fr-BE"/>
        </w:rPr>
        <w:t> </w:t>
      </w:r>
    </w:p>
    <w:p w:rsidR="00BF6749" w:rsidRDefault="00BF6749">
      <w:pPr>
        <w:spacing w:before="120" w:after="120" w:line="240" w:lineRule="auto"/>
        <w:jc w:val="both"/>
        <w:textAlignment w:val="baseline"/>
        <w:rPr>
          <w:rFonts w:ascii="Times New Roman" w:eastAsia="Times New Roman" w:hAnsi="Times New Roman"/>
          <w:i/>
          <w:iCs/>
          <w:noProof/>
          <w:color w:val="4F81BD"/>
          <w:sz w:val="24"/>
          <w:szCs w:val="24"/>
          <w:lang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i/>
          <w:noProof/>
          <w:color w:val="4F81BD"/>
          <w:sz w:val="24"/>
          <w:szCs w:val="24"/>
          <w:lang w:eastAsia="fr-BE"/>
        </w:rPr>
        <w:t>.</w:t>
      </w:r>
      <w:r>
        <w:rPr>
          <w:rFonts w:ascii="Times New Roman" w:eastAsia="Times New Roman" w:hAnsi="Times New Roman"/>
          <w:b/>
          <w:noProof/>
          <w:color w:val="000000"/>
          <w:sz w:val="24"/>
          <w:szCs w:val="24"/>
          <w:lang w:val="en-IE" w:eastAsia="fr-BE"/>
        </w:rPr>
        <w:t>Reform</w:t>
      </w:r>
      <w:r>
        <w:rPr>
          <w:rFonts w:ascii="Times New Roman" w:eastAsia="Times New Roman" w:hAnsi="Times New Roman"/>
          <w:b/>
          <w:noProof/>
          <w:color w:val="000000"/>
          <w:sz w:val="24"/>
          <w:szCs w:val="24"/>
          <w:lang w:val="en-IE" w:eastAsia="fr-BE"/>
        </w:rPr>
        <w:t xml:space="preserve"> 1: The harmonisation of support mechanisms for the renovation of family houses. </w:t>
      </w:r>
      <w:r>
        <w:rPr>
          <w:rFonts w:ascii="Times New Roman" w:eastAsia="Times New Roman" w:hAnsi="Times New Roman"/>
          <w:noProof/>
          <w:color w:val="000000"/>
          <w:sz w:val="24"/>
          <w:szCs w:val="24"/>
          <w:lang w:val="en-IE" w:eastAsia="fr-BE"/>
        </w:rPr>
        <w:t> </w:t>
      </w:r>
    </w:p>
    <w:p w:rsidR="00BF6749" w:rsidRDefault="00BF6749">
      <w:pPr>
        <w:spacing w:before="120" w:after="120" w:line="240" w:lineRule="auto"/>
        <w:jc w:val="both"/>
        <w:textAlignment w:val="baseline"/>
        <w:rPr>
          <w:rFonts w:ascii="Times New Roman" w:eastAsia="Times New Roman" w:hAnsi="Times New Roman"/>
          <w:noProof/>
          <w:color w:val="000000"/>
          <w:sz w:val="24"/>
          <w:szCs w:val="24"/>
          <w:lang w:val="en-IE" w:eastAsia="fr-BE"/>
        </w:rPr>
      </w:pPr>
    </w:p>
    <w:p w:rsidR="00BF6749" w:rsidRDefault="00C87555">
      <w:pPr>
        <w:spacing w:before="120" w:after="120" w:line="240" w:lineRule="auto"/>
        <w:jc w:val="both"/>
        <w:textAlignment w:val="baseline"/>
        <w:rPr>
          <w:rFonts w:ascii="Times New Roman" w:eastAsia="Times New Roman" w:hAnsi="Times New Roman"/>
          <w:noProof/>
          <w:color w:val="000000"/>
          <w:sz w:val="24"/>
          <w:szCs w:val="24"/>
          <w:lang w:val="en-IE" w:eastAsia="fr-BE"/>
        </w:rPr>
      </w:pPr>
      <w:r>
        <w:rPr>
          <w:rFonts w:ascii="Times New Roman" w:eastAsia="Times New Roman" w:hAnsi="Times New Roman"/>
          <w:noProof/>
          <w:color w:val="000000"/>
          <w:sz w:val="24"/>
          <w:szCs w:val="24"/>
          <w:lang w:val="en-IE" w:eastAsia="fr-BE"/>
        </w:rPr>
        <w:t>The objective of the reform is to map, align and bring together different support schemes, to uniform and streamline the renovation process, and to provide incentives to ow</w:t>
      </w:r>
      <w:r>
        <w:rPr>
          <w:rFonts w:ascii="Times New Roman" w:eastAsia="Times New Roman" w:hAnsi="Times New Roman"/>
          <w:noProof/>
          <w:color w:val="000000"/>
          <w:sz w:val="24"/>
          <w:szCs w:val="24"/>
          <w:lang w:val="en-IE" w:eastAsia="fr-BE"/>
        </w:rPr>
        <w:t>ners for implementing a wider range of renovation measures. Design of the support schemes, criteria and conditions as well as implementation steps shall be outlined in the implementation plan to be published by Slovak Environmental Agency by 30 September 2</w:t>
      </w:r>
      <w:r>
        <w:rPr>
          <w:rFonts w:ascii="Times New Roman" w:eastAsia="Times New Roman" w:hAnsi="Times New Roman"/>
          <w:noProof/>
          <w:color w:val="000000"/>
          <w:sz w:val="24"/>
          <w:szCs w:val="24"/>
          <w:lang w:val="en-IE" w:eastAsia="fr-BE"/>
        </w:rPr>
        <w:t>022. To ensure effective and timely implementation, capacities of the Slovak Environmental Agency shall be strengthened. In the implementation phase, house owners shall be reached out to through a communication campaign and to-be-established regional offic</w:t>
      </w:r>
      <w:r>
        <w:rPr>
          <w:rFonts w:ascii="Times New Roman" w:eastAsia="Times New Roman" w:hAnsi="Times New Roman"/>
          <w:noProof/>
          <w:color w:val="000000"/>
          <w:sz w:val="24"/>
          <w:szCs w:val="24"/>
          <w:lang w:val="en-IE" w:eastAsia="fr-BE"/>
        </w:rPr>
        <w:t>es as well as by providing a technical assistance and consultation.  </w:t>
      </w:r>
    </w:p>
    <w:p w:rsidR="00BF6749" w:rsidRDefault="00BF6749">
      <w:pPr>
        <w:spacing w:before="120" w:after="120" w:line="240" w:lineRule="auto"/>
        <w:jc w:val="both"/>
        <w:textAlignment w:val="baseline"/>
        <w:rPr>
          <w:rFonts w:ascii="Segoe UI" w:eastAsia="Times New Roman" w:hAnsi="Segoe UI" w:cs="Segoe UI"/>
          <w:noProof/>
          <w:sz w:val="18"/>
          <w:szCs w:val="18"/>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The implementation of the reform shall be completed by 30 September 2022. </w:t>
      </w:r>
    </w:p>
    <w:p w:rsidR="00BF6749" w:rsidRDefault="00BF6749">
      <w:pPr>
        <w:spacing w:before="120" w:after="120" w:line="240" w:lineRule="auto"/>
        <w:jc w:val="both"/>
        <w:textAlignment w:val="baseline"/>
        <w:rPr>
          <w:rFonts w:ascii="Times New Roman" w:eastAsia="Times New Roman" w:hAnsi="Times New Roman"/>
          <w:b/>
          <w:bCs/>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b/>
          <w:bCs/>
          <w:noProof/>
          <w:color w:val="000000"/>
          <w:sz w:val="24"/>
          <w:szCs w:val="24"/>
          <w:lang w:val="en-IE" w:eastAsia="fr-BE"/>
        </w:rPr>
        <w:t>Investment 1: Improving energy efficiency of family houses. </w:t>
      </w:r>
      <w:r>
        <w:rPr>
          <w:rFonts w:ascii="Times New Roman" w:eastAsia="Times New Roman" w:hAnsi="Times New Roman"/>
          <w:noProof/>
          <w:color w:val="000000"/>
          <w:sz w:val="24"/>
          <w:szCs w:val="24"/>
          <w:lang w:val="en-IE" w:eastAsia="fr-BE"/>
        </w:rPr>
        <w:t> </w:t>
      </w:r>
    </w:p>
    <w:p w:rsidR="00BF6749" w:rsidRDefault="00BF6749">
      <w:pPr>
        <w:spacing w:before="120" w:after="120" w:line="240" w:lineRule="auto"/>
        <w:jc w:val="both"/>
        <w:textAlignment w:val="baseline"/>
        <w:rPr>
          <w:rFonts w:ascii="Times New Roman" w:eastAsia="Times New Roman" w:hAnsi="Times New Roman"/>
          <w:noProof/>
          <w:color w:val="000000"/>
          <w:sz w:val="24"/>
          <w:szCs w:val="24"/>
          <w:lang w:val="en-IE" w:eastAsia="fr-BE"/>
        </w:rPr>
      </w:pPr>
    </w:p>
    <w:p w:rsidR="00BF6749" w:rsidRDefault="00C87555">
      <w:pPr>
        <w:spacing w:before="120" w:after="120" w:line="240" w:lineRule="auto"/>
        <w:jc w:val="both"/>
        <w:textAlignment w:val="baseline"/>
        <w:rPr>
          <w:rFonts w:ascii="Times New Roman" w:eastAsia="Times New Roman" w:hAnsi="Times New Roman"/>
          <w:noProof/>
          <w:color w:val="000000"/>
          <w:sz w:val="24"/>
          <w:szCs w:val="24"/>
          <w:lang w:val="en-IE" w:eastAsia="fr-BE"/>
        </w:rPr>
      </w:pPr>
      <w:r>
        <w:rPr>
          <w:rFonts w:ascii="Times New Roman" w:eastAsia="Times New Roman" w:hAnsi="Times New Roman"/>
          <w:noProof/>
          <w:color w:val="000000"/>
          <w:sz w:val="24"/>
          <w:szCs w:val="24"/>
          <w:lang w:val="en-IE" w:eastAsia="fr-BE"/>
        </w:rPr>
        <w:t>The objective of the investment is to complete</w:t>
      </w:r>
      <w:r>
        <w:rPr>
          <w:rFonts w:ascii="Times New Roman" w:eastAsia="Times New Roman" w:hAnsi="Times New Roman"/>
          <w:noProof/>
          <w:color w:val="000000"/>
          <w:sz w:val="24"/>
          <w:szCs w:val="24"/>
          <w:lang w:val="en-IE" w:eastAsia="fr-BE"/>
        </w:rPr>
        <w:t xml:space="preserve"> the renovation of at least 30 000 single family houses, while achieving on average at least 30% primary energy savings. The investment is targeted to the owners of older family houses. In addition to traditional energy savings measures such as thermal ins</w:t>
      </w:r>
      <w:r>
        <w:rPr>
          <w:rFonts w:ascii="Times New Roman" w:eastAsia="Times New Roman" w:hAnsi="Times New Roman"/>
          <w:noProof/>
          <w:color w:val="000000"/>
          <w:sz w:val="24"/>
          <w:szCs w:val="24"/>
          <w:lang w:val="en-IE" w:eastAsia="fr-BE"/>
        </w:rPr>
        <w:t>ulation, window replacement, the mechanism shall enable replacing inefficient heat and hot water sources with high efficiency installations or installing new renewable energy devices. Where possible, measures to increase climate resilience of buildings (su</w:t>
      </w:r>
      <w:r>
        <w:rPr>
          <w:rFonts w:ascii="Times New Roman" w:eastAsia="Times New Roman" w:hAnsi="Times New Roman"/>
          <w:noProof/>
          <w:color w:val="000000"/>
          <w:sz w:val="24"/>
          <w:szCs w:val="24"/>
          <w:lang w:val="en-IE" w:eastAsia="fr-BE"/>
        </w:rPr>
        <w:t xml:space="preserve">ch as vegetation roofs, rainwater capture) shall apply. To mobilise the comprehensive and green renovation, support schemes shall include a combination of mandatory and optional part. A financial contribution of owners is expected. Energy savings shall be </w:t>
      </w:r>
      <w:r>
        <w:rPr>
          <w:rFonts w:ascii="Times New Roman" w:eastAsia="Times New Roman" w:hAnsi="Times New Roman"/>
          <w:noProof/>
          <w:color w:val="000000"/>
          <w:sz w:val="24"/>
          <w:szCs w:val="24"/>
          <w:lang w:val="en-IE" w:eastAsia="fr-BE"/>
        </w:rPr>
        <w:t>verified primarily through energy performance certificates or other corresponding documents.  </w:t>
      </w: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Investment measures linked to renovation of buildings shall comply with DNSH requirements, including, the prevention and recycling of construction and demolition</w:t>
      </w:r>
      <w:r>
        <w:rPr>
          <w:rFonts w:ascii="Times New Roman" w:eastAsia="Times New Roman" w:hAnsi="Times New Roman"/>
          <w:noProof/>
          <w:color w:val="000000"/>
          <w:sz w:val="24"/>
          <w:szCs w:val="24"/>
          <w:lang w:val="en-IE" w:eastAsia="fr-BE"/>
        </w:rPr>
        <w:t xml:space="preserve"> waste and the boiler replacement scheme, which shall be a small part of the overall renovation programme.</w:t>
      </w: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The implementation of the investment is expected to start at the latest by 30 September 2022 and shall be completed by 30 June 2026. </w:t>
      </w:r>
    </w:p>
    <w:p w:rsidR="00BF6749" w:rsidRDefault="00BF6749">
      <w:pPr>
        <w:spacing w:before="120" w:after="120" w:line="240" w:lineRule="auto"/>
        <w:jc w:val="both"/>
        <w:textAlignment w:val="baseline"/>
        <w:rPr>
          <w:rFonts w:ascii="Times New Roman" w:eastAsia="Times New Roman" w:hAnsi="Times New Roman"/>
          <w:b/>
          <w:bCs/>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b/>
          <w:bCs/>
          <w:noProof/>
          <w:color w:val="000000"/>
          <w:sz w:val="24"/>
          <w:szCs w:val="24"/>
          <w:lang w:val="en-IE" w:eastAsia="fr-BE"/>
        </w:rPr>
        <w:t>Reform 2: Incr</w:t>
      </w:r>
      <w:r>
        <w:rPr>
          <w:rFonts w:ascii="Times New Roman" w:eastAsia="Times New Roman" w:hAnsi="Times New Roman"/>
          <w:b/>
          <w:bCs/>
          <w:noProof/>
          <w:color w:val="000000"/>
          <w:sz w:val="24"/>
          <w:szCs w:val="24"/>
          <w:lang w:val="en-IE" w:eastAsia="fr-BE"/>
        </w:rPr>
        <w:t>easing transparency and streamlining decisions of the Monuments Board of the Slovak Republic.</w:t>
      </w:r>
      <w:r>
        <w:rPr>
          <w:rFonts w:ascii="Times New Roman" w:eastAsia="Times New Roman" w:hAnsi="Times New Roman"/>
          <w:noProof/>
          <w:color w:val="000000"/>
          <w:sz w:val="24"/>
          <w:szCs w:val="24"/>
          <w:lang w:val="en-IE" w:eastAsia="fr-BE"/>
        </w:rPr>
        <w:t> </w:t>
      </w:r>
    </w:p>
    <w:p w:rsidR="00BF6749" w:rsidRDefault="00BF6749">
      <w:pPr>
        <w:spacing w:before="120" w:after="120" w:line="240" w:lineRule="auto"/>
        <w:jc w:val="both"/>
        <w:textAlignment w:val="baseline"/>
        <w:rPr>
          <w:rFonts w:ascii="Times New Roman" w:eastAsia="Times New Roman" w:hAnsi="Times New Roman"/>
          <w:noProof/>
          <w:color w:val="000000"/>
          <w:sz w:val="24"/>
          <w:szCs w:val="24"/>
          <w:lang w:val="en-IE" w:eastAsia="fr-BE"/>
        </w:rPr>
      </w:pPr>
    </w:p>
    <w:p w:rsidR="00BF6749" w:rsidRDefault="00C87555">
      <w:pPr>
        <w:spacing w:before="120" w:after="120" w:line="240" w:lineRule="auto"/>
        <w:jc w:val="both"/>
        <w:textAlignment w:val="baseline"/>
        <w:rPr>
          <w:rFonts w:ascii="Times New Roman" w:eastAsia="Times New Roman" w:hAnsi="Times New Roman"/>
          <w:noProof/>
          <w:color w:val="000000"/>
          <w:sz w:val="24"/>
          <w:szCs w:val="24"/>
          <w:lang w:val="en-IE" w:eastAsia="fr-BE"/>
        </w:rPr>
      </w:pPr>
      <w:r>
        <w:rPr>
          <w:rFonts w:ascii="Times New Roman" w:eastAsia="Times New Roman" w:hAnsi="Times New Roman"/>
          <w:noProof/>
          <w:color w:val="000000"/>
          <w:sz w:val="24"/>
          <w:szCs w:val="24"/>
          <w:lang w:val="en-IE" w:eastAsia="fr-BE"/>
        </w:rPr>
        <w:t>The reform aims at improving quality and efficiency of the decision-making process of the Monuments Board of the Slovak Republic by developing three methodologi</w:t>
      </w:r>
      <w:r>
        <w:rPr>
          <w:rFonts w:ascii="Times New Roman" w:eastAsia="Times New Roman" w:hAnsi="Times New Roman"/>
          <w:noProof/>
          <w:color w:val="000000"/>
          <w:sz w:val="24"/>
          <w:szCs w:val="24"/>
          <w:lang w:val="en-IE" w:eastAsia="fr-BE"/>
        </w:rPr>
        <w:t>es to:</w:t>
      </w:r>
    </w:p>
    <w:p w:rsidR="00BF6749" w:rsidRDefault="00C87555">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classify the monuments endowment,</w:t>
      </w:r>
    </w:p>
    <w:p w:rsidR="00BF6749" w:rsidRDefault="00C87555">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set objective criteria by which Monuments Board makes decisions and</w:t>
      </w:r>
    </w:p>
    <w:p w:rsidR="00BF6749" w:rsidRDefault="00C87555">
      <w:pPr>
        <w:numPr>
          <w:ilvl w:val="0"/>
          <w:numId w:val="45"/>
        </w:numPr>
        <w:spacing w:before="120" w:after="120" w:line="240" w:lineRule="auto"/>
        <w:ind w:left="0"/>
        <w:contextualSpacing/>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quantify the costs associated with the interventions of the Monuments Board</w:t>
      </w: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In addition, the objective is to reform the mapping of state-owned monu</w:t>
      </w:r>
      <w:r>
        <w:rPr>
          <w:rFonts w:ascii="Times New Roman" w:eastAsia="Times New Roman" w:hAnsi="Times New Roman"/>
          <w:noProof/>
          <w:color w:val="000000"/>
          <w:sz w:val="24"/>
          <w:szCs w:val="24"/>
          <w:lang w:val="en-IE" w:eastAsia="fr-BE"/>
        </w:rPr>
        <w:t>ments by assessing their technical, construction and energy-related aspects. The mapping shall result in issuing at least 1000 construction passports of relevant state-owned monument buildings. The reform shall facilitate investment decisions on renovation</w:t>
      </w:r>
      <w:r>
        <w:rPr>
          <w:rFonts w:ascii="Times New Roman" w:eastAsia="Times New Roman" w:hAnsi="Times New Roman"/>
          <w:noProof/>
          <w:color w:val="000000"/>
          <w:sz w:val="24"/>
          <w:szCs w:val="24"/>
          <w:lang w:val="en-IE" w:eastAsia="fr-BE"/>
        </w:rPr>
        <w:t xml:space="preserve"> with a view to preserving the monumental value as well as improving energy efficiency, where applicable.  </w:t>
      </w:r>
    </w:p>
    <w:p w:rsidR="00BF6749" w:rsidRDefault="00BF6749">
      <w:pPr>
        <w:spacing w:before="120" w:after="120" w:line="240" w:lineRule="auto"/>
        <w:jc w:val="both"/>
        <w:textAlignment w:val="baseline"/>
        <w:rPr>
          <w:rFonts w:ascii="Times New Roman" w:eastAsia="Times New Roman" w:hAnsi="Times New Roman"/>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The implementation of the reform shall be completed by 31 December 2023. </w:t>
      </w:r>
    </w:p>
    <w:p w:rsidR="00BF6749" w:rsidRDefault="00BF6749">
      <w:pPr>
        <w:spacing w:before="120" w:after="120" w:line="240" w:lineRule="auto"/>
        <w:jc w:val="both"/>
        <w:textAlignment w:val="baseline"/>
        <w:rPr>
          <w:rFonts w:ascii="Times New Roman" w:eastAsia="Times New Roman" w:hAnsi="Times New Roman"/>
          <w:b/>
          <w:bCs/>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b/>
          <w:bCs/>
          <w:noProof/>
          <w:color w:val="000000"/>
          <w:sz w:val="24"/>
          <w:szCs w:val="24"/>
          <w:lang w:val="en-IE" w:eastAsia="fr-BE"/>
        </w:rPr>
        <w:t>Investment 2: Renovation of historical and listed public buildings</w:t>
      </w:r>
      <w:r>
        <w:rPr>
          <w:rFonts w:ascii="Times New Roman" w:eastAsia="Times New Roman" w:hAnsi="Times New Roman"/>
          <w:noProof/>
          <w:color w:val="000000"/>
          <w:sz w:val="24"/>
          <w:szCs w:val="24"/>
          <w:lang w:val="en-IE" w:eastAsia="fr-BE"/>
        </w:rPr>
        <w:t>.</w:t>
      </w:r>
      <w:r>
        <w:rPr>
          <w:rFonts w:ascii="Times New Roman" w:eastAsia="Times New Roman" w:hAnsi="Times New Roman"/>
          <w:b/>
          <w:bCs/>
          <w:noProof/>
          <w:color w:val="000000"/>
          <w:sz w:val="24"/>
          <w:szCs w:val="24"/>
          <w:lang w:val="en-IE" w:eastAsia="fr-BE"/>
        </w:rPr>
        <w:t> </w:t>
      </w:r>
      <w:r>
        <w:rPr>
          <w:rFonts w:ascii="Times New Roman" w:eastAsia="Times New Roman" w:hAnsi="Times New Roman"/>
          <w:noProof/>
          <w:color w:val="000000"/>
          <w:sz w:val="24"/>
          <w:szCs w:val="24"/>
          <w:lang w:val="en-IE" w:eastAsia="fr-BE"/>
        </w:rPr>
        <w:t> </w:t>
      </w:r>
    </w:p>
    <w:p w:rsidR="00BF6749" w:rsidRDefault="00BF6749">
      <w:pPr>
        <w:spacing w:before="120" w:after="120" w:line="240" w:lineRule="auto"/>
        <w:jc w:val="both"/>
        <w:textAlignment w:val="baseline"/>
        <w:rPr>
          <w:rFonts w:ascii="Times New Roman" w:eastAsia="Times New Roman" w:hAnsi="Times New Roman"/>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H</w:t>
      </w:r>
      <w:r>
        <w:rPr>
          <w:rFonts w:ascii="Times New Roman" w:eastAsia="Times New Roman" w:hAnsi="Times New Roman"/>
          <w:noProof/>
          <w:color w:val="000000"/>
          <w:sz w:val="24"/>
          <w:szCs w:val="24"/>
          <w:lang w:val="en-IE" w:eastAsia="fr-BE"/>
        </w:rPr>
        <w:t>istorical and listed public buildings are among the worst energy performing buildings and require a tailored-made approach to preserve and protect their cultural value and heritage. The objective of the investment is to improve the energy performance and s</w:t>
      </w:r>
      <w:r>
        <w:rPr>
          <w:rFonts w:ascii="Times New Roman" w:eastAsia="Times New Roman" w:hAnsi="Times New Roman"/>
          <w:noProof/>
          <w:color w:val="000000"/>
          <w:sz w:val="24"/>
          <w:szCs w:val="24"/>
          <w:lang w:val="en-IE" w:eastAsia="fr-BE"/>
        </w:rPr>
        <w:t>tructural conditions of the historical and listed public buildings while protecting its historical and cultural values and improving accessibility of the buildings. Of the overall objective is to renovate 130 000 m2, at least 117 000 m2 floor areas of hist</w:t>
      </w:r>
      <w:r>
        <w:rPr>
          <w:rFonts w:ascii="Times New Roman" w:eastAsia="Times New Roman" w:hAnsi="Times New Roman"/>
          <w:noProof/>
          <w:color w:val="000000"/>
          <w:sz w:val="24"/>
          <w:szCs w:val="24"/>
          <w:lang w:val="en-IE" w:eastAsia="fr-BE"/>
        </w:rPr>
        <w:t>orical and listed public buildings are renovated, while achieving on average at least 30% of primary energy savings. The investment is expected to result in renovation of around 100 buildings and shall be accompanied by an information campaign. Energy savi</w:t>
      </w:r>
      <w:r>
        <w:rPr>
          <w:rFonts w:ascii="Times New Roman" w:eastAsia="Times New Roman" w:hAnsi="Times New Roman"/>
          <w:noProof/>
          <w:color w:val="000000"/>
          <w:sz w:val="24"/>
          <w:szCs w:val="24"/>
          <w:lang w:val="en-IE" w:eastAsia="fr-BE"/>
        </w:rPr>
        <w:t>ngs shall be monitored and verified through energy performance certificates.  </w:t>
      </w:r>
    </w:p>
    <w:p w:rsidR="00BF6749" w:rsidRDefault="00C87555">
      <w:pPr>
        <w:spacing w:before="120" w:after="120" w:line="240" w:lineRule="auto"/>
        <w:jc w:val="both"/>
        <w:textAlignment w:val="baseline"/>
        <w:rPr>
          <w:rFonts w:ascii="Times New Roman" w:eastAsia="Times New Roman" w:hAnsi="Times New Roman"/>
          <w:noProof/>
          <w:color w:val="000000"/>
          <w:sz w:val="24"/>
          <w:szCs w:val="24"/>
          <w:lang w:val="en-IE" w:eastAsia="fr-BE"/>
        </w:rPr>
      </w:pPr>
      <w:r>
        <w:rPr>
          <w:rFonts w:ascii="Times New Roman" w:eastAsia="Times New Roman" w:hAnsi="Times New Roman"/>
          <w:noProof/>
          <w:color w:val="000000"/>
          <w:sz w:val="24"/>
          <w:szCs w:val="24"/>
          <w:lang w:val="en-IE" w:eastAsia="fr-BE"/>
        </w:rPr>
        <w:t>Investment measures linked to renovation of buildings shall comply with DNSH requirements, including the prevention and recycling of construction and demolition waste and the bo</w:t>
      </w:r>
      <w:r>
        <w:rPr>
          <w:rFonts w:ascii="Times New Roman" w:eastAsia="Times New Roman" w:hAnsi="Times New Roman"/>
          <w:noProof/>
          <w:color w:val="000000"/>
          <w:sz w:val="24"/>
          <w:szCs w:val="24"/>
          <w:lang w:val="en-IE" w:eastAsia="fr-BE"/>
        </w:rPr>
        <w:t>iler replacement scheme, which shall be a small part of the overall renovation programme.</w:t>
      </w: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The implementation of the investment shall be completed by 30 June 2026. </w:t>
      </w:r>
    </w:p>
    <w:p w:rsidR="00BF6749" w:rsidRDefault="00BF6749">
      <w:pPr>
        <w:spacing w:before="120" w:after="120" w:line="240" w:lineRule="auto"/>
        <w:jc w:val="both"/>
        <w:textAlignment w:val="baseline"/>
        <w:rPr>
          <w:rFonts w:ascii="Times New Roman" w:eastAsia="Times New Roman" w:hAnsi="Times New Roman"/>
          <w:b/>
          <w:bCs/>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b/>
          <w:bCs/>
          <w:noProof/>
          <w:color w:val="000000"/>
          <w:sz w:val="24"/>
          <w:szCs w:val="24"/>
          <w:lang w:val="en-IE" w:eastAsia="fr-BE"/>
        </w:rPr>
        <w:t>Reform 3: The management of construction and demolition waste. </w:t>
      </w:r>
      <w:r>
        <w:rPr>
          <w:rFonts w:ascii="Times New Roman" w:eastAsia="Times New Roman" w:hAnsi="Times New Roman"/>
          <w:noProof/>
          <w:color w:val="000000"/>
          <w:sz w:val="24"/>
          <w:szCs w:val="24"/>
          <w:lang w:val="en-IE" w:eastAsia="fr-BE"/>
        </w:rPr>
        <w:t> </w:t>
      </w:r>
    </w:p>
    <w:p w:rsidR="00BF6749" w:rsidRDefault="00BF6749">
      <w:pPr>
        <w:spacing w:before="120" w:after="120" w:line="240" w:lineRule="auto"/>
        <w:jc w:val="both"/>
        <w:textAlignment w:val="baseline"/>
        <w:rPr>
          <w:rFonts w:ascii="Times New Roman" w:eastAsia="Times New Roman" w:hAnsi="Times New Roman"/>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 xml:space="preserve">The reform addresses the </w:t>
      </w:r>
      <w:r>
        <w:rPr>
          <w:rFonts w:ascii="Times New Roman" w:eastAsia="Times New Roman" w:hAnsi="Times New Roman"/>
          <w:noProof/>
          <w:color w:val="000000"/>
          <w:sz w:val="24"/>
          <w:szCs w:val="24"/>
          <w:lang w:val="en-IE" w:eastAsia="fr-BE"/>
        </w:rPr>
        <w:t>very low recycling rate of Slovakia and is centred on the revision of waste management legislation to increase the potential of the circular economy in the construction and demolition waste. The Ministry of Environment of the Slovak Republic shall table th</w:t>
      </w:r>
      <w:r>
        <w:rPr>
          <w:rFonts w:ascii="Times New Roman" w:eastAsia="Times New Roman" w:hAnsi="Times New Roman"/>
          <w:noProof/>
          <w:color w:val="000000"/>
          <w:sz w:val="24"/>
          <w:szCs w:val="24"/>
          <w:lang w:val="en-IE" w:eastAsia="fr-BE"/>
        </w:rPr>
        <w:t>e waste legislation amendment, which shall require that at least 70% of non-hazardous construction and demolition waste generated on construction is prepared for re-use or sent for recycling. In addition, the reform shall introduce a mandatory selective de</w:t>
      </w:r>
      <w:r>
        <w:rPr>
          <w:rFonts w:ascii="Times New Roman" w:eastAsia="Times New Roman" w:hAnsi="Times New Roman"/>
          <w:noProof/>
          <w:color w:val="000000"/>
          <w:sz w:val="24"/>
          <w:szCs w:val="24"/>
          <w:lang w:val="en-IE" w:eastAsia="fr-BE"/>
        </w:rPr>
        <w:t>molition, quality standards for recycling from construction and demolition waste, mandatory green public procurement for the contracting of construction works, simplify the rules and improve data collection systems for construction waste. Once in force, th</w:t>
      </w:r>
      <w:r>
        <w:rPr>
          <w:rFonts w:ascii="Times New Roman" w:eastAsia="Times New Roman" w:hAnsi="Times New Roman"/>
          <w:noProof/>
          <w:color w:val="000000"/>
          <w:sz w:val="24"/>
          <w:szCs w:val="24"/>
          <w:lang w:val="en-IE" w:eastAsia="fr-BE"/>
        </w:rPr>
        <w:t>e legislation shall ensure “do-no-significant harm” compliance with the requirement of the 70% recycling and reusing of non- hazardous demolition and construction waste to apply to renovation and construction of buildings financed under the Recovery and Re</w:t>
      </w:r>
      <w:r>
        <w:rPr>
          <w:rFonts w:ascii="Times New Roman" w:eastAsia="Times New Roman" w:hAnsi="Times New Roman"/>
          <w:noProof/>
          <w:color w:val="000000"/>
          <w:sz w:val="24"/>
          <w:szCs w:val="24"/>
          <w:lang w:val="en-IE" w:eastAsia="fr-BE"/>
        </w:rPr>
        <w:t>silience Facility. .  </w:t>
      </w:r>
    </w:p>
    <w:p w:rsidR="00BF6749" w:rsidRDefault="00BF6749">
      <w:pPr>
        <w:spacing w:before="120" w:after="120" w:line="240" w:lineRule="auto"/>
        <w:jc w:val="both"/>
        <w:textAlignment w:val="baseline"/>
        <w:rPr>
          <w:rFonts w:ascii="Times New Roman" w:eastAsia="Times New Roman" w:hAnsi="Times New Roman"/>
          <w:noProof/>
          <w:color w:val="000000"/>
          <w:sz w:val="24"/>
          <w:szCs w:val="24"/>
          <w:lang w:val="en-IE" w:eastAsia="fr-BE"/>
        </w:rPr>
      </w:pPr>
    </w:p>
    <w:p w:rsidR="00BF6749" w:rsidRDefault="00C87555">
      <w:pPr>
        <w:spacing w:before="120" w:after="12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The implementation of the reform shall be completed by 30 June 2022.   </w:t>
      </w:r>
    </w:p>
    <w:p w:rsidR="00BF6749" w:rsidRDefault="00BF6749">
      <w:pPr>
        <w:spacing w:before="120" w:after="120" w:line="240" w:lineRule="auto"/>
        <w:jc w:val="both"/>
        <w:rPr>
          <w:rFonts w:ascii="Times New Roman" w:eastAsia="Times New Roman" w:hAnsi="Times New Roman"/>
          <w:noProof/>
          <w:sz w:val="24"/>
          <w:szCs w:val="24"/>
          <w:lang w:val="en-IE"/>
        </w:rPr>
      </w:pPr>
    </w:p>
    <w:p w:rsidR="00BF6749" w:rsidRDefault="00C87555">
      <w:pPr>
        <w:spacing w:before="120" w:after="120" w:line="240" w:lineRule="auto"/>
        <w:rPr>
          <w:rFonts w:ascii="Times New Roman" w:hAnsi="Times New Roman"/>
          <w:noProof/>
          <w:sz w:val="24"/>
        </w:rPr>
      </w:pPr>
      <w:r>
        <w:rPr>
          <w:rFonts w:ascii="Times New Roman" w:eastAsia="Times New Roman" w:hAnsi="Times New Roman"/>
          <w:noProof/>
          <w:color w:val="000000"/>
          <w:sz w:val="24"/>
          <w:szCs w:val="24"/>
          <w:lang w:val="en-IE"/>
        </w:rPr>
        <w:t xml:space="preserve"> </w:t>
      </w:r>
    </w:p>
    <w:p w:rsidR="00BF6749" w:rsidRDefault="00BF6749">
      <w:pPr>
        <w:spacing w:before="120" w:after="120" w:line="240" w:lineRule="auto"/>
        <w:jc w:val="both"/>
        <w:rPr>
          <w:rFonts w:ascii="Times New Roman" w:hAnsi="Times New Roman"/>
          <w:noProof/>
          <w:sz w:val="24"/>
        </w:rPr>
        <w:sectPr w:rsidR="00BF6749">
          <w:headerReference w:type="even" r:id="rId30"/>
          <w:headerReference w:type="default" r:id="rId31"/>
          <w:footerReference w:type="even" r:id="rId32"/>
          <w:footerReference w:type="default" r:id="rId33"/>
          <w:headerReference w:type="first" r:id="rId34"/>
          <w:footerReference w:type="first" r:id="rId35"/>
          <w:pgSz w:w="11907" w:h="16839"/>
          <w:pgMar w:top="1134" w:right="1418" w:bottom="1134" w:left="1418" w:header="709" w:footer="709" w:gutter="0"/>
          <w:cols w:space="720"/>
          <w:docGrid w:linePitch="360"/>
        </w:sectPr>
      </w:pPr>
    </w:p>
    <w:p w:rsidR="00BF6749" w:rsidRDefault="00C87555">
      <w:pPr>
        <w:spacing w:before="120" w:after="120" w:line="240" w:lineRule="auto"/>
        <w:rPr>
          <w:rFonts w:ascii="Times New Roman" w:eastAsia="Times New Roman" w:hAnsi="Times New Roman"/>
          <w:b/>
          <w:noProof/>
          <w:sz w:val="24"/>
          <w:szCs w:val="24"/>
          <w:u w:val="single"/>
        </w:rPr>
      </w:pPr>
      <w:r>
        <w:rPr>
          <w:rFonts w:ascii="Times New Roman" w:eastAsia="Times New Roman" w:hAnsi="Times New Roman"/>
          <w:b/>
          <w:noProof/>
          <w:sz w:val="24"/>
          <w:szCs w:val="24"/>
          <w:u w:val="single"/>
        </w:rPr>
        <w:t xml:space="preserve">A.2. </w:t>
      </w:r>
      <w:r>
        <w:rPr>
          <w:noProof/>
        </w:rPr>
        <w:tab/>
      </w:r>
      <w:r>
        <w:rPr>
          <w:rFonts w:ascii="Times New Roman" w:eastAsia="Times New Roman" w:hAnsi="Times New Roman"/>
          <w:b/>
          <w:noProof/>
          <w:sz w:val="24"/>
          <w:szCs w:val="24"/>
          <w:u w:val="single"/>
        </w:rPr>
        <w:t xml:space="preserve">Milestones, targets, indicators, and timetable for monitoring and implementation for </w:t>
      </w:r>
      <w:r>
        <w:rPr>
          <w:rFonts w:ascii="Times New Roman" w:eastAsia="Times New Roman" w:hAnsi="Times New Roman"/>
          <w:b/>
          <w:noProof/>
          <w:sz w:val="24"/>
          <w:szCs w:val="24"/>
          <w:u w:val="single"/>
        </w:rPr>
        <w:t>non-repayable financial support.</w:t>
      </w:r>
    </w:p>
    <w:p w:rsidR="00BF6749" w:rsidRDefault="00BF6749">
      <w:pPr>
        <w:spacing w:before="120" w:after="120" w:line="240" w:lineRule="auto"/>
        <w:rPr>
          <w:rFonts w:ascii="Times New Roman" w:eastAsia="Times New Roman" w:hAnsi="Times New Roman"/>
          <w:b/>
          <w:bCs/>
          <w:noProof/>
          <w:sz w:val="24"/>
          <w:szCs w:val="24"/>
          <w:u w:val="single"/>
        </w:rPr>
      </w:pPr>
    </w:p>
    <w:tbl>
      <w:tblPr>
        <w:tblW w:w="14283" w:type="dxa"/>
        <w:tblLayout w:type="fixed"/>
        <w:tblLook w:val="04A0" w:firstRow="1" w:lastRow="0" w:firstColumn="1" w:lastColumn="0" w:noHBand="0" w:noVBand="1"/>
      </w:tblPr>
      <w:tblGrid>
        <w:gridCol w:w="959"/>
        <w:gridCol w:w="946"/>
        <w:gridCol w:w="795"/>
        <w:gridCol w:w="1740"/>
        <w:gridCol w:w="1275"/>
        <w:gridCol w:w="1056"/>
        <w:gridCol w:w="850"/>
        <w:gridCol w:w="851"/>
        <w:gridCol w:w="992"/>
        <w:gridCol w:w="850"/>
        <w:gridCol w:w="3906"/>
        <w:gridCol w:w="63"/>
      </w:tblGrid>
      <w:tr w:rsidR="00BF6749">
        <w:trPr>
          <w:gridAfter w:val="1"/>
          <w:wAfter w:w="63" w:type="dxa"/>
          <w:trHeight w:val="1455"/>
        </w:trPr>
        <w:tc>
          <w:tcPr>
            <w:tcW w:w="959"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946"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Related measure (Reform or Investment)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795"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740"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275"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2757"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1842"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906"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Description and </w:t>
            </w:r>
            <w:r>
              <w:rPr>
                <w:rFonts w:ascii="Times New Roman" w:eastAsia="Times New Roman" w:hAnsi="Times New Roman"/>
                <w:b/>
                <w:bCs/>
                <w:noProof/>
                <w:sz w:val="20"/>
                <w:szCs w:val="20"/>
              </w:rPr>
              <w:t>clear definition of each milestone and target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r>
      <w:tr w:rsidR="00BF6749">
        <w:trPr>
          <w:gridAfter w:val="1"/>
          <w:wAfter w:w="63" w:type="dxa"/>
          <w:trHeight w:val="795"/>
        </w:trPr>
        <w:tc>
          <w:tcPr>
            <w:tcW w:w="959" w:type="dxa"/>
            <w:vMerge/>
            <w:tcBorders>
              <w:left w:val="single" w:sz="8" w:space="0" w:color="auto"/>
              <w:bottom w:val="nil"/>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946" w:type="dxa"/>
            <w:vMerge/>
            <w:tcBorders>
              <w:left w:val="single" w:sz="8" w:space="0" w:color="auto"/>
              <w:bottom w:val="nil"/>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795" w:type="dxa"/>
            <w:vMerge/>
            <w:tcBorders>
              <w:left w:val="single" w:sz="8" w:space="0" w:color="auto"/>
              <w:bottom w:val="nil"/>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740" w:type="dxa"/>
            <w:vMerge/>
            <w:tcBorders>
              <w:left w:val="single" w:sz="8" w:space="0" w:color="auto"/>
              <w:bottom w:val="nil"/>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275" w:type="dxa"/>
            <w:vMerge/>
            <w:tcBorders>
              <w:left w:val="single" w:sz="8" w:space="0" w:color="auto"/>
              <w:bottom w:val="nil"/>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056" w:type="dxa"/>
            <w:tcBorders>
              <w:top w:val="single" w:sz="8" w:space="0" w:color="auto"/>
              <w:left w:val="single" w:sz="8" w:space="0" w:color="auto"/>
              <w:bottom w:val="nil"/>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Unit of measure</w:t>
            </w:r>
          </w:p>
        </w:tc>
        <w:tc>
          <w:tcPr>
            <w:tcW w:w="850" w:type="dxa"/>
            <w:tcBorders>
              <w:top w:val="nil"/>
              <w:left w:val="single" w:sz="8" w:space="0" w:color="000000"/>
              <w:bottom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Baseline </w:t>
            </w:r>
          </w:p>
        </w:tc>
        <w:tc>
          <w:tcPr>
            <w:tcW w:w="851" w:type="dxa"/>
            <w:tcBorders>
              <w:top w:val="nil"/>
              <w:left w:val="single" w:sz="8" w:space="0" w:color="auto"/>
              <w:bottom w:val="nil"/>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Goal</w:t>
            </w:r>
          </w:p>
        </w:tc>
        <w:tc>
          <w:tcPr>
            <w:tcW w:w="992" w:type="dxa"/>
            <w:tcBorders>
              <w:top w:val="single" w:sz="8" w:space="0" w:color="auto"/>
              <w:left w:val="single" w:sz="8" w:space="0" w:color="000000"/>
              <w:bottom w:val="nil"/>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850" w:type="dxa"/>
            <w:tcBorders>
              <w:top w:val="nil"/>
              <w:left w:val="single" w:sz="8" w:space="0" w:color="000000"/>
              <w:bottom w:val="nil"/>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3906" w:type="dxa"/>
            <w:vMerge/>
            <w:tcBorders>
              <w:left w:val="single" w:sz="8" w:space="0" w:color="000000"/>
              <w:bottom w:val="nil"/>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r>
      <w:tr w:rsidR="00BF6749">
        <w:trPr>
          <w:gridAfter w:val="1"/>
          <w:wAfter w:w="63" w:type="dxa"/>
          <w:trHeight w:val="234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1</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2 – Renovation of buildings – Reform 1: The harmonisation of support mechanisms for the renovation of family houses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Milestone</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 Implementation plan to mobilize green renovation of family houses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Adoption of t</w:t>
            </w:r>
            <w:r>
              <w:rPr>
                <w:rFonts w:ascii="Times New Roman" w:hAnsi="Times New Roman"/>
                <w:noProof/>
                <w:color w:val="385724"/>
                <w:sz w:val="20"/>
                <w:szCs w:val="20"/>
              </w:rPr>
              <w:t xml:space="preserve">he implementation plan by the Ministry of Environment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Q3</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2022</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The implementation plan shall map different support schemes and harmonise them. It shall detail preparation for the start-up of the scheme, timetable and its administration as well as the</w:t>
            </w:r>
            <w:r>
              <w:rPr>
                <w:rFonts w:ascii="Times New Roman" w:hAnsi="Times New Roman"/>
                <w:noProof/>
                <w:color w:val="385724"/>
                <w:sz w:val="20"/>
                <w:szCs w:val="20"/>
              </w:rPr>
              <w:t xml:space="preserve"> monitoring of the reconstruction and verification of energy savings primarily by energy performance certificates, or other corresponding documents. The schemes shall be designed to incentivize on an average at least 30% primary energy savings and comply w</w:t>
            </w:r>
            <w:r>
              <w:rPr>
                <w:rFonts w:ascii="Times New Roman" w:hAnsi="Times New Roman"/>
                <w:noProof/>
                <w:color w:val="385724"/>
                <w:sz w:val="20"/>
                <w:szCs w:val="20"/>
              </w:rPr>
              <w:t xml:space="preserve">ith “Do no significant harm” Technical Guidance (2021/C58/01) requirements. </w:t>
            </w:r>
          </w:p>
        </w:tc>
      </w:tr>
      <w:tr w:rsidR="00BF6749">
        <w:trPr>
          <w:gridAfter w:val="1"/>
          <w:wAfter w:w="63" w:type="dxa"/>
          <w:trHeight w:val="7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2 – Renovation of buildings – Reform 1:  Improving the energy efficiency of family houses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Milestone </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Launch of the support schemes to mobilise energy savings and green renovation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 Launch of the support schemes to mobilise energy savings and green renovation</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eastAsia="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eastAsia="Times New Roman" w:hAnsi="Times New Roman"/>
                <w:noProof/>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Q3</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2022</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The schemes to mobilise energy savings and green renovation shall be designed and </w:t>
            </w:r>
            <w:r>
              <w:rPr>
                <w:rFonts w:ascii="Times New Roman" w:hAnsi="Times New Roman"/>
                <w:noProof/>
                <w:color w:val="385724"/>
                <w:sz w:val="20"/>
                <w:szCs w:val="20"/>
              </w:rPr>
              <w:t>launched in line with the measures and schedule adopted by implementation plan. Respective calls will be published by the Slovak Environmental Agency at a website.</w:t>
            </w:r>
          </w:p>
          <w:p w:rsidR="00BF6749" w:rsidRDefault="00C87555">
            <w:pPr>
              <w:rPr>
                <w:rFonts w:ascii="Times New Roman" w:hAnsi="Times New Roman"/>
                <w:noProof/>
                <w:sz w:val="20"/>
                <w:szCs w:val="20"/>
              </w:rPr>
            </w:pPr>
            <w:r>
              <w:rPr>
                <w:rFonts w:ascii="Times New Roman" w:hAnsi="Times New Roman"/>
                <w:i/>
                <w:iCs/>
                <w:noProof/>
                <w:color w:val="385724"/>
                <w:sz w:val="20"/>
                <w:szCs w:val="20"/>
              </w:rPr>
              <w:t xml:space="preserve"> </w:t>
            </w:r>
          </w:p>
        </w:tc>
      </w:tr>
      <w:tr w:rsidR="00BF6749">
        <w:trPr>
          <w:gridAfter w:val="1"/>
          <w:wAfter w:w="63" w:type="dxa"/>
          <w:trHeight w:val="147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3</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2 – Renovation of buildings – Investment 1: Improving the energy efficiency of family houses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Target</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Number of renovated family houses achieving on average at least 30 % primary energy savings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eastAsia="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Number</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385724"/>
                <w:sz w:val="20"/>
                <w:szCs w:val="20"/>
              </w:rPr>
              <w:t>18000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2024</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18 000 single family houses shall be </w:t>
            </w:r>
            <w:r>
              <w:rPr>
                <w:rFonts w:ascii="Times New Roman" w:hAnsi="Times New Roman"/>
                <w:noProof/>
                <w:color w:val="385724"/>
                <w:sz w:val="20"/>
                <w:szCs w:val="20"/>
              </w:rPr>
              <w:t>renovated in line with the requirements of the support schemes including the compliance with the DNSH principle and  to provide incentives for achieving on an average at least 30% primary energy savings and additional complementary measures. A list of poss</w:t>
            </w:r>
            <w:r>
              <w:rPr>
                <w:rFonts w:ascii="Times New Roman" w:hAnsi="Times New Roman"/>
                <w:noProof/>
                <w:color w:val="385724"/>
                <w:sz w:val="20"/>
                <w:szCs w:val="20"/>
              </w:rPr>
              <w:t>ible measures includes: insulation, replacement of windows, restoration of roof, rainwater retention, boiler replacement or removal of asbestos cover, or other measures in line with the text of the component.  Energy savings of the renovated houses shall b</w:t>
            </w:r>
            <w:r>
              <w:rPr>
                <w:rFonts w:ascii="Times New Roman" w:hAnsi="Times New Roman"/>
                <w:noProof/>
                <w:color w:val="385724"/>
                <w:sz w:val="20"/>
                <w:szCs w:val="20"/>
              </w:rPr>
              <w:t>e verified primarily through the energy performance certificate, or other corresponding documents. RRF financed investments shall not provide the support of biomass boilers.</w:t>
            </w:r>
          </w:p>
        </w:tc>
      </w:tr>
      <w:tr w:rsidR="00BF6749">
        <w:trPr>
          <w:gridAfter w:val="1"/>
          <w:wAfter w:w="63" w:type="dxa"/>
          <w:trHeight w:val="126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4</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2 – Renovation of buildings – Investment 1: Improving the energy efficiency of family houses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Target</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Number of renovated family houses achieving on average at least 30 % primary energy savings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eastAsia="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Number</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18 000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385724"/>
                <w:sz w:val="20"/>
                <w:szCs w:val="20"/>
              </w:rPr>
              <w:t>30 0000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2026</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In total 30 000 single family </w:t>
            </w:r>
            <w:r>
              <w:rPr>
                <w:rFonts w:ascii="Times New Roman" w:hAnsi="Times New Roman"/>
                <w:noProof/>
                <w:color w:val="385724"/>
                <w:sz w:val="20"/>
                <w:szCs w:val="20"/>
              </w:rPr>
              <w:t>houses shall be renovated in line with the requirements of the schemes including the compliance with the DNSH principle and to provide incentives for achieving o an average at least 30% primary energy savings and additional complementary measures. A list o</w:t>
            </w:r>
            <w:r>
              <w:rPr>
                <w:rFonts w:ascii="Times New Roman" w:hAnsi="Times New Roman"/>
                <w:noProof/>
                <w:color w:val="385724"/>
                <w:sz w:val="20"/>
                <w:szCs w:val="20"/>
              </w:rPr>
              <w:t>f possible measures includes:  as insulation, replacement of windows, restoration of roof, rainwater retention, boiler replacement or removal of asbestos cover, or other measures in line with the text of the component and the costing provided. Energy savin</w:t>
            </w:r>
            <w:r>
              <w:rPr>
                <w:rFonts w:ascii="Times New Roman" w:hAnsi="Times New Roman"/>
                <w:noProof/>
                <w:color w:val="385724"/>
                <w:sz w:val="20"/>
                <w:szCs w:val="20"/>
              </w:rPr>
              <w:t>gs of the renovated houses shall be verified primarily through the energy performance certificate, or other corresponding documents. RRF financed investments shall not provide the support of biomass boilers.</w:t>
            </w:r>
          </w:p>
        </w:tc>
      </w:tr>
      <w:tr w:rsidR="00BF6749">
        <w:trPr>
          <w:trHeight w:val="55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5</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BF6749">
            <w:pPr>
              <w:spacing w:after="0"/>
              <w:rPr>
                <w:rFonts w:ascii="Times New Roman" w:hAnsi="Times New Roman"/>
                <w:noProof/>
                <w:color w:val="385724"/>
                <w:sz w:val="20"/>
                <w:szCs w:val="20"/>
              </w:rPr>
            </w:pPr>
          </w:p>
          <w:p w:rsidR="00BF6749" w:rsidRDefault="00C87555">
            <w:pPr>
              <w:spacing w:after="0"/>
              <w:rPr>
                <w:rFonts w:ascii="Times New Roman" w:hAnsi="Times New Roman"/>
                <w:noProof/>
                <w:color w:val="385724"/>
                <w:sz w:val="20"/>
                <w:szCs w:val="20"/>
              </w:rPr>
            </w:pPr>
            <w:r>
              <w:rPr>
                <w:rFonts w:ascii="Times New Roman" w:hAnsi="Times New Roman"/>
                <w:noProof/>
                <w:color w:val="385724"/>
                <w:sz w:val="20"/>
                <w:szCs w:val="20"/>
              </w:rPr>
              <w:t xml:space="preserve">2. Renovation of buildings – Reform 2:  </w:t>
            </w:r>
            <w:r>
              <w:rPr>
                <w:rFonts w:ascii="Times New Roman" w:hAnsi="Times New Roman"/>
                <w:noProof/>
                <w:color w:val="385724"/>
                <w:sz w:val="20"/>
                <w:szCs w:val="20"/>
              </w:rPr>
              <w:t>Increasing transparency and streamlining decisions of the Monuments Board of the Slovak Republic</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Milestone </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Methodologies for the decision-making process of the Monuments Board of the Slovak Republic </w:t>
            </w:r>
          </w:p>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 Publication of methodologies by the Monuments Board</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color w:val="385724"/>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jc w:val="right"/>
              <w:rPr>
                <w:rFonts w:ascii="Times New Roman" w:hAnsi="Times New Roman"/>
                <w:noProof/>
                <w:color w:val="385724"/>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385724"/>
                <w:sz w:val="20"/>
                <w:szCs w:val="20"/>
              </w:rPr>
            </w:pPr>
            <w:r>
              <w:rPr>
                <w:rFonts w:ascii="Times New Roman" w:hAnsi="Times New Roman"/>
                <w:noProof/>
                <w:color w:val="385724"/>
                <w:sz w:val="20"/>
                <w:szCs w:val="20"/>
              </w:rPr>
              <w:t xml:space="preserve">3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2023</w:t>
            </w:r>
          </w:p>
        </w:tc>
        <w:tc>
          <w:tcPr>
            <w:tcW w:w="3969"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Development and adoption of the three methodologies to classify monument buildings in order to increase the transparency, public acceptance and speed up the decision-making processes of the </w:t>
            </w:r>
            <w:r>
              <w:rPr>
                <w:rFonts w:ascii="Times New Roman" w:hAnsi="Times New Roman"/>
                <w:noProof/>
                <w:color w:val="385724"/>
                <w:sz w:val="20"/>
                <w:szCs w:val="20"/>
              </w:rPr>
              <w:t>Monuments Board of the Slovak Republic. Based on standardised methodologies, at least 1000 construction passports shall be issued by the Monument Board to provide diagnoses of the technical as well as energy aspects of the relevant state-owned monuments to</w:t>
            </w:r>
            <w:r>
              <w:rPr>
                <w:rFonts w:ascii="Times New Roman" w:hAnsi="Times New Roman"/>
                <w:noProof/>
                <w:color w:val="385724"/>
                <w:sz w:val="20"/>
                <w:szCs w:val="20"/>
              </w:rPr>
              <w:t xml:space="preserve"> facilitate renovation decisions. </w:t>
            </w:r>
          </w:p>
        </w:tc>
      </w:tr>
      <w:tr w:rsidR="00BF6749">
        <w:trPr>
          <w:gridAfter w:val="1"/>
          <w:wAfter w:w="63" w:type="dxa"/>
          <w:trHeight w:val="168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6</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2- Renovation of buildings – Investment 2:  Renovation of public historical and listed  buildings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Target</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Overall area (m2) of renovated  public historical and listed  buildings achieving at least 30 % of the </w:t>
            </w:r>
            <w:r>
              <w:rPr>
                <w:rFonts w:ascii="Times New Roman" w:hAnsi="Times New Roman"/>
                <w:noProof/>
                <w:color w:val="385724"/>
                <w:sz w:val="20"/>
                <w:szCs w:val="20"/>
              </w:rPr>
              <w:t>primary energy savings</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i/>
                <w:iCs/>
                <w:noProof/>
                <w:color w:val="385724"/>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Area (m2)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jc w:val="both"/>
              <w:rPr>
                <w:rFonts w:ascii="Times New Roman" w:hAnsi="Times New Roman"/>
                <w:noProof/>
                <w:sz w:val="20"/>
                <w:szCs w:val="20"/>
              </w:rPr>
            </w:pPr>
            <w:r>
              <w:rPr>
                <w:rFonts w:ascii="Times New Roman" w:hAnsi="Times New Roman"/>
                <w:noProof/>
                <w:color w:val="385724"/>
                <w:sz w:val="20"/>
                <w:szCs w:val="20"/>
              </w:rPr>
              <w:t>60 000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2024</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Of the overall objective is to renovate 66 000m2, at least 60 000 m2 of historic and listed public buildings, are renovated in line with the requirements of the open call, which shall define conditions </w:t>
            </w:r>
            <w:r>
              <w:rPr>
                <w:rFonts w:ascii="Times New Roman" w:hAnsi="Times New Roman"/>
                <w:noProof/>
                <w:color w:val="385724"/>
                <w:sz w:val="20"/>
                <w:szCs w:val="20"/>
              </w:rPr>
              <w:t>to achieve on an average at least 30% primary energy savings, compliance with DNSH principles and incentivize implementation of other complementary measures (such as rainwater retention, removal of asbestos, accessibility of buildings).. Energy savings sha</w:t>
            </w:r>
            <w:r>
              <w:rPr>
                <w:rFonts w:ascii="Times New Roman" w:hAnsi="Times New Roman"/>
                <w:noProof/>
                <w:color w:val="385724"/>
                <w:sz w:val="20"/>
                <w:szCs w:val="20"/>
              </w:rPr>
              <w:t>ll be monitored and verified for renovated buildings through energy performance certificates.</w:t>
            </w:r>
          </w:p>
        </w:tc>
      </w:tr>
      <w:tr w:rsidR="00BF6749">
        <w:trPr>
          <w:gridAfter w:val="1"/>
          <w:wAfter w:w="63" w:type="dxa"/>
          <w:trHeight w:val="234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7</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2- Renovation of buildings – Investment 2:  Renovation of public historical and listed  buildings </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Target</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 xml:space="preserve">Overall area (m2) of renovated  public historical </w:t>
            </w:r>
            <w:r>
              <w:rPr>
                <w:rFonts w:ascii="Times New Roman" w:hAnsi="Times New Roman"/>
                <w:noProof/>
                <w:color w:val="385724"/>
                <w:sz w:val="20"/>
                <w:szCs w:val="20"/>
              </w:rPr>
              <w:t>and listed  buildings</w:t>
            </w:r>
          </w:p>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achieving at least 30 % of the primary energy savings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eastAsia="Times New Roman" w:hAnsi="Times New Roman"/>
                <w:noProof/>
                <w:sz w:val="20"/>
                <w:szCs w:val="20"/>
              </w:rPr>
              <w:t xml:space="preserve">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Area (m2)</w:t>
            </w:r>
          </w:p>
          <w:p w:rsidR="00BF6749" w:rsidRDefault="00C87555">
            <w:pPr>
              <w:jc w:val="both"/>
              <w:rPr>
                <w:rFonts w:ascii="Times New Roman" w:hAnsi="Times New Roman"/>
                <w:noProof/>
                <w:sz w:val="20"/>
                <w:szCs w:val="20"/>
              </w:rPr>
            </w:pPr>
            <w:r>
              <w:rPr>
                <w:rFonts w:ascii="Times New Roman" w:eastAsia="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385724"/>
                <w:sz w:val="20"/>
                <w:szCs w:val="20"/>
              </w:rPr>
              <w:t>60 000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385724"/>
                <w:sz w:val="20"/>
                <w:szCs w:val="20"/>
              </w:rPr>
              <w:t>117000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2026</w:t>
            </w:r>
          </w:p>
        </w:tc>
        <w:tc>
          <w:tcPr>
            <w:tcW w:w="390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Of the overall objective is to renovate 130 000m2, a</w:t>
            </w:r>
            <w:r>
              <w:rPr>
                <w:rFonts w:ascii="Times New Roman" w:hAnsi="Times New Roman"/>
                <w:noProof/>
                <w:color w:val="385724"/>
                <w:sz w:val="20"/>
                <w:szCs w:val="20"/>
              </w:rPr>
              <w:t xml:space="preserve">t least 117 000 m2 of historic and listed public buildings, are renovated in line with the </w:t>
            </w:r>
            <w:r>
              <w:rPr>
                <w:rFonts w:ascii="Times New Roman" w:hAnsi="Times New Roman"/>
                <w:noProof/>
                <w:color w:val="385724"/>
                <w:sz w:val="20"/>
                <w:szCs w:val="20"/>
              </w:rPr>
              <w:t xml:space="preserve">requirements of the open call, which shall define conditions to achieve on average at least 30% primary energy savings, compliance with DNSH principles and incentivize implementation of other complementary measures (such as rainwater retention, removal of </w:t>
            </w:r>
            <w:r>
              <w:rPr>
                <w:rFonts w:ascii="Times New Roman" w:hAnsi="Times New Roman"/>
                <w:noProof/>
                <w:color w:val="385724"/>
                <w:sz w:val="20"/>
                <w:szCs w:val="20"/>
              </w:rPr>
              <w:t>asbestos, accessibility of buildings). Energy savings shall be monitored and verified for renovated buildings through energy performance certificates.</w:t>
            </w:r>
          </w:p>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r>
              <w:rPr>
                <w:rFonts w:ascii="Times New Roman" w:hAnsi="Times New Roman"/>
                <w:noProof/>
                <w:color w:val="006100"/>
                <w:sz w:val="20"/>
                <w:szCs w:val="20"/>
              </w:rPr>
              <w:t xml:space="preserve"> </w:t>
            </w:r>
          </w:p>
        </w:tc>
      </w:tr>
      <w:tr w:rsidR="00BF6749">
        <w:trPr>
          <w:trHeight w:val="160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8</w:t>
            </w:r>
          </w:p>
        </w:tc>
        <w:tc>
          <w:tcPr>
            <w:tcW w:w="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 </w:t>
            </w:r>
          </w:p>
          <w:p w:rsidR="00BF6749" w:rsidRDefault="00C87555">
            <w:pPr>
              <w:rPr>
                <w:rFonts w:ascii="Times New Roman" w:hAnsi="Times New Roman"/>
                <w:noProof/>
                <w:color w:val="385724"/>
                <w:sz w:val="20"/>
                <w:szCs w:val="20"/>
              </w:rPr>
            </w:pPr>
            <w:r>
              <w:rPr>
                <w:rFonts w:ascii="Times New Roman" w:hAnsi="Times New Roman"/>
                <w:noProof/>
                <w:color w:val="385724"/>
                <w:sz w:val="20"/>
                <w:szCs w:val="20"/>
              </w:rPr>
              <w:t>2 – Renovation of building  – Reform 3: The management of construction and demolition  waste</w:t>
            </w:r>
          </w:p>
        </w:tc>
        <w:tc>
          <w:tcPr>
            <w:tcW w:w="7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Milestone</w:t>
            </w:r>
          </w:p>
        </w:tc>
        <w:tc>
          <w:tcPr>
            <w:tcW w:w="17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The amendment to the Waste Act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385724"/>
                <w:sz w:val="20"/>
                <w:szCs w:val="20"/>
              </w:rPr>
              <w:t xml:space="preserve">Entry into force of  the legislative amendment to the Waste Act  </w:t>
            </w:r>
          </w:p>
        </w:tc>
        <w:tc>
          <w:tcPr>
            <w:tcW w:w="105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eastAsia="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385724"/>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385724"/>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Q2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385724"/>
                <w:sz w:val="20"/>
                <w:szCs w:val="20"/>
              </w:rPr>
              <w:t>2022</w:t>
            </w:r>
          </w:p>
        </w:tc>
        <w:tc>
          <w:tcPr>
            <w:tcW w:w="3969"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385724"/>
                <w:sz w:val="20"/>
                <w:szCs w:val="20"/>
              </w:rPr>
              <w:t xml:space="preserve">The revised waste legislation by the Ministry of Environment shall increase the potential of the circular economy in the construction </w:t>
            </w:r>
            <w:r>
              <w:rPr>
                <w:rFonts w:ascii="Times New Roman" w:hAnsi="Times New Roman"/>
                <w:noProof/>
                <w:color w:val="385724"/>
                <w:sz w:val="20"/>
                <w:szCs w:val="20"/>
              </w:rPr>
              <w:t>and demolition waste and construction sector, leading to at least 70% of the non-hazardous construction and demolition waste to be recycled and reused.  It shall include mandatory green public procurement</w:t>
            </w:r>
            <w:r>
              <w:rPr>
                <w:rFonts w:ascii="Times New Roman" w:hAnsi="Times New Roman"/>
                <w:b/>
                <w:bCs/>
                <w:noProof/>
                <w:color w:val="385724"/>
                <w:sz w:val="20"/>
                <w:szCs w:val="20"/>
                <w:u w:val="single"/>
              </w:rPr>
              <w:t xml:space="preserve"> for construction investments within the state admin</w:t>
            </w:r>
            <w:r>
              <w:rPr>
                <w:rFonts w:ascii="Times New Roman" w:hAnsi="Times New Roman"/>
                <w:b/>
                <w:bCs/>
                <w:noProof/>
                <w:color w:val="385724"/>
                <w:sz w:val="20"/>
                <w:szCs w:val="20"/>
                <w:u w:val="single"/>
              </w:rPr>
              <w:t>istration</w:t>
            </w:r>
            <w:r>
              <w:rPr>
                <w:rFonts w:ascii="Times New Roman" w:hAnsi="Times New Roman"/>
                <w:noProof/>
                <w:color w:val="385724"/>
                <w:sz w:val="20"/>
                <w:szCs w:val="20"/>
              </w:rPr>
              <w:t>, increase the statutory fees for the landfilling and simplify the rules for the use of construction and demolition waste.</w:t>
            </w:r>
          </w:p>
        </w:tc>
      </w:tr>
    </w:tbl>
    <w:p w:rsidR="00BF6749" w:rsidRDefault="00BF6749">
      <w:pPr>
        <w:spacing w:before="120" w:after="120" w:line="240" w:lineRule="auto"/>
        <w:rPr>
          <w:rFonts w:ascii="Times New Roman" w:eastAsia="Times New Roman" w:hAnsi="Times New Roman"/>
          <w:b/>
          <w:bCs/>
          <w:noProof/>
          <w:sz w:val="24"/>
          <w:szCs w:val="24"/>
          <w:u w:val="single"/>
        </w:rPr>
      </w:pPr>
    </w:p>
    <w:p w:rsidR="00BF6749" w:rsidRDefault="00BF6749">
      <w:pPr>
        <w:spacing w:before="120" w:after="120" w:line="240" w:lineRule="auto"/>
        <w:jc w:val="both"/>
        <w:rPr>
          <w:rFonts w:ascii="Times New Roman" w:hAnsi="Times New Roman"/>
          <w:noProof/>
          <w:sz w:val="24"/>
        </w:rPr>
      </w:pPr>
    </w:p>
    <w:p w:rsidR="00BF6749" w:rsidRDefault="00BF6749">
      <w:pPr>
        <w:spacing w:before="120" w:after="120" w:line="240" w:lineRule="auto"/>
        <w:jc w:val="both"/>
        <w:rPr>
          <w:rFonts w:ascii="Times New Roman" w:eastAsia="Times New Roman" w:hAnsi="Times New Roman"/>
          <w:noProof/>
          <w:sz w:val="24"/>
          <w:szCs w:val="24"/>
        </w:rPr>
      </w:pPr>
    </w:p>
    <w:p w:rsidR="00BF6749" w:rsidRDefault="00BF6749">
      <w:pPr>
        <w:spacing w:before="120" w:after="120" w:line="240" w:lineRule="auto"/>
        <w:jc w:val="both"/>
        <w:rPr>
          <w:rFonts w:ascii="Times New Roman" w:hAnsi="Times New Roman"/>
          <w:noProof/>
          <w:sz w:val="24"/>
          <w:szCs w:val="24"/>
        </w:rPr>
      </w:pPr>
    </w:p>
    <w:p w:rsidR="00BF6749" w:rsidRDefault="00BF6749">
      <w:pPr>
        <w:spacing w:before="120" w:after="120" w:line="240" w:lineRule="auto"/>
        <w:jc w:val="both"/>
        <w:rPr>
          <w:rFonts w:ascii="Times New Roman" w:hAnsi="Times New Roman"/>
          <w:noProof/>
          <w:sz w:val="24"/>
          <w:szCs w:val="24"/>
        </w:rPr>
      </w:pPr>
    </w:p>
    <w:p w:rsidR="00BF6749" w:rsidRDefault="00BF6749">
      <w:pPr>
        <w:spacing w:before="120" w:after="120" w:line="240" w:lineRule="auto"/>
        <w:ind w:left="850"/>
        <w:jc w:val="both"/>
        <w:rPr>
          <w:rFonts w:ascii="Times New Roman" w:hAnsi="Times New Roman"/>
          <w:noProof/>
          <w:sz w:val="24"/>
          <w:szCs w:val="24"/>
        </w:rPr>
        <w:sectPr w:rsidR="00BF6749">
          <w:headerReference w:type="even" r:id="rId36"/>
          <w:headerReference w:type="default" r:id="rId37"/>
          <w:footerReference w:type="even" r:id="rId38"/>
          <w:footerReference w:type="default" r:id="rId39"/>
          <w:headerReference w:type="first" r:id="rId40"/>
          <w:footerReference w:type="first" r:id="rId41"/>
          <w:pgSz w:w="16839" w:h="11907" w:orient="landscape"/>
          <w:pgMar w:top="1418" w:right="1134" w:bottom="1418" w:left="1134" w:header="709" w:footer="709" w:gutter="0"/>
          <w:cols w:space="720"/>
          <w:docGrid w:linePitch="360"/>
        </w:sectPr>
      </w:pPr>
    </w:p>
    <w:p w:rsidR="00BF6749" w:rsidRDefault="00C87555">
      <w:pPr>
        <w:keepNext/>
        <w:spacing w:before="360" w:after="120" w:line="240" w:lineRule="auto"/>
        <w:ind w:left="850" w:hanging="850"/>
        <w:jc w:val="both"/>
        <w:outlineLvl w:val="0"/>
        <w:rPr>
          <w:rFonts w:ascii="Times New Roman" w:hAnsi="Times New Roman"/>
          <w:b/>
          <w:smallCaps/>
          <w:noProof/>
          <w:sz w:val="24"/>
        </w:rPr>
      </w:pPr>
      <w:r>
        <w:rPr>
          <w:rFonts w:ascii="Times New Roman" w:hAnsi="Times New Roman"/>
          <w:b/>
          <w:smallCaps/>
          <w:noProof/>
          <w:sz w:val="24"/>
        </w:rPr>
        <w:tab/>
        <w:t>COMPONENT 3: Sustainable transport</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 xml:space="preserve">The component of the </w:t>
      </w:r>
      <w:r>
        <w:rPr>
          <w:rFonts w:ascii="Times New Roman" w:eastAsia="Times New Roman" w:hAnsi="Times New Roman"/>
          <w:noProof/>
          <w:sz w:val="24"/>
          <w:szCs w:val="24"/>
          <w:lang w:val="en-IE"/>
        </w:rPr>
        <w:t>Slovak recovery and resilience plan aims at increasing the share of environmentally friendly forms of transport, through measures and smart solutions based on data analysis, to increase the number of passengers travelling by rail and public passenger trans</w:t>
      </w:r>
      <w:r>
        <w:rPr>
          <w:rFonts w:ascii="Times New Roman" w:eastAsia="Times New Roman" w:hAnsi="Times New Roman"/>
          <w:noProof/>
          <w:sz w:val="24"/>
          <w:szCs w:val="24"/>
          <w:lang w:val="en-IE"/>
        </w:rPr>
        <w:t>port, the volume of goods transported in environmentally friendly intermodal transport, as well as to support the development of alternative propulsion infrastructure, thereby reducing CO</w:t>
      </w:r>
      <w:r>
        <w:rPr>
          <w:rFonts w:ascii="Times New Roman" w:eastAsia="Times New Roman" w:hAnsi="Times New Roman"/>
          <w:noProof/>
          <w:sz w:val="24"/>
          <w:szCs w:val="24"/>
          <w:vertAlign w:val="subscript"/>
          <w:lang w:val="en-IE"/>
        </w:rPr>
        <w:t>2</w:t>
      </w:r>
      <w:r>
        <w:rPr>
          <w:rFonts w:ascii="Times New Roman" w:eastAsia="Times New Roman" w:hAnsi="Times New Roman"/>
          <w:noProof/>
          <w:sz w:val="24"/>
          <w:szCs w:val="24"/>
          <w:lang w:val="en-IE"/>
        </w:rPr>
        <w:t xml:space="preserve"> emissions in transport and improving air quality. Smart and digital</w:t>
      </w:r>
      <w:r>
        <w:rPr>
          <w:rFonts w:ascii="Times New Roman" w:eastAsia="Times New Roman" w:hAnsi="Times New Roman"/>
          <w:noProof/>
          <w:sz w:val="24"/>
          <w:szCs w:val="24"/>
          <w:lang w:val="en-IE"/>
        </w:rPr>
        <w:t xml:space="preserve"> investments shall support faster, more reliable and more efficient rail and clean public passenger transport, motivating passengers to switch from cars and other carbon-based means of transport. The component shall allow a wider use of alternative propuls</w:t>
      </w:r>
      <w:r>
        <w:rPr>
          <w:rFonts w:ascii="Times New Roman" w:eastAsia="Times New Roman" w:hAnsi="Times New Roman"/>
          <w:noProof/>
          <w:sz w:val="24"/>
          <w:szCs w:val="24"/>
          <w:lang w:val="en-IE"/>
        </w:rPr>
        <w:t>ions for sustainable, environmentally friendly, affordable and smart transport, while also promoting the use of smart grids. It shall contribute to the competitiveness of the economy by creating need market conditions for the suppliers of transport machine</w:t>
      </w:r>
      <w:r>
        <w:rPr>
          <w:rFonts w:ascii="Times New Roman" w:eastAsia="Times New Roman" w:hAnsi="Times New Roman"/>
          <w:noProof/>
          <w:sz w:val="24"/>
          <w:szCs w:val="24"/>
          <w:lang w:val="en-IE"/>
        </w:rPr>
        <w:t xml:space="preserve">ry. </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component includes four reforms and four investments.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environmental objectives within the meaning of Article 17 of Regulation (EU) 2020/852, taking into account the descript</w:t>
      </w:r>
      <w:r>
        <w:rPr>
          <w:rFonts w:ascii="Times New Roman" w:hAnsi="Times New Roman"/>
          <w:noProof/>
          <w:sz w:val="24"/>
          <w:szCs w:val="24"/>
        </w:rPr>
        <w:t xml:space="preserve">ion of the measures and the mitigating steps set out in the recovery and resilience plan in accordance with the DNSH Technical Guidance (2021/C58/01).  </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Reforms and investment under the component address directly the Council Recommendation on the 2020 Nati</w:t>
      </w:r>
      <w:r>
        <w:rPr>
          <w:rFonts w:ascii="Times New Roman" w:eastAsia="Times New Roman" w:hAnsi="Times New Roman"/>
          <w:noProof/>
          <w:sz w:val="24"/>
          <w:szCs w:val="24"/>
          <w:lang w:val="en-IE"/>
        </w:rPr>
        <w:t xml:space="preserve">onal Reform Programme of Slovakia and the Council opinion on the 2020 Stability Programme of Slovakia, according to which Slovakia </w:t>
      </w:r>
      <w:r>
        <w:rPr>
          <w:rFonts w:ascii="Times New Roman" w:eastAsia="Times New Roman" w:hAnsi="Times New Roman"/>
          <w:i/>
          <w:iCs/>
          <w:noProof/>
          <w:sz w:val="24"/>
          <w:szCs w:val="24"/>
          <w:lang w:val="en-IE"/>
        </w:rPr>
        <w:t>"shall implement ready public investment projects as soon as possible and support private sector investment to support econom</w:t>
      </w:r>
      <w:r>
        <w:rPr>
          <w:rFonts w:ascii="Times New Roman" w:eastAsia="Times New Roman" w:hAnsi="Times New Roman"/>
          <w:i/>
          <w:iCs/>
          <w:noProof/>
          <w:sz w:val="24"/>
          <w:szCs w:val="24"/>
          <w:lang w:val="en-IE"/>
        </w:rPr>
        <w:t>ic recovery. Focus investment on the green and digital transitions, in particular on clean and efficient production and use of energy and resources, sustainable public transport and waste management.”</w:t>
      </w:r>
      <w:r>
        <w:rPr>
          <w:rFonts w:ascii="Times New Roman" w:eastAsia="Times New Roman" w:hAnsi="Times New Roman"/>
          <w:noProof/>
          <w:sz w:val="24"/>
          <w:szCs w:val="24"/>
          <w:lang w:val="en-IE"/>
        </w:rPr>
        <w:t xml:space="preserve"> </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szCs w:val="24"/>
          <w:lang w:val="en-IE"/>
        </w:rPr>
        <w:t xml:space="preserve">The component includes four reforms and four </w:t>
      </w:r>
      <w:r>
        <w:rPr>
          <w:rFonts w:ascii="Times New Roman" w:eastAsia="Times New Roman" w:hAnsi="Times New Roman"/>
          <w:noProof/>
          <w:sz w:val="24"/>
          <w:szCs w:val="24"/>
          <w:lang w:val="en-IE"/>
        </w:rPr>
        <w:t>investments.</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bCs/>
          <w:noProof/>
          <w:sz w:val="24"/>
          <w:szCs w:val="24"/>
          <w:u w:val="single"/>
        </w:rPr>
        <w:t xml:space="preserve">A.1. </w:t>
      </w:r>
      <w:r>
        <w:rPr>
          <w:rFonts w:ascii="Times New Roman" w:hAnsi="Times New Roman"/>
          <w:noProof/>
          <w:sz w:val="24"/>
        </w:rPr>
        <w:tab/>
      </w:r>
      <w:r>
        <w:rPr>
          <w:rFonts w:ascii="Times New Roman" w:eastAsia="Times New Roman" w:hAnsi="Times New Roman"/>
          <w:b/>
          <w:bCs/>
          <w:noProof/>
          <w:sz w:val="24"/>
          <w:szCs w:val="24"/>
          <w:u w:val="single"/>
        </w:rPr>
        <w:t>Description of the reforms and investments for non-repayable financial support</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szCs w:val="24"/>
          <w:lang w:val="en-IE"/>
        </w:rPr>
        <w:t xml:space="preserve">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Reform 1 on the preparation of transport investment projects.</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IE"/>
        </w:rPr>
        <w:t>The reform aims at improving the management of investments and increasing their economic benef</w:t>
      </w:r>
      <w:r>
        <w:rPr>
          <w:rFonts w:ascii="Times New Roman" w:eastAsia="Times New Roman" w:hAnsi="Times New Roman"/>
          <w:noProof/>
          <w:sz w:val="24"/>
          <w:szCs w:val="24"/>
          <w:lang w:val="en-IE"/>
        </w:rPr>
        <w:t>its. This shall be achieved through the following measures:</w:t>
      </w:r>
    </w:p>
    <w:p w:rsidR="00BF6749" w:rsidRDefault="00C87555">
      <w:pPr>
        <w:numPr>
          <w:ilvl w:val="0"/>
          <w:numId w:val="29"/>
        </w:numPr>
        <w:spacing w:before="120" w:after="160" w:line="257" w:lineRule="auto"/>
        <w:contextualSpacing/>
        <w:jc w:val="both"/>
        <w:rPr>
          <w:rFonts w:eastAsia="Times New Roman"/>
          <w:noProof/>
          <w:sz w:val="24"/>
          <w:szCs w:val="24"/>
          <w:lang w:val="en-US"/>
        </w:rPr>
      </w:pPr>
      <w:r>
        <w:rPr>
          <w:rFonts w:ascii="Times New Roman" w:eastAsia="Times New Roman" w:hAnsi="Times New Roman"/>
          <w:noProof/>
          <w:sz w:val="24"/>
          <w:szCs w:val="24"/>
          <w:lang w:val="en-IE"/>
        </w:rPr>
        <w:t xml:space="preserve">the establishment by 30 June 2021 of an investment plan for railway infrastructure projects prioritising projects according to their value for money; </w:t>
      </w:r>
    </w:p>
    <w:p w:rsidR="00BF6749" w:rsidRDefault="00C87555">
      <w:pPr>
        <w:numPr>
          <w:ilvl w:val="0"/>
          <w:numId w:val="29"/>
        </w:numPr>
        <w:spacing w:before="120" w:after="160" w:line="257" w:lineRule="auto"/>
        <w:contextualSpacing/>
        <w:jc w:val="both"/>
        <w:rPr>
          <w:rFonts w:eastAsia="Times New Roman"/>
          <w:noProof/>
          <w:sz w:val="24"/>
          <w:szCs w:val="24"/>
          <w:lang w:val="en-IE"/>
        </w:rPr>
      </w:pPr>
      <w:r>
        <w:rPr>
          <w:rFonts w:ascii="Times New Roman" w:eastAsia="Times New Roman" w:hAnsi="Times New Roman"/>
          <w:noProof/>
          <w:sz w:val="24"/>
          <w:szCs w:val="24"/>
          <w:lang w:val="en-IE"/>
        </w:rPr>
        <w:t xml:space="preserve">amendments, by 31 March 2023 to the Railways </w:t>
      </w:r>
      <w:r>
        <w:rPr>
          <w:rFonts w:ascii="Times New Roman" w:eastAsia="Times New Roman" w:hAnsi="Times New Roman"/>
          <w:noProof/>
          <w:sz w:val="24"/>
          <w:szCs w:val="24"/>
          <w:lang w:val="en-IE"/>
        </w:rPr>
        <w:t>Act and related legislation simplifying and streamlining the legislative and technical requirements for transport infrastructure parameters;</w:t>
      </w:r>
    </w:p>
    <w:p w:rsidR="00BF6749" w:rsidRDefault="00C87555">
      <w:pPr>
        <w:numPr>
          <w:ilvl w:val="0"/>
          <w:numId w:val="29"/>
        </w:numPr>
        <w:spacing w:before="120" w:after="160" w:line="257" w:lineRule="auto"/>
        <w:contextualSpacing/>
        <w:jc w:val="both"/>
        <w:rPr>
          <w:rFonts w:eastAsia="Times New Roman"/>
          <w:noProof/>
          <w:sz w:val="24"/>
          <w:szCs w:val="24"/>
          <w:lang w:val="en-US"/>
        </w:rPr>
      </w:pPr>
      <w:r>
        <w:rPr>
          <w:rFonts w:ascii="Times New Roman" w:eastAsia="Times New Roman" w:hAnsi="Times New Roman"/>
          <w:noProof/>
          <w:sz w:val="24"/>
          <w:szCs w:val="24"/>
          <w:lang w:val="en-IE"/>
        </w:rPr>
        <w:t>the publication by 31 December 2021 of a methodology determining how to identify projects with the highest value fo</w:t>
      </w:r>
      <w:r>
        <w:rPr>
          <w:rFonts w:ascii="Times New Roman" w:eastAsia="Times New Roman" w:hAnsi="Times New Roman"/>
          <w:noProof/>
          <w:sz w:val="24"/>
          <w:szCs w:val="24"/>
          <w:lang w:val="en-IE"/>
        </w:rPr>
        <w:t xml:space="preserve">r money possible and contribute to the objective of passenger modal shift from individual road transport to cycling. </w:t>
      </w:r>
    </w:p>
    <w:p w:rsidR="00BF6749" w:rsidRDefault="00BF6749">
      <w:pPr>
        <w:spacing w:before="120" w:after="160" w:line="257" w:lineRule="auto"/>
        <w:contextualSpacing/>
        <w:jc w:val="both"/>
        <w:rPr>
          <w:rFonts w:eastAsia="Times New Roman"/>
          <w:noProof/>
          <w:sz w:val="24"/>
          <w:szCs w:val="24"/>
          <w:lang w:val="en-US"/>
        </w:rPr>
      </w:pPr>
    </w:p>
    <w:p w:rsidR="00BF6749" w:rsidRDefault="00C87555">
      <w:pPr>
        <w:spacing w:after="0" w:line="240" w:lineRule="auto"/>
        <w:jc w:val="both"/>
        <w:textAlignment w:val="baseline"/>
        <w:rPr>
          <w:rFonts w:ascii="Segoe UI" w:eastAsia="Times New Roman" w:hAnsi="Segoe UI" w:cs="Segoe UI"/>
          <w:noProof/>
          <w:sz w:val="18"/>
          <w:szCs w:val="18"/>
          <w:lang w:val="en-IE" w:eastAsia="fr-BE"/>
        </w:rPr>
      </w:pPr>
      <w:r>
        <w:rPr>
          <w:rFonts w:ascii="Times New Roman" w:eastAsia="Times New Roman" w:hAnsi="Times New Roman"/>
          <w:noProof/>
          <w:color w:val="000000"/>
          <w:sz w:val="24"/>
          <w:szCs w:val="24"/>
          <w:lang w:val="en-IE" w:eastAsia="fr-BE"/>
        </w:rPr>
        <w:t>The implementation of the reform shall be completed by 31 March 2023.   </w:t>
      </w:r>
    </w:p>
    <w:p w:rsidR="00BF6749" w:rsidRDefault="00BF6749">
      <w:pPr>
        <w:spacing w:before="120" w:after="160" w:line="257" w:lineRule="auto"/>
        <w:contextualSpacing/>
        <w:jc w:val="both"/>
        <w:rPr>
          <w:rFonts w:eastAsia="Times New Roman"/>
          <w:noProof/>
          <w:sz w:val="24"/>
          <w:szCs w:val="24"/>
          <w:lang w:val="en-IE"/>
        </w:rPr>
      </w:pPr>
    </w:p>
    <w:p w:rsidR="00BF6749" w:rsidRDefault="00BF6749">
      <w:pPr>
        <w:spacing w:before="120" w:after="160" w:line="257" w:lineRule="auto"/>
        <w:contextualSpacing/>
        <w:jc w:val="both"/>
        <w:rPr>
          <w:rFonts w:eastAsia="Times New Roman"/>
          <w:noProof/>
          <w:sz w:val="24"/>
          <w:szCs w:val="24"/>
          <w:lang w:val="en-US"/>
        </w:rPr>
      </w:pP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Reform 2 on public passenger transport.</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IE"/>
        </w:rPr>
        <w:t xml:space="preserve">The reform aims at </w:t>
      </w:r>
      <w:r>
        <w:rPr>
          <w:rFonts w:ascii="Times New Roman" w:eastAsia="Times New Roman" w:hAnsi="Times New Roman"/>
          <w:noProof/>
          <w:sz w:val="24"/>
          <w:szCs w:val="24"/>
          <w:lang w:val="en-IE"/>
        </w:rPr>
        <w:t>improving the provision of passenger transport. A new transport service plan, followed by the optimisation of rail passenger transport, shall form a major part of the comprehensive reform of public transport. The reform shall be supported by new legislatio</w:t>
      </w:r>
      <w:r>
        <w:rPr>
          <w:rFonts w:ascii="Times New Roman" w:eastAsia="Times New Roman" w:hAnsi="Times New Roman"/>
          <w:noProof/>
          <w:sz w:val="24"/>
          <w:szCs w:val="24"/>
          <w:lang w:val="en-IE"/>
        </w:rPr>
        <w:t xml:space="preserve">n defining rules, responsibilities and obligations in the coordination, ordering and financing of regional bus and train services. The legislation shall define a national authority to coordinate, in cooperation with regional integrators, the creation of a </w:t>
      </w:r>
      <w:r>
        <w:rPr>
          <w:rFonts w:ascii="Times New Roman" w:eastAsia="Times New Roman" w:hAnsi="Times New Roman"/>
          <w:noProof/>
          <w:sz w:val="24"/>
          <w:szCs w:val="24"/>
          <w:lang w:val="en-IE"/>
        </w:rPr>
        <w:t>national integrated transport system with a unified fare, as well as to coordinate the preparation and implementation of public procurement procedures for both public passenger rail services and vehicles purchased with the support of EU funds for the opera</w:t>
      </w:r>
      <w:r>
        <w:rPr>
          <w:rFonts w:ascii="Times New Roman" w:eastAsia="Times New Roman" w:hAnsi="Times New Roman"/>
          <w:noProof/>
          <w:sz w:val="24"/>
          <w:szCs w:val="24"/>
          <w:lang w:val="en-IE"/>
        </w:rPr>
        <w:t>tion of these routes in previous periods. The frequency of rail transport on the lines with the highest potential for transferring traffic from cars to trains shall be increased, allowing for better coordination of regional public bus and train services. T</w:t>
      </w:r>
      <w:r>
        <w:rPr>
          <w:rFonts w:ascii="Times New Roman" w:eastAsia="Times New Roman" w:hAnsi="Times New Roman"/>
          <w:noProof/>
          <w:sz w:val="24"/>
          <w:szCs w:val="24"/>
          <w:lang w:val="en-IE"/>
        </w:rPr>
        <w:t>he following specific measures shall underpin this reform:</w:t>
      </w:r>
      <w:r>
        <w:rPr>
          <w:rFonts w:ascii="Times New Roman" w:eastAsia="Times New Roman" w:hAnsi="Times New Roman"/>
          <w:b/>
          <w:bCs/>
          <w:noProof/>
          <w:sz w:val="24"/>
          <w:szCs w:val="24"/>
          <w:lang w:val="en-IE"/>
        </w:rPr>
        <w:t xml:space="preserve"> </w:t>
      </w:r>
    </w:p>
    <w:p w:rsidR="00BF6749" w:rsidRDefault="00C87555">
      <w:pPr>
        <w:numPr>
          <w:ilvl w:val="0"/>
          <w:numId w:val="28"/>
        </w:numPr>
        <w:spacing w:before="120" w:after="160" w:line="257" w:lineRule="auto"/>
        <w:contextualSpacing/>
        <w:jc w:val="both"/>
        <w:rPr>
          <w:rFonts w:eastAsia="Times New Roman"/>
          <w:noProof/>
          <w:sz w:val="24"/>
          <w:szCs w:val="24"/>
          <w:lang w:val="en-US"/>
        </w:rPr>
      </w:pPr>
      <w:r>
        <w:rPr>
          <w:rFonts w:ascii="Times New Roman" w:eastAsia="Times New Roman" w:hAnsi="Times New Roman"/>
          <w:noProof/>
          <w:sz w:val="24"/>
          <w:szCs w:val="24"/>
          <w:lang w:val="en-IE"/>
        </w:rPr>
        <w:t>By 31 March 2023 a new law shall create public passenger transport standards and streamline the public service order, which is currently fragmented and insufficiently coordinated between the State</w:t>
      </w:r>
      <w:r>
        <w:rPr>
          <w:rFonts w:ascii="Times New Roman" w:eastAsia="Times New Roman" w:hAnsi="Times New Roman"/>
          <w:noProof/>
          <w:sz w:val="24"/>
          <w:szCs w:val="24"/>
          <w:lang w:val="en-IE"/>
        </w:rPr>
        <w:t>, counties, cities and municipalities.</w:t>
      </w:r>
    </w:p>
    <w:p w:rsidR="00BF6749" w:rsidRDefault="00C87555">
      <w:pPr>
        <w:numPr>
          <w:ilvl w:val="0"/>
          <w:numId w:val="28"/>
        </w:numPr>
        <w:spacing w:before="120" w:after="160" w:line="257" w:lineRule="auto"/>
        <w:contextualSpacing/>
        <w:jc w:val="both"/>
        <w:rPr>
          <w:rFonts w:eastAsia="Times New Roman"/>
          <w:noProof/>
          <w:sz w:val="24"/>
          <w:szCs w:val="24"/>
          <w:lang w:val="en-US"/>
        </w:rPr>
      </w:pPr>
      <w:r>
        <w:rPr>
          <w:rFonts w:ascii="Times New Roman" w:eastAsia="Times New Roman" w:hAnsi="Times New Roman"/>
          <w:noProof/>
          <w:sz w:val="24"/>
          <w:szCs w:val="24"/>
          <w:lang w:val="en-IE"/>
        </w:rPr>
        <w:t xml:space="preserve">By 31 December 2023 optimised rail transport graphics shall be published; </w:t>
      </w:r>
    </w:p>
    <w:p w:rsidR="00BF6749" w:rsidRDefault="00C87555">
      <w:pPr>
        <w:numPr>
          <w:ilvl w:val="0"/>
          <w:numId w:val="28"/>
        </w:numPr>
        <w:spacing w:before="120" w:after="160" w:line="257" w:lineRule="auto"/>
        <w:contextualSpacing/>
        <w:jc w:val="both"/>
        <w:rPr>
          <w:rFonts w:eastAsia="Times New Roman"/>
          <w:noProof/>
          <w:sz w:val="24"/>
          <w:szCs w:val="24"/>
          <w:lang w:val="en-US"/>
        </w:rPr>
      </w:pPr>
      <w:r>
        <w:rPr>
          <w:rFonts w:ascii="Times New Roman" w:eastAsia="Times New Roman" w:hAnsi="Times New Roman"/>
          <w:noProof/>
          <w:sz w:val="24"/>
          <w:szCs w:val="24"/>
          <w:lang w:val="en-IE"/>
        </w:rPr>
        <w:t>By 31 December 2026 an integrated transport system is created, allowing multi-modal public passenger transport to travel on a single ticket. I</w:t>
      </w:r>
      <w:r>
        <w:rPr>
          <w:rFonts w:ascii="Times New Roman" w:eastAsia="Times New Roman" w:hAnsi="Times New Roman"/>
          <w:noProof/>
          <w:sz w:val="24"/>
          <w:szCs w:val="24"/>
          <w:lang w:val="en-IE"/>
        </w:rPr>
        <w:t>t shall be operational in at least 6 counties.</w:t>
      </w:r>
    </w:p>
    <w:p w:rsidR="00BF6749" w:rsidRDefault="00BF6749">
      <w:pPr>
        <w:spacing w:before="120" w:after="160" w:line="257" w:lineRule="auto"/>
        <w:contextualSpacing/>
        <w:jc w:val="both"/>
        <w:rPr>
          <w:rFonts w:eastAsia="Times New Roman"/>
          <w:noProof/>
          <w:sz w:val="24"/>
          <w:szCs w:val="24"/>
          <w:lang w:val="en-US"/>
        </w:rPr>
      </w:pPr>
    </w:p>
    <w:p w:rsidR="00BF6749" w:rsidRDefault="00C87555">
      <w:pPr>
        <w:spacing w:before="120" w:after="160" w:line="257" w:lineRule="auto"/>
        <w:contextualSpacing/>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The last milestone related to the implementation of the reform shall be completed by 30 June 2026. </w:t>
      </w:r>
    </w:p>
    <w:p w:rsidR="00BF6749" w:rsidRDefault="00BF6749">
      <w:pPr>
        <w:spacing w:before="120" w:after="160" w:line="257" w:lineRule="auto"/>
        <w:contextualSpacing/>
        <w:jc w:val="both"/>
        <w:rPr>
          <w:rFonts w:eastAsia="Times New Roman"/>
          <w:noProof/>
          <w:sz w:val="24"/>
          <w:szCs w:val="24"/>
          <w:lang w:val="en-US"/>
        </w:rPr>
      </w:pPr>
    </w:p>
    <w:p w:rsidR="00BF6749" w:rsidRDefault="00C87555">
      <w:pPr>
        <w:spacing w:before="120" w:after="120" w:line="257" w:lineRule="auto"/>
        <w:jc w:val="both"/>
        <w:rPr>
          <w:rFonts w:ascii="Times New Roman" w:eastAsia="Times New Roman" w:hAnsi="Times New Roman"/>
          <w:noProof/>
          <w:sz w:val="24"/>
          <w:szCs w:val="24"/>
          <w:lang w:val="en-US"/>
        </w:rPr>
      </w:pPr>
      <w:r>
        <w:rPr>
          <w:rFonts w:ascii="Times New Roman" w:eastAsia="Times New Roman" w:hAnsi="Times New Roman"/>
          <w:b/>
          <w:noProof/>
          <w:sz w:val="24"/>
          <w:szCs w:val="24"/>
          <w:lang w:val="en-IE"/>
        </w:rPr>
        <w:t>Reform 3 on intermodal freight transport</w:t>
      </w:r>
      <w:r>
        <w:rPr>
          <w:rFonts w:ascii="Times New Roman" w:eastAsia="Times New Roman" w:hAnsi="Times New Roman"/>
          <w:b/>
          <w:bCs/>
          <w:noProof/>
          <w:sz w:val="24"/>
          <w:szCs w:val="24"/>
          <w:lang w:val="en-IE"/>
        </w:rPr>
        <w:t>.</w:t>
      </w:r>
    </w:p>
    <w:p w:rsidR="00BF6749" w:rsidRDefault="00C87555">
      <w:pPr>
        <w:spacing w:before="120" w:after="120" w:line="257"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reform shall support increased inter-modality through procure</w:t>
      </w:r>
      <w:r>
        <w:rPr>
          <w:rFonts w:ascii="Times New Roman" w:eastAsia="Times New Roman" w:hAnsi="Times New Roman"/>
          <w:noProof/>
          <w:sz w:val="24"/>
          <w:szCs w:val="24"/>
          <w:lang w:val="en-IE"/>
        </w:rPr>
        <w:t>ment, the coordination of logistics and promoting the launch of new intermodal routes. The objective of this reform is to shift 30 % of road transport over 300 km to rail or waterborne by 2030 and over 50 % to 2050 (compared to 2005). It shall do so notabl</w:t>
      </w:r>
      <w:r>
        <w:rPr>
          <w:rFonts w:ascii="Times New Roman" w:eastAsia="Times New Roman" w:hAnsi="Times New Roman"/>
          <w:noProof/>
          <w:sz w:val="24"/>
          <w:szCs w:val="24"/>
          <w:lang w:val="en-IE"/>
        </w:rPr>
        <w:t>y by promoting the interest of carriers in shifting road freight to rail/intermodal transport, as well as preventing further modal shift of rail transport. The preparation and approval of a Concept of intermodal transport development, including the proposa</w:t>
      </w:r>
      <w:r>
        <w:rPr>
          <w:rFonts w:ascii="Times New Roman" w:eastAsia="Times New Roman" w:hAnsi="Times New Roman"/>
          <w:noProof/>
          <w:sz w:val="24"/>
          <w:szCs w:val="24"/>
          <w:lang w:val="en-IE"/>
        </w:rPr>
        <w:t xml:space="preserve">l for necessary legislative changes, shall make it possible to adopt measures for the systemic development of environmentally friendly freight transport modes. Support shall be aimed at removing technical problems in the transition to intermodal transport </w:t>
      </w:r>
      <w:r>
        <w:rPr>
          <w:rFonts w:ascii="Times New Roman" w:eastAsia="Times New Roman" w:hAnsi="Times New Roman"/>
          <w:noProof/>
          <w:sz w:val="24"/>
          <w:szCs w:val="24"/>
          <w:lang w:val="en-IE"/>
        </w:rPr>
        <w:t xml:space="preserve">and making it more attractive. </w:t>
      </w:r>
    </w:p>
    <w:p w:rsidR="00BF6749" w:rsidRDefault="00C87555">
      <w:pPr>
        <w:spacing w:before="120" w:after="120" w:line="257"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IE"/>
        </w:rPr>
        <w:t xml:space="preserve">The implementation of the reform is expected to start </w:t>
      </w:r>
      <w:r>
        <w:rPr>
          <w:rFonts w:ascii="Times New Roman" w:eastAsia="Times New Roman" w:hAnsi="Times New Roman"/>
          <w:noProof/>
          <w:color w:val="000000"/>
          <w:sz w:val="24"/>
          <w:szCs w:val="24"/>
          <w:lang w:val="en"/>
        </w:rPr>
        <w:t>by 31 December 2021 and shall be completed by 31 December 2022.</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lang w:val="en-IE"/>
        </w:rPr>
        <w:t>Reform 4 on the introduction of new policies for the long-term promotion of alternative fuels in the trans</w:t>
      </w:r>
      <w:r>
        <w:rPr>
          <w:rFonts w:ascii="Times New Roman" w:eastAsia="Times New Roman" w:hAnsi="Times New Roman"/>
          <w:b/>
          <w:noProof/>
          <w:sz w:val="24"/>
          <w:szCs w:val="24"/>
          <w:lang w:val="en-IE"/>
        </w:rPr>
        <w:t>port sector</w:t>
      </w:r>
      <w:r>
        <w:rPr>
          <w:rFonts w:ascii="Times New Roman" w:eastAsia="Times New Roman" w:hAnsi="Times New Roman"/>
          <w:b/>
          <w:bCs/>
          <w:noProof/>
          <w:sz w:val="24"/>
          <w:szCs w:val="24"/>
          <w:lang w:val="en-IE"/>
        </w:rPr>
        <w:t>.</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reform shall be supported through the entry into force, by 31 December 2022 of new legislative measures shall reform distribution tariffs, simplify and accelerate the process of constructing alternative propulsion infrastructure. They shal</w:t>
      </w:r>
      <w:r>
        <w:rPr>
          <w:rFonts w:ascii="Times New Roman" w:eastAsia="Times New Roman" w:hAnsi="Times New Roman"/>
          <w:noProof/>
          <w:sz w:val="24"/>
          <w:szCs w:val="24"/>
          <w:lang w:val="en-IE"/>
        </w:rPr>
        <w:t>l also introduce a ‘Recharging Point Rights’ and a stable, predictable multi-annual framework to support the construction of relevant alternative propulsion infrastructure.</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Investment 1 on the development of low-carbon transport infrastructure.</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investm</w:t>
      </w:r>
      <w:r>
        <w:rPr>
          <w:rFonts w:ascii="Times New Roman" w:eastAsia="Times New Roman" w:hAnsi="Times New Roman"/>
          <w:noProof/>
          <w:sz w:val="24"/>
          <w:szCs w:val="24"/>
          <w:lang w:val="en-IE"/>
        </w:rPr>
        <w:t xml:space="preserve">ent shall support decarbonisation by electrification of railway lines, upgrading railway lines, by constructing or modernising tram and trolleybus lines, and constructing cycling infrastructure. A "redesign of the European Timetabling Process – TTR" shall </w:t>
      </w:r>
      <w:r>
        <w:rPr>
          <w:rFonts w:ascii="Times New Roman" w:eastAsia="Times New Roman" w:hAnsi="Times New Roman"/>
          <w:noProof/>
          <w:sz w:val="24"/>
          <w:szCs w:val="24"/>
          <w:lang w:val="en-IE"/>
        </w:rPr>
        <w:t>take place and a new security system based on digital technologies shall be introduced to enable the automation of rail traffic management. The investment shall be based on Reform 1.</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implementation of the investment shall be completed by 30 June 2026.</w:t>
      </w:r>
    </w:p>
    <w:p w:rsidR="00BF6749" w:rsidRDefault="00BF6749">
      <w:pPr>
        <w:spacing w:before="120" w:after="120" w:line="240" w:lineRule="auto"/>
        <w:jc w:val="both"/>
        <w:rPr>
          <w:rFonts w:ascii="Times New Roman" w:hAnsi="Times New Roman"/>
          <w:noProof/>
          <w:sz w:val="24"/>
          <w:szCs w:val="24"/>
          <w:lang w:val="en-IE"/>
        </w:rPr>
      </w:pP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Investment 2 promoting clean passenger transport.</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IE"/>
        </w:rPr>
        <w:t>The investment shall do so</w:t>
      </w:r>
      <w:r>
        <w:rPr>
          <w:rFonts w:ascii="Times New Roman" w:eastAsia="Times New Roman" w:hAnsi="Times New Roman"/>
          <w:b/>
          <w:bCs/>
          <w:noProof/>
          <w:sz w:val="24"/>
          <w:szCs w:val="24"/>
          <w:lang w:val="en-IE"/>
        </w:rPr>
        <w:t xml:space="preserve"> </w:t>
      </w:r>
      <w:r>
        <w:rPr>
          <w:rFonts w:ascii="Times New Roman" w:eastAsia="Times New Roman" w:hAnsi="Times New Roman"/>
          <w:noProof/>
          <w:sz w:val="24"/>
          <w:szCs w:val="24"/>
          <w:lang w:val="en-IE"/>
        </w:rPr>
        <w:t xml:space="preserve">by increasing the attractiveness of rail passenger transport and downstream suburban and urban transport. In densely populated peri-urban areas and on major transport corridors </w:t>
      </w:r>
      <w:r>
        <w:rPr>
          <w:rFonts w:ascii="Times New Roman" w:eastAsia="Times New Roman" w:hAnsi="Times New Roman"/>
          <w:noProof/>
          <w:sz w:val="24"/>
          <w:szCs w:val="24"/>
          <w:lang w:val="en-IE"/>
        </w:rPr>
        <w:t>between major cities and metropolitan areas, the supply of connections shall be increased. New or upgraded rolling stock shall be put into operation. Investments shall be carried out in the form of dedicated subsidies on a non-discriminatory basis using to</w:t>
      </w:r>
      <w:r>
        <w:rPr>
          <w:rFonts w:ascii="Times New Roman" w:eastAsia="Times New Roman" w:hAnsi="Times New Roman"/>
          <w:noProof/>
          <w:sz w:val="24"/>
          <w:szCs w:val="24"/>
          <w:lang w:val="en-IE"/>
        </w:rPr>
        <w:t>ols for analysing traffic data and data.</w:t>
      </w:r>
      <w:r>
        <w:rPr>
          <w:rFonts w:ascii="Times New Roman" w:eastAsia="Times New Roman" w:hAnsi="Times New Roman"/>
          <w:noProof/>
          <w:sz w:val="24"/>
          <w:szCs w:val="24"/>
        </w:rPr>
        <w:t xml:space="preserve"> The investment is supported by Reform 2. </w:t>
      </w:r>
    </w:p>
    <w:p w:rsidR="00BF6749" w:rsidRDefault="00C87555">
      <w:pPr>
        <w:spacing w:before="120" w:after="120" w:line="240" w:lineRule="auto"/>
        <w:jc w:val="both"/>
        <w:rPr>
          <w:rFonts w:ascii="Times New Roman" w:hAnsi="Times New Roman"/>
          <w:noProof/>
          <w:sz w:val="24"/>
          <w:szCs w:val="24"/>
          <w:lang w:val="en-IE"/>
        </w:rPr>
      </w:pPr>
      <w:r>
        <w:rPr>
          <w:rFonts w:ascii="Times New Roman" w:eastAsia="Times New Roman" w:hAnsi="Times New Roman"/>
          <w:noProof/>
          <w:sz w:val="24"/>
          <w:szCs w:val="24"/>
          <w:lang w:val="en-IE"/>
        </w:rPr>
        <w:t>The implementation of the investment shall be completed by 30 June 2025.</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Investment 3 on the development of intermodal freight transport.</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IE"/>
        </w:rPr>
        <w:t>The investment shall support the pu</w:t>
      </w:r>
      <w:r>
        <w:rPr>
          <w:rFonts w:ascii="Times New Roman" w:eastAsia="Times New Roman" w:hAnsi="Times New Roman"/>
          <w:noProof/>
          <w:sz w:val="24"/>
          <w:szCs w:val="24"/>
          <w:lang w:val="en-IE"/>
        </w:rPr>
        <w:t>rchase of intermodal transport units and loading facilities involving private capital and the launch of new intermodal routes on selected routes. In order to increase the volume of transport in more environmentally friendly intermodal transport, the</w:t>
      </w:r>
      <w:r>
        <w:rPr>
          <w:rFonts w:ascii="Times New Roman" w:eastAsia="Times New Roman" w:hAnsi="Times New Roman"/>
          <w:noProof/>
          <w:sz w:val="24"/>
          <w:szCs w:val="24"/>
          <w:lang w:val="en"/>
        </w:rPr>
        <w:t xml:space="preserve"> State </w:t>
      </w:r>
      <w:r>
        <w:rPr>
          <w:rFonts w:ascii="Times New Roman" w:eastAsia="Times New Roman" w:hAnsi="Times New Roman"/>
          <w:noProof/>
          <w:sz w:val="24"/>
          <w:szCs w:val="24"/>
          <w:lang w:val="en"/>
        </w:rPr>
        <w:t>shall encourage the purchase of intermodal transport units and loading facilities involving private capital. At the same time, the State shall provide support for the launch of new intermodal routes on selected routes. The envisaged State aid schemes fores</w:t>
      </w:r>
      <w:r>
        <w:rPr>
          <w:rFonts w:ascii="Times New Roman" w:eastAsia="Times New Roman" w:hAnsi="Times New Roman"/>
          <w:noProof/>
          <w:sz w:val="24"/>
          <w:szCs w:val="24"/>
          <w:lang w:val="en"/>
        </w:rPr>
        <w:t>ee (subject to their approval by the European Commission) only partial funding from the mechanism and the selection of companies that shall receive support following public calls with clearly defined non-discriminatory rules.</w:t>
      </w:r>
    </w:p>
    <w:p w:rsidR="00BF6749" w:rsidRDefault="00C87555">
      <w:pPr>
        <w:spacing w:before="120" w:after="120" w:line="240" w:lineRule="auto"/>
        <w:jc w:val="both"/>
        <w:rPr>
          <w:rFonts w:ascii="Times New Roman" w:hAnsi="Times New Roman"/>
          <w:noProof/>
          <w:sz w:val="24"/>
          <w:szCs w:val="24"/>
          <w:lang w:val="en-IE"/>
        </w:rPr>
      </w:pPr>
      <w:r>
        <w:rPr>
          <w:rFonts w:ascii="Times New Roman" w:eastAsia="Times New Roman" w:hAnsi="Times New Roman"/>
          <w:noProof/>
          <w:sz w:val="24"/>
          <w:szCs w:val="24"/>
          <w:lang w:val="en-IE"/>
        </w:rPr>
        <w:t>The implementation of the inve</w:t>
      </w:r>
      <w:r>
        <w:rPr>
          <w:rFonts w:ascii="Times New Roman" w:eastAsia="Times New Roman" w:hAnsi="Times New Roman"/>
          <w:noProof/>
          <w:sz w:val="24"/>
          <w:szCs w:val="24"/>
          <w:lang w:val="en-IE"/>
        </w:rPr>
        <w:t>stment shall be completed by 30 June 2026.</w:t>
      </w:r>
    </w:p>
    <w:p w:rsidR="00BF6749" w:rsidRDefault="00BF6749">
      <w:pPr>
        <w:spacing w:before="120" w:after="120" w:line="240" w:lineRule="auto"/>
        <w:jc w:val="both"/>
        <w:rPr>
          <w:rFonts w:ascii="Times New Roman" w:hAnsi="Times New Roman"/>
          <w:noProof/>
          <w:sz w:val="24"/>
          <w:szCs w:val="24"/>
          <w:lang w:val="en"/>
        </w:rPr>
      </w:pP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Investment 4 on the support for the construction of alternative propulsion infrastructure.</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IE"/>
        </w:rPr>
        <w:t>The investment shall focus on recharging points for electric cars and hydrogen refuelling points. A financial mechanism o</w:t>
      </w:r>
      <w:r>
        <w:rPr>
          <w:rFonts w:ascii="Times New Roman" w:eastAsia="Times New Roman" w:hAnsi="Times New Roman"/>
          <w:noProof/>
          <w:sz w:val="24"/>
          <w:szCs w:val="24"/>
          <w:lang w:val="en-IE"/>
        </w:rPr>
        <w:t>f aid schemes for the construction of recharging points for electric cars and hydrogen refuelling points shall be established. The system shall ensure the construction of the skeletal infrastructure of ultra-fast-absorbing points, the available charging in</w:t>
      </w:r>
      <w:r>
        <w:rPr>
          <w:rFonts w:ascii="Times New Roman" w:eastAsia="Times New Roman" w:hAnsi="Times New Roman"/>
          <w:noProof/>
          <w:sz w:val="24"/>
          <w:szCs w:val="24"/>
          <w:lang w:val="en-IE"/>
        </w:rPr>
        <w:t>frastructure at the level of all districts of the Slovak Republic, thereby encouraging the faster development of alternative-fuel passenger and freight transport, leading to the modernisation of the vehicle fleet in order to reduce overall emissions in roa</w:t>
      </w:r>
      <w:r>
        <w:rPr>
          <w:rFonts w:ascii="Times New Roman" w:eastAsia="Times New Roman" w:hAnsi="Times New Roman"/>
          <w:noProof/>
          <w:sz w:val="24"/>
          <w:szCs w:val="24"/>
          <w:lang w:val="en-IE"/>
        </w:rPr>
        <w:t>d transport. This investment is supported by Reform 3.</w:t>
      </w:r>
    </w:p>
    <w:p w:rsidR="00BF6749" w:rsidRDefault="00C87555">
      <w:pPr>
        <w:spacing w:before="120" w:after="120" w:line="240" w:lineRule="auto"/>
        <w:jc w:val="both"/>
        <w:rPr>
          <w:rFonts w:ascii="Times New Roman" w:hAnsi="Times New Roman"/>
          <w:noProof/>
          <w:sz w:val="24"/>
          <w:szCs w:val="24"/>
          <w:lang w:val="en-IE"/>
        </w:rPr>
      </w:pPr>
      <w:r>
        <w:rPr>
          <w:rFonts w:ascii="Times New Roman" w:eastAsia="Times New Roman" w:hAnsi="Times New Roman"/>
          <w:noProof/>
          <w:sz w:val="24"/>
          <w:szCs w:val="24"/>
          <w:lang w:val="en-IE"/>
        </w:rPr>
        <w:t>The implementation of the investment shall be completed by 30 June 2026.</w:t>
      </w:r>
    </w:p>
    <w:p w:rsidR="00BF6749" w:rsidRDefault="00BF6749">
      <w:pPr>
        <w:tabs>
          <w:tab w:val="left" w:pos="993"/>
        </w:tabs>
        <w:spacing w:before="120" w:after="120" w:line="240" w:lineRule="auto"/>
        <w:jc w:val="both"/>
        <w:rPr>
          <w:rFonts w:ascii="Times New Roman" w:hAnsi="Times New Roman"/>
          <w:noProof/>
          <w:sz w:val="24"/>
          <w:szCs w:val="24"/>
        </w:rPr>
      </w:pPr>
    </w:p>
    <w:p w:rsidR="00BF6749" w:rsidRDefault="00BF6749">
      <w:pPr>
        <w:spacing w:before="120" w:after="120" w:line="240" w:lineRule="auto"/>
        <w:ind w:left="850"/>
        <w:jc w:val="both"/>
        <w:rPr>
          <w:rFonts w:ascii="Times New Roman" w:hAnsi="Times New Roman"/>
          <w:b/>
          <w:noProof/>
          <w:sz w:val="24"/>
          <w:highlight w:val="red"/>
          <w:u w:val="single"/>
        </w:rPr>
        <w:sectPr w:rsidR="00BF6749">
          <w:headerReference w:type="even" r:id="rId42"/>
          <w:headerReference w:type="default" r:id="rId43"/>
          <w:footerReference w:type="even" r:id="rId44"/>
          <w:footerReference w:type="default" r:id="rId45"/>
          <w:headerReference w:type="first" r:id="rId46"/>
          <w:footerReference w:type="first" r:id="rId47"/>
          <w:pgSz w:w="11907" w:h="16839"/>
          <w:pgMar w:top="1134" w:right="1418" w:bottom="1134" w:left="1418" w:header="709" w:footer="709" w:gutter="0"/>
          <w:cols w:space="720"/>
          <w:docGrid w:linePitch="360"/>
        </w:sectPr>
      </w:pPr>
    </w:p>
    <w:p w:rsidR="00BF6749" w:rsidRDefault="00BF6749">
      <w:pPr>
        <w:tabs>
          <w:tab w:val="left" w:pos="993"/>
        </w:tabs>
        <w:spacing w:before="120" w:after="120" w:line="240" w:lineRule="auto"/>
        <w:ind w:left="850"/>
        <w:jc w:val="both"/>
        <w:rPr>
          <w:rFonts w:ascii="Times New Roman" w:hAnsi="Times New Roman"/>
          <w:b/>
          <w:bCs/>
          <w:noProof/>
          <w:sz w:val="24"/>
          <w:szCs w:val="24"/>
          <w:u w:val="single"/>
        </w:rPr>
      </w:pPr>
    </w:p>
    <w:p w:rsidR="00BF6749" w:rsidRDefault="00C87555">
      <w:pPr>
        <w:tabs>
          <w:tab w:val="left" w:pos="993"/>
        </w:tabs>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 xml:space="preserve">Milestones, targets, indicators, and timetable for monitoring and implementation for non-repayable financial support </w:t>
      </w:r>
    </w:p>
    <w:p w:rsidR="00BF6749" w:rsidRDefault="00BF6749">
      <w:pPr>
        <w:tabs>
          <w:tab w:val="left" w:pos="993"/>
        </w:tabs>
        <w:spacing w:before="120" w:after="120" w:line="240" w:lineRule="auto"/>
        <w:ind w:left="850"/>
        <w:jc w:val="both"/>
        <w:rPr>
          <w:rFonts w:ascii="Times New Roman" w:hAnsi="Times New Roman"/>
          <w:b/>
          <w:bCs/>
          <w:noProof/>
          <w:sz w:val="24"/>
          <w:szCs w:val="24"/>
          <w:u w:val="single"/>
        </w:rPr>
      </w:pPr>
    </w:p>
    <w:tbl>
      <w:tblPr>
        <w:tblW w:w="0" w:type="auto"/>
        <w:tblLayout w:type="fixed"/>
        <w:tblLook w:val="04A0" w:firstRow="1" w:lastRow="0" w:firstColumn="1" w:lastColumn="0" w:noHBand="0" w:noVBand="1"/>
      </w:tblPr>
      <w:tblGrid>
        <w:gridCol w:w="817"/>
        <w:gridCol w:w="1276"/>
        <w:gridCol w:w="1134"/>
        <w:gridCol w:w="850"/>
        <w:gridCol w:w="1276"/>
        <w:gridCol w:w="1276"/>
        <w:gridCol w:w="992"/>
        <w:gridCol w:w="992"/>
        <w:gridCol w:w="993"/>
        <w:gridCol w:w="992"/>
        <w:gridCol w:w="3966"/>
      </w:tblGrid>
      <w:tr w:rsidR="00BF6749">
        <w:trPr>
          <w:trHeight w:val="1530"/>
        </w:trPr>
        <w:tc>
          <w:tcPr>
            <w:tcW w:w="81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Seq. Num.</w:t>
            </w:r>
          </w:p>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Related measure (Reform or Investment)</w:t>
            </w:r>
          </w:p>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 xml:space="preserve"> </w:t>
            </w:r>
          </w:p>
        </w:tc>
        <w:tc>
          <w:tcPr>
            <w:tcW w:w="1134"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Milestone / Target</w:t>
            </w:r>
          </w:p>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 xml:space="preserve"> </w:t>
            </w:r>
          </w:p>
        </w:tc>
        <w:tc>
          <w:tcPr>
            <w:tcW w:w="850"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Name</w:t>
            </w:r>
          </w:p>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noProof/>
                <w:sz w:val="20"/>
                <w:szCs w:val="20"/>
              </w:rPr>
              <w:t xml:space="preserve"> (for milestones)</w:t>
            </w:r>
          </w:p>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 xml:space="preserve"> </w:t>
            </w:r>
          </w:p>
        </w:tc>
        <w:tc>
          <w:tcPr>
            <w:tcW w:w="326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Quantitative</w:t>
            </w:r>
            <w:r>
              <w:rPr>
                <w:rFonts w:ascii="Times New Roman" w:eastAsia="Times New Roman" w:hAnsi="Times New Roman"/>
                <w:b/>
                <w:noProof/>
                <w:sz w:val="20"/>
                <w:szCs w:val="20"/>
              </w:rPr>
              <w:t xml:space="preserve"> indicators</w:t>
            </w:r>
            <w:r>
              <w:rPr>
                <w:rFonts w:ascii="Times New Roman" w:hAnsi="Times New Roman"/>
                <w:noProof/>
                <w:sz w:val="20"/>
                <w:szCs w:val="20"/>
              </w:rPr>
              <w:t xml:space="preserve">  </w:t>
            </w:r>
            <w:r>
              <w:rPr>
                <w:rFonts w:ascii="Times New Roman" w:eastAsia="Times New Roman" w:hAnsi="Times New Roman"/>
                <w:b/>
                <w:noProof/>
                <w:sz w:val="20"/>
                <w:szCs w:val="20"/>
              </w:rPr>
              <w:t xml:space="preserve"> (for targets)</w:t>
            </w:r>
          </w:p>
        </w:tc>
        <w:tc>
          <w:tcPr>
            <w:tcW w:w="1985"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966" w:type="dxa"/>
            <w:vMerge w:val="restart"/>
            <w:tcBorders>
              <w:top w:val="single" w:sz="8" w:space="0" w:color="auto"/>
              <w:left w:val="nil"/>
              <w:right w:val="single" w:sz="8" w:space="0" w:color="auto"/>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Description and clear definition of each milestone and target</w:t>
            </w:r>
          </w:p>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 xml:space="preserve"> </w:t>
            </w:r>
          </w:p>
        </w:tc>
      </w:tr>
      <w:tr w:rsidR="00BF6749">
        <w:trPr>
          <w:trHeight w:val="600"/>
        </w:trPr>
        <w:tc>
          <w:tcPr>
            <w:tcW w:w="817" w:type="dxa"/>
            <w:vMerge/>
            <w:tcBorders>
              <w:left w:val="single" w:sz="8" w:space="0" w:color="auto"/>
              <w:bottom w:val="single" w:sz="8" w:space="0" w:color="auto"/>
              <w:right w:val="single" w:sz="8" w:space="0" w:color="auto"/>
            </w:tcBorders>
            <w:shd w:val="clear" w:color="auto" w:fill="BDD7EE"/>
            <w:vAlign w:val="center"/>
          </w:tcPr>
          <w:p w:rsidR="00BF6749" w:rsidRDefault="00BF6749">
            <w:pPr>
              <w:spacing w:before="120" w:after="120" w:line="240" w:lineRule="auto"/>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BF6749" w:rsidRDefault="00BF6749">
            <w:pPr>
              <w:spacing w:before="120" w:after="120" w:line="240" w:lineRule="auto"/>
              <w:jc w:val="center"/>
              <w:rPr>
                <w:rFonts w:ascii="Times New Roman" w:hAnsi="Times New Roman"/>
                <w:noProof/>
                <w:sz w:val="20"/>
                <w:szCs w:val="20"/>
              </w:rPr>
            </w:pPr>
          </w:p>
        </w:tc>
        <w:tc>
          <w:tcPr>
            <w:tcW w:w="1134" w:type="dxa"/>
            <w:vMerge/>
            <w:tcBorders>
              <w:left w:val="single" w:sz="8" w:space="0" w:color="auto"/>
              <w:bottom w:val="single" w:sz="8" w:space="0" w:color="auto"/>
              <w:right w:val="single" w:sz="8" w:space="0" w:color="auto"/>
            </w:tcBorders>
            <w:shd w:val="clear" w:color="auto" w:fill="BDD7EE"/>
            <w:vAlign w:val="center"/>
          </w:tcPr>
          <w:p w:rsidR="00BF6749" w:rsidRDefault="00BF6749">
            <w:pPr>
              <w:spacing w:before="120" w:after="120" w:line="240" w:lineRule="auto"/>
              <w:jc w:val="center"/>
              <w:rPr>
                <w:rFonts w:ascii="Times New Roman" w:hAnsi="Times New Roman"/>
                <w:noProof/>
                <w:sz w:val="20"/>
                <w:szCs w:val="20"/>
              </w:rPr>
            </w:pPr>
          </w:p>
        </w:tc>
        <w:tc>
          <w:tcPr>
            <w:tcW w:w="850" w:type="dxa"/>
            <w:vMerge/>
            <w:tcBorders>
              <w:left w:val="single" w:sz="8" w:space="0" w:color="auto"/>
              <w:bottom w:val="single" w:sz="8" w:space="0" w:color="auto"/>
              <w:right w:val="single" w:sz="8" w:space="0" w:color="auto"/>
            </w:tcBorders>
            <w:shd w:val="clear" w:color="auto" w:fill="BDD7EE"/>
            <w:vAlign w:val="center"/>
          </w:tcPr>
          <w:p w:rsidR="00BF6749" w:rsidRDefault="00BF6749">
            <w:pPr>
              <w:spacing w:before="120" w:after="120" w:line="240" w:lineRule="auto"/>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BF6749" w:rsidRDefault="00BF6749">
            <w:pPr>
              <w:spacing w:before="120" w:after="120" w:line="240" w:lineRule="auto"/>
              <w:jc w:val="cente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unit of measure</w:t>
            </w:r>
          </w:p>
        </w:tc>
        <w:tc>
          <w:tcPr>
            <w:tcW w:w="992"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Baseline</w:t>
            </w:r>
          </w:p>
        </w:tc>
        <w:tc>
          <w:tcPr>
            <w:tcW w:w="992"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Goal</w:t>
            </w:r>
          </w:p>
        </w:tc>
        <w:tc>
          <w:tcPr>
            <w:tcW w:w="993"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Quarter</w:t>
            </w:r>
          </w:p>
        </w:tc>
        <w:tc>
          <w:tcPr>
            <w:tcW w:w="992"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spacing w:before="120" w:after="120" w:line="240" w:lineRule="auto"/>
              <w:jc w:val="center"/>
              <w:rPr>
                <w:rFonts w:ascii="Times New Roman" w:hAnsi="Times New Roman"/>
                <w:noProof/>
                <w:sz w:val="20"/>
                <w:szCs w:val="20"/>
              </w:rPr>
            </w:pPr>
            <w:r>
              <w:rPr>
                <w:rFonts w:ascii="Times New Roman" w:eastAsia="Times New Roman" w:hAnsi="Times New Roman"/>
                <w:b/>
                <w:noProof/>
                <w:sz w:val="20"/>
                <w:szCs w:val="20"/>
              </w:rPr>
              <w:t>Year</w:t>
            </w:r>
          </w:p>
        </w:tc>
        <w:tc>
          <w:tcPr>
            <w:tcW w:w="3966" w:type="dxa"/>
            <w:vMerge/>
            <w:tcBorders>
              <w:left w:val="single" w:sz="8" w:space="0" w:color="auto"/>
              <w:bottom w:val="single" w:sz="8" w:space="0" w:color="auto"/>
              <w:right w:val="single" w:sz="8" w:space="0" w:color="auto"/>
            </w:tcBorders>
            <w:shd w:val="clear" w:color="auto" w:fill="BDD7EE"/>
            <w:vAlign w:val="center"/>
          </w:tcPr>
          <w:p w:rsidR="00BF6749" w:rsidRDefault="00BF6749">
            <w:pPr>
              <w:spacing w:before="120" w:after="120" w:line="240" w:lineRule="auto"/>
              <w:jc w:val="center"/>
              <w:rPr>
                <w:rFonts w:ascii="Times New Roman" w:hAnsi="Times New Roman"/>
                <w:noProof/>
                <w:sz w:val="20"/>
                <w:szCs w:val="20"/>
              </w:rPr>
            </w:pPr>
          </w:p>
        </w:tc>
      </w:tr>
      <w:tr w:rsidR="00BF6749">
        <w:trPr>
          <w:trHeight w:val="94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Sustainable Transport – Reform 1: Reform of the preparation of transport investment projects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Investment plan for railway infrastructure projects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Publication of the implementation plan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2021</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The Ministry of Transport and</w:t>
            </w:r>
            <w:r>
              <w:rPr>
                <w:rFonts w:ascii="Times New Roman" w:hAnsi="Times New Roman"/>
                <w:noProof/>
                <w:color w:val="006100"/>
                <w:sz w:val="20"/>
                <w:szCs w:val="20"/>
              </w:rPr>
              <w:t xml:space="preserve"> Construction, in cooperation with the Ministry of Finance, shall prepare and publish an investment plan for railway infrastructure projects containing the methodology, priorities and timetable for the construction of the infrastructure. A published invest</w:t>
            </w:r>
            <w:r>
              <w:rPr>
                <w:rFonts w:ascii="Times New Roman" w:hAnsi="Times New Roman"/>
                <w:noProof/>
                <w:color w:val="006100"/>
                <w:sz w:val="20"/>
                <w:szCs w:val="20"/>
              </w:rPr>
              <w:t>ment plan for railway infrastructure projects prioritising projects according to their value for money shall ensure the long-term stability of their preparation and implementation of railway infrastructure projects.</w:t>
            </w:r>
          </w:p>
        </w:tc>
      </w:tr>
      <w:tr w:rsidR="00BF6749">
        <w:trPr>
          <w:trHeight w:val="8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Sustainable Transport – Reform 1:</w:t>
            </w:r>
            <w:r>
              <w:rPr>
                <w:rFonts w:ascii="Times New Roman" w:hAnsi="Times New Roman"/>
                <w:noProof/>
                <w:color w:val="006100"/>
                <w:sz w:val="20"/>
                <w:szCs w:val="20"/>
              </w:rPr>
              <w:t xml:space="preserve"> Reform of the preparation of transport investment projects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  Methodology for selecting, preparing and implementing projects for cycling</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Publication of the methodology</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2021</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The methodology shall determine how to identify projects with the highest value for money possible and contribute to the objective of passenger modal shift from individual road transport to cycling. </w:t>
            </w:r>
          </w:p>
        </w:tc>
      </w:tr>
      <w:tr w:rsidR="00BF6749">
        <w:trPr>
          <w:trHeight w:val="2416"/>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Sustainable Transport – Reform 1: Reform of the </w:t>
            </w:r>
            <w:r>
              <w:rPr>
                <w:rFonts w:ascii="Times New Roman" w:hAnsi="Times New Roman"/>
                <w:noProof/>
                <w:color w:val="006100"/>
                <w:sz w:val="20"/>
                <w:szCs w:val="20"/>
              </w:rPr>
              <w:t>preparation of transport investment projects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The amendment to the Railways Act and related legislation on transport infrastructure parameters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Entry into force  of an amendment to the Railway Act by the National Council of the SR and </w:t>
            </w:r>
          </w:p>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adoption of </w:t>
            </w:r>
            <w:r>
              <w:rPr>
                <w:rFonts w:ascii="Times New Roman" w:hAnsi="Times New Roman"/>
                <w:noProof/>
                <w:color w:val="006100"/>
                <w:sz w:val="20"/>
                <w:szCs w:val="20"/>
              </w:rPr>
              <w:t xml:space="preserve">an amendment to the Decree No. 350/2010 Coll.. on the construction and technical order of railway lines by the Ministry of Transport and Construction]  and entry into force of the  legislation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C6EFCE"/>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The legislative amendments shall  simplify and s</w:t>
            </w:r>
            <w:r>
              <w:rPr>
                <w:rFonts w:ascii="Times New Roman" w:hAnsi="Times New Roman"/>
                <w:noProof/>
                <w:color w:val="006100"/>
                <w:sz w:val="20"/>
                <w:szCs w:val="20"/>
              </w:rPr>
              <w:t>treamline the legislative and technical requirements for transport infrastructure parameters, in line with good practice in other EU countries and European legislation, which shall create conditions to accelerate the pace of preparation of railway infrastr</w:t>
            </w:r>
            <w:r>
              <w:rPr>
                <w:rFonts w:ascii="Times New Roman" w:hAnsi="Times New Roman"/>
                <w:noProof/>
                <w:color w:val="006100"/>
                <w:sz w:val="20"/>
                <w:szCs w:val="20"/>
              </w:rPr>
              <w:t xml:space="preserve">ucture upgrades, reduce the cost per kilometre of modernised line and enable faster and safer railways to be built earlier. </w:t>
            </w:r>
          </w:p>
        </w:tc>
      </w:tr>
      <w:tr w:rsidR="00BF6749">
        <w:trPr>
          <w:trHeight w:val="31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Sustainable Transport – Reform 2: Public passenger transport reform</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New law on public passenger transport</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Entry </w:t>
            </w:r>
            <w:r>
              <w:rPr>
                <w:rFonts w:ascii="Times New Roman" w:hAnsi="Times New Roman"/>
                <w:noProof/>
                <w:color w:val="006100"/>
                <w:sz w:val="20"/>
                <w:szCs w:val="20"/>
              </w:rPr>
              <w:t>into force of the Act on Public Passenger Transport by the National Council of the Slovak Republic  and entry into force  of legislation to effectively coordinate, integrate and manage public transport</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The law shall  standardise public passenger transport standards and to streamline the public service order, which is currently fragmented and insufficiently coordinated between the State, counties, cities and municipalities.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5</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Sustainable Transport –</w:t>
            </w:r>
            <w:r>
              <w:rPr>
                <w:rFonts w:ascii="Times New Roman" w:hAnsi="Times New Roman"/>
                <w:noProof/>
                <w:color w:val="006100"/>
                <w:sz w:val="20"/>
                <w:szCs w:val="20"/>
              </w:rPr>
              <w:t xml:space="preserve"> Reform 2: Public passenger transport reform</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Implementation of optimised rail transport timetable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Entry into force of an optimised rail transport timetable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2023</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The Ministry of Transport and Construction shall implement the ordering of </w:t>
            </w:r>
            <w:r>
              <w:rPr>
                <w:rFonts w:ascii="Times New Roman" w:hAnsi="Times New Roman"/>
                <w:noProof/>
                <w:color w:val="006100"/>
                <w:sz w:val="20"/>
                <w:szCs w:val="20"/>
              </w:rPr>
              <w:t>rail passenger transport services according to the finalised Transport Service plan by 31 December  2023.</w:t>
            </w:r>
          </w:p>
        </w:tc>
      </w:tr>
      <w:tr w:rsidR="00BF6749">
        <w:trPr>
          <w:trHeight w:val="2132"/>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Sustainable Transport – Reform 2: Public passenger transport reform</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Target</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Number of counties in which tariff integration is in place allowing </w:t>
            </w:r>
            <w:r>
              <w:rPr>
                <w:rFonts w:ascii="Times New Roman" w:hAnsi="Times New Roman"/>
                <w:noProof/>
                <w:color w:val="006100"/>
                <w:sz w:val="20"/>
                <w:szCs w:val="20"/>
              </w:rPr>
              <w:t>for travelling by multiple modes of public transport or by carriers per ticket</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The qualitative indicator refers to the number of counties in which an integrated transport system is created, allowing multi-modal public passenger </w:t>
            </w:r>
            <w:r>
              <w:rPr>
                <w:rFonts w:ascii="Times New Roman" w:hAnsi="Times New Roman"/>
                <w:noProof/>
                <w:color w:val="006100"/>
                <w:sz w:val="20"/>
                <w:szCs w:val="20"/>
              </w:rPr>
              <w:t>transport to travel on a single ticket.</w:t>
            </w:r>
          </w:p>
        </w:tc>
      </w:tr>
      <w:tr w:rsidR="00BF6749">
        <w:trPr>
          <w:trHeight w:val="14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7</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Sustainable transport – Investment 1: Development of low-carbon transport infrastructure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Target</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Length of new cycling infrastructure (km)</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The qualitative indicator refers to the length of newly built cycling infrastructure (in km). The target includes cycling paths and bicycle parking spaces. </w:t>
            </w:r>
          </w:p>
        </w:tc>
      </w:tr>
      <w:tr w:rsidR="00BF6749">
        <w:trPr>
          <w:trHeight w:val="573"/>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8</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Sustainable transport – Investment 1: Development of low-carbon transport infrastructure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Target</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Length of clean passenger rail infrastructure reconstructed or upgraded (in km weighted)</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69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The qualitative indicator refers to the length of the reconstructed or upgraded railway infrastructure from the sources of the recovery </w:t>
            </w:r>
            <w:r>
              <w:rPr>
                <w:rFonts w:ascii="Times New Roman" w:hAnsi="Times New Roman"/>
                <w:noProof/>
                <w:color w:val="006100"/>
                <w:sz w:val="20"/>
                <w:szCs w:val="20"/>
              </w:rPr>
              <w:t>and resilience   plan, using weighting factors for the different types and ranges of projects (not containing dispatching/security installations which are counted separately under Objective 3: length of sections of lines dispatched).</w:t>
            </w:r>
          </w:p>
          <w:p w:rsidR="00BF6749" w:rsidRDefault="00C87555">
            <w:pPr>
              <w:spacing w:before="120" w:after="120" w:line="240" w:lineRule="auto"/>
              <w:rPr>
                <w:rFonts w:ascii="Times New Roman" w:hAnsi="Times New Roman"/>
                <w:noProof/>
                <w:sz w:val="20"/>
                <w:szCs w:val="20"/>
              </w:rPr>
            </w:pPr>
            <w:r>
              <w:rPr>
                <w:rFonts w:ascii="Times New Roman" w:eastAsia="Times New Roman" w:hAnsi="Times New Roman"/>
                <w:noProof/>
                <w:color w:val="006100"/>
                <w:sz w:val="20"/>
                <w:szCs w:val="20"/>
              </w:rPr>
              <w:t xml:space="preserve"> Of the overall object</w:t>
            </w:r>
            <w:r>
              <w:rPr>
                <w:rFonts w:ascii="Times New Roman" w:eastAsia="Times New Roman" w:hAnsi="Times New Roman"/>
                <w:noProof/>
                <w:color w:val="006100"/>
                <w:sz w:val="20"/>
                <w:szCs w:val="20"/>
              </w:rPr>
              <w:t>ive to reconstruct or upgrade 77 km of rail infrastructure, at least 69 km is upgraded or reconstructed.</w:t>
            </w:r>
            <w:r>
              <w:rPr>
                <w:rFonts w:ascii="Times New Roman" w:hAnsi="Times New Roman"/>
                <w:noProof/>
                <w:color w:val="006100"/>
                <w:sz w:val="20"/>
                <w:szCs w:val="20"/>
              </w:rPr>
              <w:t xml:space="preserve">   Investments shall include the following elements:</w:t>
            </w:r>
            <w:r>
              <w:rPr>
                <w:rFonts w:ascii="Times New Roman" w:hAnsi="Times New Roman"/>
                <w:noProof/>
                <w:sz w:val="20"/>
                <w:szCs w:val="20"/>
              </w:rPr>
              <w:t xml:space="preserve">  </w:t>
            </w:r>
            <w:r>
              <w:rPr>
                <w:rFonts w:ascii="Times New Roman" w:hAnsi="Times New Roman"/>
                <w:noProof/>
                <w:color w:val="006100"/>
                <w:sz w:val="20"/>
                <w:szCs w:val="20"/>
              </w:rPr>
              <w:t>fully upgraded double track on the rail corridor with an increase to 160 km/h; one or two track re</w:t>
            </w:r>
            <w:r>
              <w:rPr>
                <w:rFonts w:ascii="Times New Roman" w:hAnsi="Times New Roman"/>
                <w:noProof/>
                <w:color w:val="006100"/>
                <w:sz w:val="20"/>
                <w:szCs w:val="20"/>
              </w:rPr>
              <w:t xml:space="preserve">constructed line (renewal of upper/bottom or traction line/equipment; single track newly electrified and partially upgraded railway line; fully upgraded double track tram line including accessories; one-stop newly built trolleybus line including the power </w:t>
            </w:r>
            <w:r>
              <w:rPr>
                <w:rFonts w:ascii="Times New Roman" w:hAnsi="Times New Roman"/>
                <w:noProof/>
                <w:color w:val="006100"/>
                <w:sz w:val="20"/>
                <w:szCs w:val="20"/>
              </w:rPr>
              <w:t>supply.</w:t>
            </w:r>
          </w:p>
        </w:tc>
      </w:tr>
      <w:tr w:rsidR="00BF6749">
        <w:trPr>
          <w:trHeight w:val="35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9</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 Sustainable transport – Investment 1: Development of low-carbon transport infrastructure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Target</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Length of sections of railway lines dispatched (km)</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p w:rsidR="00BF6749" w:rsidRDefault="00BF6749">
            <w:pPr>
              <w:spacing w:before="120" w:after="120" w:line="240" w:lineRule="auto"/>
              <w:jc w:val="center"/>
              <w:rPr>
                <w:rFonts w:ascii="Times New Roman" w:hAnsi="Times New Roman"/>
                <w:noProof/>
                <w:color w:val="006100"/>
                <w:sz w:val="20"/>
                <w:szCs w:val="20"/>
                <w:highlight w:val="yellow"/>
              </w:rPr>
            </w:pPr>
          </w:p>
        </w:tc>
        <w:tc>
          <w:tcPr>
            <w:tcW w:w="3966" w:type="dxa"/>
            <w:tcBorders>
              <w:top w:val="single" w:sz="8" w:space="0" w:color="auto"/>
              <w:left w:val="single" w:sz="8" w:space="0" w:color="auto"/>
              <w:bottom w:val="nil"/>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The qualitative indicator refers to the length of railway lines (in km) on which dispatching/digital safety devices have entered into operation.  . </w:t>
            </w:r>
            <w:r>
              <w:rPr>
                <w:rFonts w:ascii="Times New Roman" w:eastAsia="Times New Roman" w:hAnsi="Times New Roman"/>
                <w:noProof/>
                <w:color w:val="006100"/>
                <w:sz w:val="20"/>
                <w:szCs w:val="20"/>
              </w:rPr>
              <w:t>Of the overall objective to dispatch 111 km of railway lines</w:t>
            </w:r>
            <w:r>
              <w:rPr>
                <w:rFonts w:ascii="Times New Roman" w:hAnsi="Times New Roman"/>
                <w:noProof/>
                <w:color w:val="006100"/>
                <w:sz w:val="20"/>
                <w:szCs w:val="20"/>
              </w:rPr>
              <w:t>, at least 100 are dispatched.</w:t>
            </w:r>
          </w:p>
        </w:tc>
      </w:tr>
      <w:tr w:rsidR="00BF6749">
        <w:trPr>
          <w:trHeight w:val="228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w:t>
            </w:r>
            <w:r>
              <w:rPr>
                <w:rFonts w:ascii="Times New Roman" w:hAnsi="Times New Roman"/>
                <w:noProof/>
                <w:color w:val="006100"/>
                <w:sz w:val="20"/>
                <w:szCs w:val="20"/>
              </w:rPr>
              <w:t>Sustainable transport – Investment 2: Promoting clean passenger transport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Target</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 of clean passenger rolling stock procured (weighted)</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5</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2025</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The qualitative indicator reflects the number of clean public passenger rolling stock procured. The rolling stock shall include closed electric or hydrogen train units; multi-system electric locomotives; trams. </w:t>
            </w:r>
          </w:p>
        </w:tc>
      </w:tr>
      <w:tr w:rsidR="00BF6749">
        <w:trPr>
          <w:trHeight w:val="228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hAnsi="Times New Roman"/>
                <w:noProof/>
                <w:sz w:val="20"/>
                <w:szCs w:val="20"/>
              </w:rPr>
            </w:pPr>
            <w:r>
              <w:rPr>
                <w:rFonts w:ascii="Times New Roman" w:hAnsi="Times New Roman"/>
                <w:noProof/>
                <w:color w:val="006100"/>
                <w:sz w:val="20"/>
                <w:szCs w:val="20"/>
              </w:rPr>
              <w:t>11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color w:val="006100"/>
                <w:sz w:val="20"/>
                <w:szCs w:val="20"/>
                <w:lang w:val="en-US"/>
              </w:rPr>
            </w:pPr>
            <w:r>
              <w:rPr>
                <w:rFonts w:ascii="Times New Roman" w:hAnsi="Times New Roman"/>
                <w:noProof/>
                <w:color w:val="006100"/>
                <w:sz w:val="20"/>
                <w:szCs w:val="20"/>
              </w:rPr>
              <w:t xml:space="preserve">3- Sustainable transport -  reform 3: Intermodal freight transport reform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Concept and calls for new support schemes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Launch of calls for new support schemes on the basis of concept of intermodal transport development</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before="120" w:after="120" w:line="240" w:lineRule="auto"/>
              <w:jc w:val="both"/>
              <w:rPr>
                <w:rFonts w:ascii="Times New Roman" w:hAnsi="Times New Roman"/>
                <w:noProof/>
                <w:color w:val="006100"/>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before="120" w:after="120" w:line="240" w:lineRule="auto"/>
              <w:jc w:val="both"/>
              <w:rPr>
                <w:rFonts w:ascii="Times New Roman" w:hAnsi="Times New Roman"/>
                <w:noProof/>
                <w:color w:val="006100"/>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before="120" w:after="120" w:line="240" w:lineRule="auto"/>
              <w:jc w:val="both"/>
              <w:rPr>
                <w:rFonts w:ascii="Times New Roman" w:hAnsi="Times New Roman"/>
                <w:noProof/>
                <w:color w:val="006100"/>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2022</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A Concept of intermodal transport development  shall be approved by the Slovak Government by  31 December of 2021  This  shall </w:t>
            </w:r>
            <w:r>
              <w:rPr>
                <w:rFonts w:ascii="Times New Roman" w:eastAsia="Arial Narrow" w:hAnsi="Times New Roman"/>
                <w:noProof/>
                <w:sz w:val="20"/>
                <w:szCs w:val="20"/>
              </w:rPr>
              <w:t>i</w:t>
            </w:r>
            <w:r>
              <w:rPr>
                <w:rFonts w:ascii="Times New Roman" w:eastAsia="Times New Roman" w:hAnsi="Times New Roman"/>
                <w:noProof/>
                <w:color w:val="006100"/>
                <w:sz w:val="20"/>
                <w:szCs w:val="20"/>
              </w:rPr>
              <w:t>nclude proposals for  the legislative changes necessary to adopt measures for the systemic development of environmentally friend</w:t>
            </w:r>
            <w:r>
              <w:rPr>
                <w:rFonts w:ascii="Times New Roman" w:eastAsia="Times New Roman" w:hAnsi="Times New Roman"/>
                <w:noProof/>
                <w:color w:val="006100"/>
                <w:sz w:val="20"/>
                <w:szCs w:val="20"/>
              </w:rPr>
              <w:t xml:space="preserve">ly freight transport modes. Support shall be aimed at removing technical problems in the transition to intermodal transport and making it more attractive. On that basis by 31 December 2022 calls for new support schemes shall be launched that shall help to </w:t>
            </w:r>
            <w:r>
              <w:rPr>
                <w:rFonts w:ascii="Times New Roman" w:eastAsia="Times New Roman" w:hAnsi="Times New Roman"/>
                <w:noProof/>
                <w:color w:val="006100"/>
                <w:sz w:val="20"/>
                <w:szCs w:val="20"/>
              </w:rPr>
              <w:t xml:space="preserve">improve the availability of intermodal transport on a non-discriminatory basis, paving the way for its development in all regions of Slovakia. The call shall be approved by the Ministry of Transport and Construction.  </w:t>
            </w:r>
          </w:p>
          <w:p w:rsidR="00BF6749" w:rsidRDefault="00BF6749">
            <w:pPr>
              <w:spacing w:after="160" w:line="259" w:lineRule="auto"/>
              <w:ind w:left="720"/>
              <w:contextualSpacing/>
              <w:rPr>
                <w:rFonts w:ascii="Times New Roman" w:eastAsia="Times New Roman" w:hAnsi="Times New Roman"/>
                <w:noProof/>
                <w:color w:val="006100"/>
                <w:sz w:val="20"/>
                <w:szCs w:val="20"/>
              </w:rPr>
            </w:pPr>
          </w:p>
          <w:p w:rsidR="00BF6749" w:rsidRDefault="00BF6749">
            <w:pPr>
              <w:spacing w:before="120" w:after="120" w:line="240" w:lineRule="auto"/>
              <w:rPr>
                <w:rFonts w:ascii="Times New Roman" w:hAnsi="Times New Roman"/>
                <w:noProof/>
                <w:color w:val="006100"/>
                <w:sz w:val="20"/>
                <w:szCs w:val="20"/>
              </w:rPr>
            </w:pPr>
          </w:p>
          <w:p w:rsidR="00BF6749" w:rsidRDefault="00BF6749">
            <w:pPr>
              <w:spacing w:before="120" w:after="120" w:line="240" w:lineRule="auto"/>
              <w:jc w:val="both"/>
              <w:rPr>
                <w:rFonts w:ascii="Times New Roman" w:hAnsi="Times New Roman"/>
                <w:noProof/>
                <w:color w:val="006100"/>
                <w:sz w:val="20"/>
                <w:szCs w:val="20"/>
              </w:rPr>
            </w:pPr>
          </w:p>
        </w:tc>
      </w:tr>
      <w:tr w:rsidR="00BF6749">
        <w:trPr>
          <w:trHeight w:val="15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Sustainable transport – </w:t>
            </w:r>
            <w:r>
              <w:rPr>
                <w:rFonts w:ascii="Times New Roman" w:hAnsi="Times New Roman"/>
                <w:noProof/>
                <w:color w:val="006100"/>
                <w:sz w:val="20"/>
                <w:szCs w:val="20"/>
              </w:rPr>
              <w:t>Investment 3: Development of intermodal freight transport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Target</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Number of intermodal transport units procured in Twenty-foot Equivalent Units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1000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eastAsia="Times New Roman" w:hAnsi="Times New Roman"/>
                <w:noProof/>
                <w:color w:val="006100"/>
                <w:sz w:val="20"/>
                <w:szCs w:val="20"/>
              </w:rPr>
            </w:pPr>
            <w:r>
              <w:rPr>
                <w:rFonts w:ascii="Times New Roman" w:hAnsi="Times New Roman"/>
                <w:noProof/>
                <w:color w:val="006100"/>
                <w:sz w:val="20"/>
                <w:szCs w:val="20"/>
              </w:rPr>
              <w:t xml:space="preserve">The number of intermodal transport units of IPUs (handling semi-trailers, swap bodies, containers) procured. Intermodal transport units shall be expressed in TEU (Twenty-foot Equivalent Unit 20' (6,1 m); Basic container size ISO 1C – 20' x 8' x 8' (mach). </w:t>
            </w:r>
            <w:r>
              <w:rPr>
                <w:rFonts w:ascii="Times New Roman" w:eastAsia="Times New Roman" w:hAnsi="Times New Roman"/>
                <w:noProof/>
                <w:color w:val="006100"/>
                <w:sz w:val="20"/>
                <w:szCs w:val="20"/>
              </w:rPr>
              <w:t xml:space="preserve"> </w:t>
            </w:r>
          </w:p>
          <w:p w:rsidR="00BF6749" w:rsidRDefault="00BF6749">
            <w:pPr>
              <w:spacing w:before="120" w:after="120" w:line="240" w:lineRule="auto"/>
              <w:rPr>
                <w:rFonts w:ascii="Times New Roman" w:hAnsi="Times New Roman"/>
                <w:noProof/>
                <w:sz w:val="20"/>
                <w:szCs w:val="20"/>
              </w:rPr>
            </w:pPr>
          </w:p>
        </w:tc>
      </w:tr>
      <w:tr w:rsidR="00BF6749">
        <w:trPr>
          <w:trHeight w:val="15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3– Sustainable Transport – Reform 4: Introduction of new policies for the long-term promotion of alternative fuels in the transport sector</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a new package of measures to promote alternative propulsions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Entry into force of  resolution  to </w:t>
            </w:r>
            <w:r>
              <w:rPr>
                <w:rFonts w:ascii="Times New Roman" w:hAnsi="Times New Roman"/>
                <w:noProof/>
                <w:color w:val="006100"/>
                <w:sz w:val="20"/>
                <w:szCs w:val="20"/>
              </w:rPr>
              <w:t>promote alternative propulsions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Q4</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2022</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The measures shall speed up the development of alternative propulsions in transport. These shall include a reform of distribution tariffs, measures to simplify and accelerate the process of constructing alternative propulsion infrastructure, the introducti</w:t>
            </w:r>
            <w:r>
              <w:rPr>
                <w:rFonts w:ascii="Times New Roman" w:hAnsi="Times New Roman"/>
                <w:noProof/>
                <w:color w:val="006100"/>
                <w:sz w:val="20"/>
                <w:szCs w:val="20"/>
              </w:rPr>
              <w:t xml:space="preserve">on of a ‘Recharging Point Rights’ and  the introduction of a stable, predictable multi-annual framework to support the construction of relevant alternative propulsion infrastructure. </w:t>
            </w:r>
          </w:p>
        </w:tc>
      </w:tr>
      <w:tr w:rsidR="00BF6749">
        <w:trPr>
          <w:trHeight w:val="9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14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3 – Sustainable transport – Investment 4: Supporting the development of infrastructure for alternative fuel vehicles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Target</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Number of recharging points or hydrogen refuelling points in operation.</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Number</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3029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Q2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center"/>
              <w:rPr>
                <w:rFonts w:ascii="Times New Roman" w:hAnsi="Times New Roman"/>
                <w:noProof/>
                <w:sz w:val="20"/>
                <w:szCs w:val="20"/>
              </w:rPr>
            </w:pPr>
            <w:r>
              <w:rPr>
                <w:rFonts w:ascii="Times New Roman" w:hAnsi="Times New Roman"/>
                <w:noProof/>
                <w:color w:val="006100"/>
                <w:sz w:val="20"/>
                <w:szCs w:val="20"/>
              </w:rPr>
              <w:t>2026</w:t>
            </w:r>
          </w:p>
        </w:tc>
        <w:tc>
          <w:tcPr>
            <w:tcW w:w="396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Total number of public recharging </w:t>
            </w:r>
            <w:r>
              <w:rPr>
                <w:rFonts w:ascii="Times New Roman" w:hAnsi="Times New Roman"/>
                <w:noProof/>
                <w:color w:val="006100"/>
                <w:sz w:val="20"/>
                <w:szCs w:val="20"/>
              </w:rPr>
              <w:t>points or hydrogen refuelling points in operation.</w:t>
            </w:r>
            <w:r>
              <w:rPr>
                <w:rFonts w:ascii="Times New Roman" w:eastAsia="Times New Roman" w:hAnsi="Times New Roman"/>
                <w:noProof/>
                <w:color w:val="006100"/>
                <w:sz w:val="20"/>
                <w:szCs w:val="20"/>
              </w:rPr>
              <w:t xml:space="preserve">  Of the overall objective to put in </w:t>
            </w:r>
            <w:r>
              <w:rPr>
                <w:rFonts w:ascii="Times New Roman" w:hAnsi="Times New Roman"/>
                <w:noProof/>
                <w:color w:val="006100"/>
                <w:sz w:val="20"/>
                <w:szCs w:val="20"/>
              </w:rPr>
              <w:t xml:space="preserve">operation 3332 of recharging points, at least 3029 are put in operation.  </w:t>
            </w:r>
          </w:p>
          <w:p w:rsidR="00BF6749" w:rsidRDefault="00BF6749">
            <w:pPr>
              <w:spacing w:before="120" w:after="120" w:line="240" w:lineRule="auto"/>
              <w:rPr>
                <w:rFonts w:ascii="Times New Roman" w:hAnsi="Times New Roman"/>
                <w:noProof/>
                <w:sz w:val="20"/>
                <w:szCs w:val="20"/>
              </w:rPr>
            </w:pPr>
          </w:p>
        </w:tc>
      </w:tr>
    </w:tbl>
    <w:p w:rsidR="00BF6749" w:rsidRDefault="00BF6749">
      <w:pPr>
        <w:spacing w:before="120" w:after="120" w:line="240" w:lineRule="auto"/>
        <w:jc w:val="both"/>
        <w:rPr>
          <w:rFonts w:ascii="Times New Roman" w:hAnsi="Times New Roman"/>
          <w:noProof/>
          <w:sz w:val="24"/>
        </w:rPr>
        <w:sectPr w:rsidR="00BF6749">
          <w:headerReference w:type="even" r:id="rId48"/>
          <w:headerReference w:type="default" r:id="rId49"/>
          <w:footerReference w:type="even" r:id="rId50"/>
          <w:footerReference w:type="default" r:id="rId51"/>
          <w:headerReference w:type="first" r:id="rId52"/>
          <w:footerReference w:type="first" r:id="rId53"/>
          <w:pgSz w:w="16839" w:h="11907" w:orient="landscape"/>
          <w:pgMar w:top="142" w:right="1134" w:bottom="1418" w:left="1134" w:header="709" w:footer="709" w:gutter="0"/>
          <w:cols w:space="720"/>
          <w:docGrid w:linePitch="360"/>
        </w:sectPr>
      </w:pPr>
    </w:p>
    <w:p w:rsidR="00BF6749" w:rsidRDefault="00C87555">
      <w:pPr>
        <w:keepNext/>
        <w:tabs>
          <w:tab w:val="left" w:pos="850"/>
        </w:tabs>
        <w:spacing w:before="12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 xml:space="preserve">COMPONENT 4: Decarbonisation of </w:t>
      </w:r>
      <w:r>
        <w:rPr>
          <w:rFonts w:ascii="Times New Roman" w:hAnsi="Times New Roman"/>
          <w:b/>
          <w:smallCaps/>
          <w:noProof/>
          <w:sz w:val="24"/>
        </w:rPr>
        <w:t>industry</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Reducing the greenhouse gas emissions in Slovakia and the fulfilment of national targets, as set out in the 2021-2030 Integrated National Energy and Climate Plan, require also an accelerated action by the industry. Slovakia is a heavily industrial</w:t>
      </w:r>
      <w:r>
        <w:rPr>
          <w:rFonts w:ascii="Times New Roman" w:hAnsi="Times New Roman"/>
          <w:noProof/>
          <w:sz w:val="24"/>
        </w:rPr>
        <w:t>ized economy, with energy and industrial processes contribution to overall greenhouse gas emissions of just above 70%. Slovakia ranks among the Member States with the highest average air concentrations of dust particles in the EU, largely due to aging indu</w:t>
      </w:r>
      <w:r>
        <w:rPr>
          <w:rFonts w:ascii="Times New Roman" w:hAnsi="Times New Roman"/>
          <w:noProof/>
          <w:sz w:val="24"/>
        </w:rPr>
        <w:t xml:space="preserve">strial technologies and burning of solid fuels in households.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In this context, the component 4 of the Slovak reform and resilience plan proposes the development and operation of a decarbonisation scheme for the industrial sector. The measures shall lead t</w:t>
      </w:r>
      <w:r>
        <w:rPr>
          <w:rFonts w:ascii="Times New Roman" w:hAnsi="Times New Roman"/>
          <w:noProof/>
          <w:sz w:val="24"/>
          <w:szCs w:val="24"/>
        </w:rPr>
        <w:t>o lower greenhouse gas emissions in enterprises, reduced energy losses a higher uptake of innovative environmental technologies in industrial production. The component embeds the reform commitment by the Slovak government to transit away from coal in the U</w:t>
      </w:r>
      <w:r>
        <w:rPr>
          <w:rFonts w:ascii="Times New Roman" w:hAnsi="Times New Roman"/>
          <w:noProof/>
          <w:sz w:val="24"/>
          <w:szCs w:val="24"/>
        </w:rPr>
        <w:t>pper Nitra region. It also includes commitment to end support for the production of electricity from indigenous coal and the closure of Nováky lignite power plant. The investment in the equipment of the Slovak Environmental Inspectorate shall strengthen th</w:t>
      </w:r>
      <w:r>
        <w:rPr>
          <w:rFonts w:ascii="Times New Roman" w:hAnsi="Times New Roman"/>
          <w:noProof/>
          <w:sz w:val="24"/>
          <w:szCs w:val="24"/>
        </w:rPr>
        <w:t xml:space="preserve">e monitoring capacity of decarbonisation efforts by this institution.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szCs w:val="24"/>
        </w:rPr>
        <w:t xml:space="preserve">The component includes two reforms and one principal and one complementary investment.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shd w:val="clear" w:color="auto" w:fill="FFFFFF"/>
          <w:lang w:val="en-IE"/>
        </w:rPr>
        <w:t xml:space="preserve">These reforms and </w:t>
      </w:r>
      <w:r>
        <w:rPr>
          <w:rFonts w:ascii="Times New Roman" w:hAnsi="Times New Roman"/>
          <w:noProof/>
          <w:sz w:val="24"/>
          <w:szCs w:val="24"/>
        </w:rPr>
        <w:t xml:space="preserve">investments shall contribute to the green transition objective and to climate </w:t>
      </w:r>
      <w:r>
        <w:rPr>
          <w:rFonts w:ascii="Times New Roman" w:hAnsi="Times New Roman"/>
          <w:noProof/>
          <w:sz w:val="24"/>
          <w:szCs w:val="24"/>
        </w:rPr>
        <w:t xml:space="preserve">target. The decarbonisation shall have lasting impact on environment and air quality in Slovakia. The investments shall strengthen competitiveness of Slovak industry and securing jobs at the local level. The transformation of the Upper Nitra region boasts </w:t>
      </w:r>
      <w:r>
        <w:rPr>
          <w:rFonts w:ascii="Times New Roman" w:hAnsi="Times New Roman"/>
          <w:noProof/>
          <w:sz w:val="24"/>
          <w:szCs w:val="24"/>
        </w:rPr>
        <w:t>a strong cohesion element, particularly in supporting the region in its transition away from coal.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environmental objectives within the meaning of Article 17 of Regulation (EU) 2020/</w:t>
      </w:r>
      <w:r>
        <w:rPr>
          <w:rFonts w:ascii="Times New Roman" w:hAnsi="Times New Roman"/>
          <w:noProof/>
          <w:sz w:val="24"/>
          <w:szCs w:val="24"/>
        </w:rPr>
        <w:t xml:space="preserve">852, taking into account the description of the measures and the mitigating steps set out in the recovery and resilience plan in accordance with the DNSH Technical Guidance (2021/C58/01).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measures shall contribute to addressing the Country Specific R</w:t>
      </w:r>
      <w:r>
        <w:rPr>
          <w:rFonts w:ascii="Times New Roman" w:hAnsi="Times New Roman"/>
          <w:noProof/>
          <w:sz w:val="24"/>
          <w:szCs w:val="24"/>
        </w:rPr>
        <w:t xml:space="preserve">ecommendation conveyed to Slovakia in 2020, on the need to “focus investment on the green digital transitions, in particular on clean and efficient production </w:t>
      </w:r>
      <w:r>
        <w:rPr>
          <w:rFonts w:ascii="Times New Roman" w:eastAsia="Times New Roman" w:hAnsi="Times New Roman"/>
          <w:noProof/>
          <w:sz w:val="24"/>
          <w:szCs w:val="24"/>
        </w:rPr>
        <w:t>and use of energy and resources</w:t>
      </w:r>
      <w:r>
        <w:rPr>
          <w:rFonts w:ascii="Times New Roman" w:hAnsi="Times New Roman"/>
          <w:noProof/>
          <w:sz w:val="24"/>
          <w:szCs w:val="24"/>
        </w:rPr>
        <w:t>” (Country Specific Recommendation 3/2020).</w:t>
      </w:r>
    </w:p>
    <w:p w:rsidR="00BF6749" w:rsidRDefault="00BF6749">
      <w:pPr>
        <w:spacing w:before="120" w:after="120" w:line="240" w:lineRule="auto"/>
        <w:jc w:val="both"/>
        <w:rPr>
          <w:rFonts w:ascii="Times New Roman" w:hAnsi="Times New Roman"/>
          <w:b/>
          <w:noProof/>
          <w:sz w:val="24"/>
          <w:u w:val="single"/>
        </w:rPr>
      </w:pPr>
    </w:p>
    <w:p w:rsidR="00BF6749" w:rsidRDefault="00C87555">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 xml:space="preserve">Description of </w:t>
      </w:r>
      <w:r>
        <w:rPr>
          <w:rFonts w:ascii="Times New Roman" w:hAnsi="Times New Roman"/>
          <w:b/>
          <w:noProof/>
          <w:sz w:val="24"/>
          <w:u w:val="single"/>
        </w:rPr>
        <w:t>the reforms and investments for non-repayable financial support</w:t>
      </w:r>
    </w:p>
    <w:p w:rsidR="00BF6749" w:rsidRDefault="00C87555">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Reform 1: The termination of coal-based electricity production at </w:t>
      </w:r>
      <w:r>
        <w:rPr>
          <w:rFonts w:ascii="Times New Roman" w:hAnsi="Times New Roman"/>
          <w:b/>
          <w:bCs/>
          <w:noProof/>
          <w:sz w:val="24"/>
          <w:szCs w:val="24"/>
        </w:rPr>
        <w:t>Nováky</w:t>
      </w:r>
      <w:r>
        <w:rPr>
          <w:rFonts w:ascii="Times New Roman" w:hAnsi="Times New Roman"/>
          <w:b/>
          <w:noProof/>
          <w:sz w:val="24"/>
          <w:szCs w:val="24"/>
        </w:rPr>
        <w:t xml:space="preserve"> power plant and transformation of the Upper Nitra region</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This reform embeds the commitment of the Slovak government to </w:t>
      </w:r>
      <w:r>
        <w:rPr>
          <w:rFonts w:ascii="Times New Roman" w:hAnsi="Times New Roman"/>
          <w:noProof/>
          <w:sz w:val="24"/>
          <w:szCs w:val="24"/>
        </w:rPr>
        <w:t>progress with transition away from coal in the Upper Nitra region.</w:t>
      </w:r>
      <w:r>
        <w:rPr>
          <w:rFonts w:ascii="Arial Narrow" w:hAnsi="Arial Narrow"/>
          <w:noProof/>
        </w:rPr>
        <w:t xml:space="preserve"> </w:t>
      </w:r>
      <w:r>
        <w:rPr>
          <w:rFonts w:ascii="Times New Roman" w:hAnsi="Times New Roman"/>
          <w:noProof/>
          <w:sz w:val="24"/>
          <w:szCs w:val="24"/>
        </w:rPr>
        <w:t xml:space="preserve">The regional Nováky power plant has the third highest CO2 emissions among the Slovak EU’s Emission Trading Scheme installations. </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sz w:val="24"/>
          <w:szCs w:val="24"/>
        </w:rPr>
        <w:t>The purpose of this measure is, for the Nováky lignite powe</w:t>
      </w:r>
      <w:r>
        <w:rPr>
          <w:rFonts w:ascii="Times New Roman" w:hAnsi="Times New Roman"/>
          <w:noProof/>
          <w:sz w:val="24"/>
          <w:szCs w:val="24"/>
        </w:rPr>
        <w:t xml:space="preserve">r plant, to end the support for production of electricity and to terminate the electricity generation from lignite. This shall deliver positive effects on environment and a price reduction for final electricity consumers. </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 xml:space="preserve">The implementation of the reform </w:t>
      </w:r>
      <w:r>
        <w:rPr>
          <w:rFonts w:ascii="Times New Roman" w:hAnsi="Times New Roman"/>
          <w:noProof/>
          <w:color w:val="000000"/>
          <w:sz w:val="24"/>
          <w:szCs w:val="24"/>
          <w:shd w:val="clear" w:color="auto" w:fill="FFFFFF"/>
          <w:lang w:val="en-IE"/>
        </w:rPr>
        <w:t>shall be completed by 31 December 2023.</w:t>
      </w:r>
    </w:p>
    <w:p w:rsidR="00BF6749" w:rsidRDefault="00C87555">
      <w:pPr>
        <w:spacing w:before="120" w:after="120" w:line="240" w:lineRule="auto"/>
        <w:jc w:val="both"/>
        <w:rPr>
          <w:rFonts w:ascii="Times New Roman" w:hAnsi="Times New Roman"/>
          <w:b/>
          <w:noProof/>
          <w:sz w:val="24"/>
          <w:szCs w:val="24"/>
        </w:rPr>
      </w:pPr>
      <w:r>
        <w:rPr>
          <w:rFonts w:ascii="Times New Roman" w:hAnsi="Times New Roman"/>
          <w:b/>
          <w:noProof/>
          <w:sz w:val="24"/>
          <w:szCs w:val="24"/>
        </w:rPr>
        <w:br w:type="page"/>
        <w:t xml:space="preserve">Reform 2: </w:t>
      </w:r>
      <w:r>
        <w:rPr>
          <w:rFonts w:ascii="Times New Roman" w:hAnsi="Times New Roman"/>
          <w:b/>
          <w:bCs/>
          <w:noProof/>
          <w:sz w:val="24"/>
          <w:szCs w:val="24"/>
        </w:rPr>
        <w:t>Adoption of</w:t>
      </w:r>
      <w:r>
        <w:rPr>
          <w:rFonts w:ascii="Times New Roman" w:hAnsi="Times New Roman"/>
          <w:b/>
          <w:noProof/>
          <w:sz w:val="24"/>
          <w:szCs w:val="24"/>
        </w:rPr>
        <w:t xml:space="preserve"> the competitive scheme for </w:t>
      </w:r>
      <w:r>
        <w:rPr>
          <w:rFonts w:ascii="Times New Roman" w:hAnsi="Times New Roman"/>
          <w:b/>
          <w:bCs/>
          <w:noProof/>
          <w:sz w:val="24"/>
          <w:szCs w:val="24"/>
        </w:rPr>
        <w:t xml:space="preserve">reduction of </w:t>
      </w:r>
      <w:r>
        <w:rPr>
          <w:rFonts w:ascii="Times New Roman" w:hAnsi="Times New Roman"/>
          <w:b/>
          <w:noProof/>
          <w:sz w:val="24"/>
          <w:szCs w:val="24"/>
        </w:rPr>
        <w:t>greenhouse gas emissions in industry</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The Slovak authorities shall launch a competitive decarbonisation scheme open to all industrial sectors</w:t>
      </w:r>
      <w:r>
        <w:rPr>
          <w:rFonts w:ascii="Times New Roman" w:hAnsi="Times New Roman"/>
          <w:noProof/>
          <w:color w:val="000000"/>
          <w:sz w:val="24"/>
          <w:szCs w:val="24"/>
          <w:lang w:val="en-IE"/>
        </w:rPr>
        <w:t>.</w:t>
      </w:r>
      <w:r>
        <w:rPr>
          <w:rFonts w:ascii="Times New Roman" w:hAnsi="Times New Roman"/>
          <w:noProof/>
          <w:color w:val="000000"/>
          <w:sz w:val="24"/>
          <w:szCs w:val="24"/>
          <w:shd w:val="clear" w:color="auto" w:fill="FFFFFF"/>
          <w:lang w:val="en-IE"/>
        </w:rPr>
        <w:t xml:space="preserve"> </w:t>
      </w:r>
      <w:r>
        <w:rPr>
          <w:rFonts w:ascii="Times New Roman" w:eastAsia="Times New Roman" w:hAnsi="Times New Roman"/>
          <w:noProof/>
          <w:color w:val="000000"/>
          <w:sz w:val="24"/>
          <w:szCs w:val="24"/>
          <w:lang w:val="en-IE"/>
        </w:rPr>
        <w:t>The d</w:t>
      </w:r>
      <w:r>
        <w:rPr>
          <w:rFonts w:ascii="Times New Roman" w:hAnsi="Times New Roman"/>
          <w:noProof/>
          <w:color w:val="000000"/>
          <w:sz w:val="24"/>
          <w:szCs w:val="24"/>
          <w:shd w:val="clear" w:color="auto" w:fill="FFFFFF"/>
          <w:lang w:val="en-IE"/>
        </w:rPr>
        <w:t>ecarbo</w:t>
      </w:r>
      <w:r>
        <w:rPr>
          <w:rFonts w:ascii="Times New Roman" w:hAnsi="Times New Roman"/>
          <w:noProof/>
          <w:color w:val="000000"/>
          <w:sz w:val="24"/>
          <w:szCs w:val="24"/>
          <w:shd w:val="clear" w:color="auto" w:fill="FFFFFF"/>
          <w:lang w:val="en-IE"/>
        </w:rPr>
        <w:t>nisation scheme shall support the uptake of the best currently available technologies in industrial processes. The support shall target low carbon processes and technologies in industry and the adoption of energy efficiency measures.</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shd w:val="clear" w:color="auto" w:fill="FFFFFF"/>
          <w:lang w:val="en-IE"/>
        </w:rPr>
        <w:t xml:space="preserve">Slovakia shall ensure </w:t>
      </w:r>
      <w:r>
        <w:rPr>
          <w:rFonts w:ascii="Times New Roman" w:hAnsi="Times New Roman"/>
          <w:noProof/>
          <w:color w:val="000000"/>
          <w:sz w:val="24"/>
          <w:szCs w:val="24"/>
          <w:shd w:val="clear" w:color="auto" w:fill="FFFFFF"/>
          <w:lang w:val="en-IE"/>
        </w:rPr>
        <w:t xml:space="preserve">that the strict requirements on compliance with environmental legislation, both at national and EU level, shall be ensured. This shall include the compliance </w:t>
      </w:r>
      <w:r>
        <w:rPr>
          <w:rFonts w:ascii="Times New Roman" w:hAnsi="Times New Roman"/>
          <w:noProof/>
          <w:color w:val="000000"/>
          <w:sz w:val="24"/>
          <w:szCs w:val="24"/>
          <w:lang w:val="en-IE"/>
        </w:rPr>
        <w:t>of supported activities and companies</w:t>
      </w:r>
      <w:r>
        <w:rPr>
          <w:rFonts w:ascii="Times New Roman" w:hAnsi="Times New Roman"/>
          <w:noProof/>
          <w:color w:val="000000"/>
          <w:sz w:val="24"/>
          <w:szCs w:val="24"/>
          <w:shd w:val="clear" w:color="auto" w:fill="FFFFFF"/>
          <w:lang w:val="en-IE"/>
        </w:rPr>
        <w:t xml:space="preserve"> </w:t>
      </w:r>
      <w:r>
        <w:rPr>
          <w:rFonts w:ascii="Times New Roman" w:hAnsi="Times New Roman"/>
          <w:noProof/>
          <w:color w:val="000000"/>
          <w:sz w:val="24"/>
          <w:szCs w:val="24"/>
          <w:lang w:val="en-IE"/>
        </w:rPr>
        <w:t xml:space="preserve">with the DNSH Technical Guidance (2021/C58/01). </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The support</w:t>
      </w:r>
      <w:r>
        <w:rPr>
          <w:rFonts w:ascii="Times New Roman" w:hAnsi="Times New Roman"/>
          <w:noProof/>
          <w:color w:val="000000"/>
          <w:sz w:val="24"/>
          <w:szCs w:val="24"/>
          <w:shd w:val="clear" w:color="auto" w:fill="FFFFFF"/>
          <w:lang w:val="en-IE"/>
        </w:rPr>
        <w:t xml:space="preserve"> to installations under the EU’s Emission Trading Scheme shall reduce their emissions substantially below the benchmark relevant to the project bid. The ‘substantially below benchmark’ condition shall be part of selection criteria for the procurement.</w:t>
      </w:r>
    </w:p>
    <w:p w:rsidR="00BF6749" w:rsidRDefault="00C87555">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lang w:val="en-IE"/>
        </w:rPr>
        <w:t xml:space="preserve">The </w:t>
      </w:r>
      <w:r>
        <w:rPr>
          <w:rFonts w:ascii="Times New Roman" w:hAnsi="Times New Roman"/>
          <w:noProof/>
          <w:color w:val="000000"/>
          <w:sz w:val="24"/>
          <w:szCs w:val="24"/>
          <w:lang w:val="en-IE"/>
        </w:rPr>
        <w:t>quantity of greenhouse gases emitted (in CO2 equivalent units, weighted average) of the enterprises supported by the scheme shall decrease by at least 30% as compared to the counterfactual scenario.</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The Slovak authorities shall provide  either data  on dec</w:t>
      </w:r>
      <w:r>
        <w:rPr>
          <w:rFonts w:ascii="Times New Roman" w:hAnsi="Times New Roman"/>
          <w:noProof/>
          <w:color w:val="000000"/>
          <w:sz w:val="24"/>
          <w:szCs w:val="24"/>
          <w:shd w:val="clear" w:color="auto" w:fill="FFFFFF"/>
          <w:lang w:val="en-IE"/>
        </w:rPr>
        <w:t>arbonisation for projects under the  scheme</w:t>
      </w:r>
      <w:r>
        <w:rPr>
          <w:rFonts w:ascii="Times New Roman" w:hAnsi="Times New Roman"/>
          <w:noProof/>
          <w:color w:val="000000"/>
          <w:sz w:val="24"/>
          <w:szCs w:val="24"/>
          <w:lang w:val="en-IE"/>
        </w:rPr>
        <w:t xml:space="preserve"> (</w:t>
      </w:r>
      <w:r>
        <w:rPr>
          <w:rFonts w:ascii="Times New Roman" w:hAnsi="Times New Roman"/>
          <w:noProof/>
          <w:color w:val="000000"/>
          <w:sz w:val="24"/>
          <w:szCs w:val="24"/>
          <w:shd w:val="clear" w:color="auto" w:fill="FFFFFF"/>
          <w:lang w:val="en-IE"/>
        </w:rPr>
        <w:t>to be made available by 30 June 2026 at the latest)</w:t>
      </w:r>
      <w:r>
        <w:rPr>
          <w:rFonts w:ascii="Times New Roman" w:hAnsi="Times New Roman"/>
          <w:noProof/>
          <w:color w:val="000000"/>
          <w:sz w:val="24"/>
          <w:szCs w:val="24"/>
          <w:lang w:val="en-IE"/>
        </w:rPr>
        <w:t xml:space="preserve"> or demonstrate that  the greenhouse gas emission savings will be delivered based on assumed parameters of supported technologies under the measure (based on ce</w:t>
      </w:r>
      <w:r>
        <w:rPr>
          <w:rFonts w:ascii="Times New Roman" w:hAnsi="Times New Roman"/>
          <w:noProof/>
          <w:color w:val="000000"/>
          <w:sz w:val="24"/>
          <w:szCs w:val="24"/>
          <w:lang w:val="en-IE"/>
        </w:rPr>
        <w:t>rtificates by producers) or the combination of both approaches</w:t>
      </w:r>
      <w:r>
        <w:rPr>
          <w:rFonts w:ascii="Times New Roman" w:hAnsi="Times New Roman"/>
          <w:noProof/>
          <w:color w:val="000000"/>
          <w:sz w:val="24"/>
          <w:szCs w:val="24"/>
          <w:shd w:val="clear" w:color="auto" w:fill="FFFFFF"/>
          <w:lang w:val="en-IE"/>
        </w:rPr>
        <w:t>.</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The implementation of the reform shall be completed by 31 December 2022.</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 xml:space="preserve">Investment 1: The operation of the industry decarbonisation scheme </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 xml:space="preserve">The purpose of the measure is to reduce the </w:t>
      </w:r>
      <w:r>
        <w:rPr>
          <w:rFonts w:ascii="Times New Roman" w:hAnsi="Times New Roman"/>
          <w:noProof/>
          <w:color w:val="000000"/>
          <w:sz w:val="24"/>
          <w:szCs w:val="24"/>
          <w:shd w:val="clear" w:color="auto" w:fill="FFFFFF"/>
          <w:lang w:val="en-IE"/>
        </w:rPr>
        <w:t>greenhouse gas emissions through project support to industrial enterprises. The auction scheme shall respect the conditions on investment policies as specified in the Reform 2 (‘Adoption of the competitive scheme for reduction of greenhouse gas emissions i</w:t>
      </w:r>
      <w:r>
        <w:rPr>
          <w:rFonts w:ascii="Times New Roman" w:hAnsi="Times New Roman"/>
          <w:noProof/>
          <w:color w:val="000000"/>
          <w:sz w:val="24"/>
          <w:szCs w:val="24"/>
          <w:shd w:val="clear" w:color="auto" w:fill="FFFFFF"/>
          <w:lang w:val="en-IE"/>
        </w:rPr>
        <w:t>n industry’). </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Of the overall objective to reduce the greenhouse gas emissions by 1 369 917 tonnes of CO2 equivalent, the decarbonisation scheme shall deliver the reduction of at least 1 232 926 tonnes of CO2 equivalent, additional to the counterfactual sc</w:t>
      </w:r>
      <w:r>
        <w:rPr>
          <w:rFonts w:ascii="Times New Roman" w:hAnsi="Times New Roman"/>
          <w:noProof/>
          <w:color w:val="000000"/>
          <w:sz w:val="24"/>
          <w:szCs w:val="24"/>
          <w:shd w:val="clear" w:color="auto" w:fill="FFFFFF"/>
          <w:lang w:val="en-IE"/>
        </w:rPr>
        <w:t xml:space="preserve">enario presented to the Commission. The emission reduction shall be observed either on the basis of data collection for projects under the decarbonisation scheme or demonstrated on the basis of parameters of supported technologies based on certificates by </w:t>
      </w:r>
      <w:r>
        <w:rPr>
          <w:rFonts w:ascii="Times New Roman" w:hAnsi="Times New Roman"/>
          <w:noProof/>
          <w:color w:val="000000"/>
          <w:sz w:val="24"/>
          <w:szCs w:val="24"/>
          <w:shd w:val="clear" w:color="auto" w:fill="FFFFFF"/>
          <w:lang w:val="en-IE"/>
        </w:rPr>
        <w:t>producers or the combination of both approaches. The Slovak authorities shall provide the data and the necessary technical documentation to the Commission on fulfilment of the decarbonisation target by 30 June 2026 at the latest.</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 xml:space="preserve">The implementation of the </w:t>
      </w:r>
      <w:r>
        <w:rPr>
          <w:rFonts w:ascii="Times New Roman" w:hAnsi="Times New Roman"/>
          <w:noProof/>
          <w:color w:val="000000"/>
          <w:sz w:val="24"/>
          <w:szCs w:val="24"/>
          <w:shd w:val="clear" w:color="auto" w:fill="FFFFFF"/>
          <w:lang w:val="en-IE"/>
        </w:rPr>
        <w:t>investment shall be completed by 30 June 202</w:t>
      </w:r>
      <w:r>
        <w:rPr>
          <w:rFonts w:ascii="Times New Roman" w:hAnsi="Times New Roman"/>
          <w:noProof/>
          <w:color w:val="000000"/>
          <w:sz w:val="24"/>
          <w:szCs w:val="24"/>
          <w:lang w:val="en-IE"/>
        </w:rPr>
        <w:t xml:space="preserve">6. </w:t>
      </w:r>
    </w:p>
    <w:p w:rsidR="00BF6749" w:rsidRDefault="00BF6749">
      <w:pPr>
        <w:spacing w:before="120" w:after="120" w:line="240" w:lineRule="auto"/>
        <w:jc w:val="both"/>
        <w:rPr>
          <w:rFonts w:ascii="Times New Roman" w:hAnsi="Times New Roman"/>
          <w:b/>
          <w:noProof/>
          <w:sz w:val="24"/>
        </w:rPr>
      </w:pPr>
    </w:p>
    <w:p w:rsidR="00BF6749" w:rsidRDefault="00C87555">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Investment 2: </w:t>
      </w:r>
      <w:r>
        <w:rPr>
          <w:rFonts w:ascii="Times New Roman" w:hAnsi="Times New Roman"/>
          <w:b/>
          <w:bCs/>
          <w:noProof/>
          <w:sz w:val="24"/>
          <w:szCs w:val="24"/>
        </w:rPr>
        <w:t>Supporting</w:t>
      </w:r>
      <w:r>
        <w:rPr>
          <w:rFonts w:ascii="Times New Roman" w:hAnsi="Times New Roman"/>
          <w:b/>
          <w:noProof/>
          <w:sz w:val="24"/>
          <w:szCs w:val="24"/>
        </w:rPr>
        <w:t xml:space="preserve"> the functioning of the Slovak Environmental Inspectorate linked to decarbonisation </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 xml:space="preserve">The purpose of the measure is to support investments into the equipment of Slovak Environmental </w:t>
      </w:r>
      <w:r>
        <w:rPr>
          <w:rFonts w:ascii="Times New Roman" w:hAnsi="Times New Roman"/>
          <w:noProof/>
          <w:color w:val="000000"/>
          <w:sz w:val="24"/>
          <w:szCs w:val="24"/>
          <w:shd w:val="clear" w:color="auto" w:fill="FFFFFF"/>
          <w:lang w:val="en-IE"/>
        </w:rPr>
        <w:t>Inspectorate, strengthening the monitoring capacity of this institution in the decarbonisation process. Currently, the lack of equipment does not allow to carry out the necessary activities in view of the expected increase of the Inspectorate’s workload.</w:t>
      </w:r>
    </w:p>
    <w:p w:rsidR="00BF6749" w:rsidRDefault="00C87555">
      <w:pPr>
        <w:spacing w:before="120" w:after="120" w:line="240" w:lineRule="auto"/>
        <w:jc w:val="both"/>
        <w:rPr>
          <w:rFonts w:ascii="Times New Roman" w:hAnsi="Times New Roman"/>
          <w:noProof/>
          <w:color w:val="000000"/>
          <w:sz w:val="24"/>
          <w:szCs w:val="24"/>
          <w:shd w:val="clear" w:color="auto" w:fill="FFFFFF"/>
          <w:lang w:val="en-IE"/>
        </w:rPr>
      </w:pPr>
      <w:r>
        <w:rPr>
          <w:rFonts w:ascii="Times New Roman" w:hAnsi="Times New Roman"/>
          <w:noProof/>
          <w:color w:val="000000"/>
          <w:sz w:val="24"/>
          <w:szCs w:val="24"/>
          <w:shd w:val="clear" w:color="auto" w:fill="FFFFFF"/>
          <w:lang w:val="en-IE"/>
        </w:rPr>
        <w:t>T</w:t>
      </w:r>
      <w:r>
        <w:rPr>
          <w:rFonts w:ascii="Times New Roman" w:hAnsi="Times New Roman"/>
          <w:noProof/>
          <w:color w:val="000000"/>
          <w:sz w:val="24"/>
          <w:szCs w:val="24"/>
          <w:shd w:val="clear" w:color="auto" w:fill="FFFFFF"/>
          <w:lang w:val="en-IE"/>
        </w:rPr>
        <w:t>he investments shall help to modernise the equipment as well as facilities of the institution. This shall allow for streamlining of the operational activities of the inspectorate, including for the on-the-ground missions. The inspectorate vehicles should b</w:t>
      </w:r>
      <w:r>
        <w:rPr>
          <w:rFonts w:ascii="Times New Roman" w:hAnsi="Times New Roman"/>
          <w:noProof/>
          <w:color w:val="000000"/>
          <w:sz w:val="24"/>
          <w:szCs w:val="24"/>
          <w:shd w:val="clear" w:color="auto" w:fill="FFFFFF"/>
          <w:lang w:val="en-IE"/>
        </w:rPr>
        <w:t>e equipped with office and measuring technology, in particular for inspection on air protection, water protection and waste management. The investments shall also deliver improvements in the building premises of the inspectorate.</w:t>
      </w:r>
    </w:p>
    <w:p w:rsidR="00BF6749" w:rsidRDefault="00C87555">
      <w:pPr>
        <w:spacing w:before="120" w:after="120" w:line="240" w:lineRule="auto"/>
        <w:jc w:val="both"/>
        <w:rPr>
          <w:rFonts w:ascii="Times New Roman" w:hAnsi="Times New Roman"/>
          <w:noProof/>
          <w:color w:val="000000"/>
          <w:sz w:val="24"/>
          <w:shd w:val="clear" w:color="auto" w:fill="FFFFFF"/>
          <w:lang w:val="en-IE"/>
        </w:rPr>
      </w:pPr>
      <w:r>
        <w:rPr>
          <w:rFonts w:ascii="Times New Roman" w:hAnsi="Times New Roman"/>
          <w:noProof/>
          <w:color w:val="000000"/>
          <w:sz w:val="24"/>
          <w:szCs w:val="24"/>
          <w:shd w:val="clear" w:color="auto" w:fill="FFFFFF"/>
          <w:lang w:val="en-IE"/>
        </w:rPr>
        <w:t xml:space="preserve">The implementation of the </w:t>
      </w:r>
      <w:r>
        <w:rPr>
          <w:rFonts w:ascii="Times New Roman" w:hAnsi="Times New Roman"/>
          <w:noProof/>
          <w:color w:val="000000"/>
          <w:sz w:val="24"/>
          <w:szCs w:val="24"/>
          <w:shd w:val="clear" w:color="auto" w:fill="FFFFFF"/>
          <w:lang w:val="en-IE"/>
        </w:rPr>
        <w:t>investments is expected to start by 1 January 2022 and shall be completed by 30 June 2025.</w:t>
      </w:r>
    </w:p>
    <w:p w:rsidR="00BF6749" w:rsidRDefault="00BF6749">
      <w:pPr>
        <w:spacing w:before="120" w:after="120" w:line="240" w:lineRule="auto"/>
        <w:jc w:val="both"/>
        <w:rPr>
          <w:rFonts w:ascii="Times New Roman" w:hAnsi="Times New Roman"/>
          <w:noProof/>
          <w:color w:val="000000"/>
          <w:sz w:val="24"/>
          <w:shd w:val="clear" w:color="auto" w:fill="FFFFFF"/>
          <w:lang w:val="en-IE"/>
        </w:rPr>
        <w:sectPr w:rsidR="00BF6749">
          <w:headerReference w:type="even" r:id="rId54"/>
          <w:headerReference w:type="default" r:id="rId55"/>
          <w:footerReference w:type="even" r:id="rId56"/>
          <w:footerReference w:type="default" r:id="rId57"/>
          <w:headerReference w:type="first" r:id="rId58"/>
          <w:footerReference w:type="first" r:id="rId59"/>
          <w:pgSz w:w="11907" w:h="16839"/>
          <w:pgMar w:top="1134" w:right="1418" w:bottom="1134" w:left="1418" w:header="709" w:footer="709" w:gutter="0"/>
          <w:cols w:space="720"/>
          <w:docGrid w:linePitch="360"/>
        </w:sectPr>
      </w:pPr>
    </w:p>
    <w:p w:rsidR="00BF6749" w:rsidRDefault="00C87555">
      <w:pPr>
        <w:tabs>
          <w:tab w:val="left" w:pos="993"/>
        </w:tabs>
        <w:spacing w:before="120" w:after="120" w:line="240" w:lineRule="auto"/>
        <w:ind w:left="850"/>
        <w:jc w:val="both"/>
        <w:rPr>
          <w:rFonts w:ascii="Times New Roman" w:hAnsi="Times New Roman"/>
          <w:b/>
          <w:noProof/>
          <w:sz w:val="24"/>
          <w:szCs w:val="24"/>
          <w:u w:val="single"/>
        </w:rPr>
      </w:pPr>
      <w:r>
        <w:rPr>
          <w:rFonts w:ascii="Times New Roman" w:hAnsi="Times New Roman"/>
          <w:b/>
          <w:noProof/>
          <w:sz w:val="24"/>
          <w:szCs w:val="24"/>
          <w:u w:val="single"/>
        </w:rPr>
        <w:t xml:space="preserve">A.2. </w:t>
      </w:r>
      <w:r>
        <w:rPr>
          <w:noProof/>
        </w:rPr>
        <w:tab/>
      </w:r>
      <w:r>
        <w:rPr>
          <w:rFonts w:ascii="Times New Roman" w:hAnsi="Times New Roman"/>
          <w:b/>
          <w:noProof/>
          <w:sz w:val="24"/>
          <w:szCs w:val="24"/>
          <w:u w:val="single"/>
        </w:rPr>
        <w:t xml:space="preserve">Milestones, targets, indicators, and timetable for monitoring and implementation for non-repayable financial support </w:t>
      </w:r>
    </w:p>
    <w:tbl>
      <w:tblPr>
        <w:tblW w:w="15876" w:type="dxa"/>
        <w:tblInd w:w="-459" w:type="dxa"/>
        <w:tblLook w:val="04A0" w:firstRow="1" w:lastRow="0" w:firstColumn="1" w:lastColumn="0" w:noHBand="0" w:noVBand="1"/>
      </w:tblPr>
      <w:tblGrid>
        <w:gridCol w:w="1120"/>
        <w:gridCol w:w="1987"/>
        <w:gridCol w:w="1050"/>
        <w:gridCol w:w="1984"/>
        <w:gridCol w:w="1833"/>
        <w:gridCol w:w="1134"/>
        <w:gridCol w:w="1134"/>
        <w:gridCol w:w="990"/>
        <w:gridCol w:w="916"/>
        <w:gridCol w:w="925"/>
        <w:gridCol w:w="2803"/>
      </w:tblGrid>
      <w:tr w:rsidR="00BF6749">
        <w:trPr>
          <w:trHeight w:val="900"/>
        </w:trPr>
        <w:tc>
          <w:tcPr>
            <w:tcW w:w="1120" w:type="dxa"/>
            <w:vMerge w:val="restart"/>
            <w:tcBorders>
              <w:top w:val="single" w:sz="4" w:space="0" w:color="auto"/>
              <w:left w:val="single" w:sz="4" w:space="0" w:color="auto"/>
              <w:right w:val="single" w:sz="4" w:space="0" w:color="auto"/>
            </w:tcBorders>
            <w:shd w:val="clear" w:color="auto" w:fill="BDD7EE"/>
            <w:vAlign w:val="center"/>
            <w:hideMark/>
          </w:tcPr>
          <w:p w:rsidR="00BF6749" w:rsidRDefault="00C87555">
            <w:pPr>
              <w:spacing w:before="120" w:after="12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Seq. Num.</w:t>
            </w:r>
          </w:p>
          <w:p w:rsidR="00BF6749" w:rsidRDefault="00C87555">
            <w:pPr>
              <w:spacing w:after="0" w:line="256" w:lineRule="auto"/>
              <w:rPr>
                <w:rFonts w:ascii="Times New Roman" w:eastAsia="Times New Roman" w:hAnsi="Times New Roman"/>
                <w:b/>
                <w:noProof/>
                <w:sz w:val="20"/>
                <w:szCs w:val="20"/>
              </w:rPr>
            </w:pPr>
            <w:r>
              <w:rPr>
                <w:rFonts w:ascii="Times New Roman" w:eastAsia="Times New Roman" w:hAnsi="Times New Roman"/>
                <w:noProof/>
                <w:sz w:val="20"/>
                <w:szCs w:val="20"/>
              </w:rPr>
              <w:t> </w:t>
            </w:r>
          </w:p>
        </w:tc>
        <w:tc>
          <w:tcPr>
            <w:tcW w:w="1999"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Related measure (Reform or Investment)</w:t>
            </w:r>
          </w:p>
          <w:p w:rsidR="00BF6749" w:rsidRDefault="00C87555">
            <w:pPr>
              <w:spacing w:after="0" w:line="256" w:lineRule="auto"/>
              <w:rPr>
                <w:rFonts w:ascii="Times New Roman" w:eastAsia="Times New Roman" w:hAnsi="Times New Roman"/>
                <w:b/>
                <w:noProof/>
                <w:sz w:val="20"/>
                <w:szCs w:val="20"/>
              </w:rPr>
            </w:pPr>
            <w:r>
              <w:rPr>
                <w:rFonts w:ascii="Times New Roman" w:eastAsia="Times New Roman" w:hAnsi="Times New Roman"/>
                <w:noProof/>
                <w:sz w:val="20"/>
                <w:szCs w:val="20"/>
              </w:rPr>
              <w:t> </w:t>
            </w:r>
          </w:p>
        </w:tc>
        <w:tc>
          <w:tcPr>
            <w:tcW w:w="979"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Milestone / Target</w:t>
            </w:r>
          </w:p>
          <w:p w:rsidR="00BF6749" w:rsidRDefault="00C87555">
            <w:pPr>
              <w:spacing w:after="0" w:line="256" w:lineRule="auto"/>
              <w:rPr>
                <w:rFonts w:ascii="Times New Roman" w:eastAsia="Times New Roman" w:hAnsi="Times New Roman"/>
                <w:b/>
                <w:noProof/>
                <w:sz w:val="20"/>
                <w:szCs w:val="20"/>
              </w:rPr>
            </w:pPr>
            <w:r>
              <w:rPr>
                <w:rFonts w:ascii="Times New Roman" w:eastAsia="Times New Roman" w:hAnsi="Times New Roman"/>
                <w:noProof/>
                <w:sz w:val="20"/>
                <w:szCs w:val="20"/>
              </w:rPr>
              <w:t> </w:t>
            </w:r>
          </w:p>
        </w:tc>
        <w:tc>
          <w:tcPr>
            <w:tcW w:w="1998"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Name</w:t>
            </w:r>
          </w:p>
          <w:p w:rsidR="00BF6749" w:rsidRDefault="00C87555">
            <w:pPr>
              <w:spacing w:after="0" w:line="256" w:lineRule="auto"/>
              <w:rPr>
                <w:rFonts w:ascii="Times New Roman" w:eastAsia="Times New Roman" w:hAnsi="Times New Roman"/>
                <w:b/>
                <w:noProof/>
                <w:sz w:val="20"/>
                <w:szCs w:val="20"/>
              </w:rPr>
            </w:pPr>
            <w:r>
              <w:rPr>
                <w:rFonts w:ascii="Times New Roman" w:eastAsia="Times New Roman" w:hAnsi="Times New Roman"/>
                <w:noProof/>
                <w:sz w:val="20"/>
                <w:szCs w:val="20"/>
              </w:rPr>
              <w:t> </w:t>
            </w:r>
          </w:p>
        </w:tc>
        <w:tc>
          <w:tcPr>
            <w:tcW w:w="1842"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Qualitative indicators  (for milestones)</w:t>
            </w:r>
          </w:p>
          <w:p w:rsidR="00BF6749" w:rsidRDefault="00C87555">
            <w:pPr>
              <w:spacing w:after="0" w:line="256" w:lineRule="auto"/>
              <w:rPr>
                <w:rFonts w:ascii="Times New Roman" w:eastAsia="Times New Roman" w:hAnsi="Times New Roman"/>
                <w:b/>
                <w:noProof/>
                <w:sz w:val="20"/>
                <w:szCs w:val="20"/>
              </w:rPr>
            </w:pPr>
            <w:r>
              <w:rPr>
                <w:rFonts w:ascii="Times New Roman" w:eastAsia="Times New Roman" w:hAnsi="Times New Roman"/>
                <w:noProof/>
                <w:sz w:val="20"/>
                <w:szCs w:val="20"/>
              </w:rPr>
              <w:t> </w:t>
            </w:r>
          </w:p>
        </w:tc>
        <w:tc>
          <w:tcPr>
            <w:tcW w:w="3258" w:type="dxa"/>
            <w:gridSpan w:val="3"/>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Quantitative </w:t>
            </w:r>
            <w:r>
              <w:rPr>
                <w:rFonts w:ascii="Times New Roman" w:eastAsia="Times New Roman" w:hAnsi="Times New Roman"/>
                <w:b/>
                <w:noProof/>
                <w:sz w:val="20"/>
                <w:szCs w:val="20"/>
              </w:rPr>
              <w:t>indicators  (for targets)</w:t>
            </w:r>
          </w:p>
        </w:tc>
        <w:tc>
          <w:tcPr>
            <w:tcW w:w="1841" w:type="dxa"/>
            <w:gridSpan w:val="2"/>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bCs/>
                <w:noProof/>
                <w:sz w:val="20"/>
                <w:szCs w:val="20"/>
              </w:rPr>
              <w:t xml:space="preserve">Indicative timeline for completion </w:t>
            </w:r>
          </w:p>
        </w:tc>
        <w:tc>
          <w:tcPr>
            <w:tcW w:w="2839"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Description and clear definition of each milestone and target</w:t>
            </w:r>
          </w:p>
          <w:p w:rsidR="00BF6749" w:rsidRDefault="00C87555">
            <w:pPr>
              <w:spacing w:after="0" w:line="256" w:lineRule="auto"/>
              <w:rPr>
                <w:rFonts w:ascii="Times New Roman" w:eastAsia="Times New Roman" w:hAnsi="Times New Roman"/>
                <w:b/>
                <w:noProof/>
                <w:sz w:val="20"/>
                <w:szCs w:val="20"/>
              </w:rPr>
            </w:pPr>
            <w:r>
              <w:rPr>
                <w:rFonts w:ascii="Times New Roman" w:eastAsia="Times New Roman" w:hAnsi="Times New Roman"/>
                <w:noProof/>
                <w:sz w:val="20"/>
                <w:szCs w:val="20"/>
              </w:rPr>
              <w:t> </w:t>
            </w:r>
          </w:p>
        </w:tc>
      </w:tr>
      <w:tr w:rsidR="00BF6749">
        <w:trPr>
          <w:trHeight w:val="484"/>
        </w:trPr>
        <w:tc>
          <w:tcPr>
            <w:tcW w:w="1120" w:type="dxa"/>
            <w:vMerge/>
            <w:tcBorders>
              <w:left w:val="single" w:sz="4" w:space="0" w:color="auto"/>
              <w:bottom w:val="single" w:sz="4" w:space="0" w:color="auto"/>
              <w:right w:val="single" w:sz="4" w:space="0" w:color="auto"/>
            </w:tcBorders>
            <w:shd w:val="clear" w:color="auto" w:fill="BDD7EE"/>
            <w:vAlign w:val="center"/>
            <w:hideMark/>
          </w:tcPr>
          <w:p w:rsidR="00BF6749" w:rsidRDefault="00BF6749">
            <w:pPr>
              <w:spacing w:after="0" w:line="256" w:lineRule="auto"/>
              <w:rPr>
                <w:rFonts w:ascii="Times New Roman" w:eastAsia="Times New Roman" w:hAnsi="Times New Roman"/>
                <w:noProof/>
                <w:sz w:val="20"/>
                <w:szCs w:val="20"/>
              </w:rPr>
            </w:pPr>
          </w:p>
        </w:tc>
        <w:tc>
          <w:tcPr>
            <w:tcW w:w="1999"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56" w:lineRule="auto"/>
              <w:rPr>
                <w:rFonts w:ascii="Times New Roman" w:eastAsia="Times New Roman" w:hAnsi="Times New Roman"/>
                <w:noProof/>
                <w:sz w:val="20"/>
                <w:szCs w:val="20"/>
              </w:rPr>
            </w:pPr>
          </w:p>
        </w:tc>
        <w:tc>
          <w:tcPr>
            <w:tcW w:w="979"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56" w:lineRule="auto"/>
              <w:rPr>
                <w:rFonts w:ascii="Times New Roman" w:eastAsia="Times New Roman" w:hAnsi="Times New Roman"/>
                <w:noProof/>
                <w:sz w:val="20"/>
                <w:szCs w:val="20"/>
              </w:rPr>
            </w:pPr>
          </w:p>
        </w:tc>
        <w:tc>
          <w:tcPr>
            <w:tcW w:w="1998"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56" w:lineRule="auto"/>
              <w:rPr>
                <w:rFonts w:ascii="Times New Roman" w:eastAsia="Times New Roman" w:hAnsi="Times New Roman"/>
                <w:noProof/>
                <w:sz w:val="20"/>
                <w:szCs w:val="20"/>
              </w:rPr>
            </w:pPr>
          </w:p>
        </w:tc>
        <w:tc>
          <w:tcPr>
            <w:tcW w:w="1842"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56" w:lineRule="auto"/>
              <w:rPr>
                <w:rFonts w:ascii="Times New Roman" w:eastAsia="Times New Roman" w:hAnsi="Times New Roman"/>
                <w:noProof/>
                <w:sz w:val="20"/>
                <w:szCs w:val="20"/>
              </w:rPr>
            </w:pPr>
          </w:p>
        </w:tc>
        <w:tc>
          <w:tcPr>
            <w:tcW w:w="1134"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unit of measure </w:t>
            </w:r>
          </w:p>
        </w:tc>
        <w:tc>
          <w:tcPr>
            <w:tcW w:w="1134"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Baseline</w:t>
            </w:r>
          </w:p>
        </w:tc>
        <w:tc>
          <w:tcPr>
            <w:tcW w:w="990"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goal </w:t>
            </w:r>
          </w:p>
        </w:tc>
        <w:tc>
          <w:tcPr>
            <w:tcW w:w="916"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Quarter</w:t>
            </w:r>
          </w:p>
        </w:tc>
        <w:tc>
          <w:tcPr>
            <w:tcW w:w="925"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56"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Year</w:t>
            </w:r>
          </w:p>
        </w:tc>
        <w:tc>
          <w:tcPr>
            <w:tcW w:w="2839"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56" w:lineRule="auto"/>
              <w:rPr>
                <w:rFonts w:ascii="Times New Roman" w:eastAsia="Times New Roman" w:hAnsi="Times New Roman"/>
                <w:noProof/>
                <w:sz w:val="20"/>
                <w:szCs w:val="20"/>
              </w:rPr>
            </w:pPr>
          </w:p>
        </w:tc>
      </w:tr>
      <w:tr w:rsidR="00BF6749">
        <w:trPr>
          <w:trHeight w:val="1734"/>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w:t>
            </w:r>
          </w:p>
        </w:tc>
        <w:tc>
          <w:tcPr>
            <w:tcW w:w="199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4 – Decarbonisation of industry – Reform 1:The termination of </w:t>
            </w:r>
          </w:p>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coal-based </w:t>
            </w:r>
            <w:r>
              <w:rPr>
                <w:rFonts w:ascii="Times New Roman" w:eastAsia="Times New Roman" w:hAnsi="Times New Roman"/>
                <w:noProof/>
                <w:color w:val="006100"/>
                <w:sz w:val="20"/>
                <w:szCs w:val="20"/>
              </w:rPr>
              <w:t>electricity production at Nováky power plant and transformation of the Upper Nitra region</w:t>
            </w:r>
          </w:p>
          <w:p w:rsidR="00BF6749" w:rsidRDefault="00BF6749">
            <w:pPr>
              <w:spacing w:after="0" w:line="256" w:lineRule="auto"/>
              <w:rPr>
                <w:rFonts w:ascii="Times New Roman" w:eastAsia="Times New Roman" w:hAnsi="Times New Roman"/>
                <w:noProof/>
                <w:color w:val="006100"/>
                <w:sz w:val="20"/>
                <w:szCs w:val="20"/>
              </w:rPr>
            </w:pPr>
          </w:p>
        </w:tc>
        <w:tc>
          <w:tcPr>
            <w:tcW w:w="97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99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Transition away from coal at the Upper Nitra region</w:t>
            </w:r>
          </w:p>
        </w:tc>
        <w:tc>
          <w:tcPr>
            <w:tcW w:w="184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Cessation of the lignite electricity generation at  the Nováky Power Plant</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9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25"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2023</w:t>
            </w:r>
          </w:p>
        </w:tc>
        <w:tc>
          <w:tcPr>
            <w:tcW w:w="283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In the framewo</w:t>
            </w:r>
            <w:r>
              <w:rPr>
                <w:rFonts w:ascii="Times New Roman" w:eastAsia="Times New Roman" w:hAnsi="Times New Roman"/>
                <w:noProof/>
                <w:color w:val="006100"/>
                <w:sz w:val="20"/>
                <w:szCs w:val="20"/>
              </w:rPr>
              <w:t>rk of transformation of the Upper Nitra region for the Nováky power plant:</w:t>
            </w:r>
          </w:p>
          <w:p w:rsidR="00BF6749" w:rsidRDefault="00C87555">
            <w:pPr>
              <w:numPr>
                <w:ilvl w:val="0"/>
                <w:numId w:val="27"/>
              </w:numPr>
              <w:spacing w:before="120" w:after="0" w:line="256" w:lineRule="auto"/>
              <w:contextualSpacing/>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Slovak authorities shall terminate the support to lignite electricity generation.</w:t>
            </w:r>
          </w:p>
          <w:p w:rsidR="00BF6749" w:rsidRDefault="00C87555">
            <w:pPr>
              <w:numPr>
                <w:ilvl w:val="0"/>
                <w:numId w:val="27"/>
              </w:numPr>
              <w:spacing w:before="120" w:after="0" w:line="256" w:lineRule="auto"/>
              <w:contextualSpacing/>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lignite electricity generation shall be discontinued</w:t>
            </w:r>
          </w:p>
          <w:p w:rsidR="00BF6749" w:rsidRDefault="00BF6749">
            <w:pPr>
              <w:spacing w:after="0" w:line="256" w:lineRule="auto"/>
              <w:rPr>
                <w:rFonts w:ascii="Times New Roman" w:eastAsia="Times New Roman" w:hAnsi="Times New Roman"/>
                <w:noProof/>
                <w:color w:val="006100"/>
                <w:sz w:val="20"/>
                <w:szCs w:val="20"/>
              </w:rPr>
            </w:pPr>
          </w:p>
        </w:tc>
      </w:tr>
      <w:tr w:rsidR="00BF6749">
        <w:trPr>
          <w:trHeight w:val="1500"/>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highlight w:val="yellow"/>
              </w:rPr>
            </w:pPr>
            <w:r>
              <w:rPr>
                <w:rFonts w:ascii="Times New Roman" w:eastAsia="Times New Roman" w:hAnsi="Times New Roman"/>
                <w:noProof/>
                <w:color w:val="006100"/>
                <w:sz w:val="20"/>
                <w:szCs w:val="20"/>
              </w:rPr>
              <w:t>2</w:t>
            </w:r>
          </w:p>
        </w:tc>
        <w:tc>
          <w:tcPr>
            <w:tcW w:w="1999"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56" w:lineRule="auto"/>
              <w:rPr>
                <w:rFonts w:ascii="Times New Roman" w:eastAsia="Times New Roman" w:hAnsi="Times New Roman"/>
                <w:noProof/>
                <w:color w:val="006100"/>
                <w:sz w:val="20"/>
                <w:szCs w:val="20"/>
                <w:highlight w:val="yellow"/>
              </w:rPr>
            </w:pPr>
          </w:p>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 – Decarbonisation of industry –</w:t>
            </w:r>
            <w:r>
              <w:rPr>
                <w:rFonts w:ascii="Times New Roman" w:eastAsia="Times New Roman" w:hAnsi="Times New Roman"/>
                <w:noProof/>
                <w:color w:val="006100"/>
                <w:sz w:val="20"/>
                <w:szCs w:val="20"/>
              </w:rPr>
              <w:t xml:space="preserve"> Reform 2: The competitive scheme for greenhouse gas emissions reduction in industry</w:t>
            </w:r>
          </w:p>
          <w:p w:rsidR="00BF6749" w:rsidRDefault="00BF6749">
            <w:pPr>
              <w:spacing w:after="0" w:line="256" w:lineRule="auto"/>
              <w:rPr>
                <w:rFonts w:ascii="Times New Roman" w:eastAsia="Times New Roman" w:hAnsi="Times New Roman"/>
                <w:noProof/>
                <w:color w:val="006100"/>
                <w:sz w:val="20"/>
                <w:szCs w:val="20"/>
              </w:rPr>
            </w:pPr>
          </w:p>
          <w:p w:rsidR="00BF6749" w:rsidRDefault="00BF6749">
            <w:pPr>
              <w:spacing w:after="0" w:line="256" w:lineRule="auto"/>
              <w:rPr>
                <w:rFonts w:ascii="Times New Roman" w:eastAsia="Times New Roman" w:hAnsi="Times New Roman"/>
                <w:noProof/>
                <w:color w:val="006100"/>
                <w:sz w:val="20"/>
                <w:szCs w:val="20"/>
                <w:highlight w:val="yellow"/>
              </w:rPr>
            </w:pPr>
          </w:p>
        </w:tc>
        <w:tc>
          <w:tcPr>
            <w:tcW w:w="97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99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Adoption of the industrial decarbonisation</w:t>
            </w:r>
          </w:p>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scheme</w:t>
            </w:r>
          </w:p>
        </w:tc>
        <w:tc>
          <w:tcPr>
            <w:tcW w:w="184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Adoption of the scheme on industrial decarbonisation by the Ministry of Environment  </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before="120" w:after="120" w:line="240" w:lineRule="auto"/>
              <w:jc w:val="both"/>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line="256" w:lineRule="auto"/>
              <w:rPr>
                <w:rFonts w:ascii="Times New Roman" w:hAnsi="Times New Roman"/>
                <w:noProof/>
                <w:sz w:val="20"/>
                <w:szCs w:val="20"/>
                <w:lang w:eastAsia="sk-SK"/>
              </w:rPr>
            </w:pPr>
          </w:p>
        </w:tc>
        <w:tc>
          <w:tcPr>
            <w:tcW w:w="990"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line="256" w:lineRule="auto"/>
              <w:rPr>
                <w:rFonts w:ascii="Times New Roman" w:hAnsi="Times New Roman"/>
                <w:noProof/>
                <w:sz w:val="20"/>
                <w:szCs w:val="20"/>
                <w:lang w:eastAsia="sk-SK"/>
              </w:rPr>
            </w:pP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25"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2839"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0" w:line="256"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Adoption of </w:t>
            </w:r>
            <w:r>
              <w:rPr>
                <w:rFonts w:ascii="Times New Roman" w:eastAsia="Times New Roman" w:hAnsi="Times New Roman"/>
                <w:noProof/>
                <w:color w:val="006100"/>
                <w:sz w:val="20"/>
                <w:szCs w:val="20"/>
              </w:rPr>
              <w:t>the industrial decarbonisation scheme delivering efficient results by the Ministry of Environment. The competitive decarbonisation scheme shall be rolled out through a non-discriminatory, transparent and open bidding process, open to all industrial sectors</w:t>
            </w:r>
            <w:r>
              <w:rPr>
                <w:rFonts w:ascii="Times New Roman" w:eastAsia="Times New Roman" w:hAnsi="Times New Roman"/>
                <w:noProof/>
                <w:color w:val="006100"/>
                <w:sz w:val="20"/>
                <w:szCs w:val="20"/>
              </w:rPr>
              <w:t>. The support shall target the low carbon processes and technologies in industry and adoption of energy efficiency measures.</w:t>
            </w:r>
          </w:p>
          <w:p w:rsidR="00BF6749" w:rsidRDefault="00C87555">
            <w:pPr>
              <w:spacing w:before="120" w:after="0" w:line="256"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investment policy of the scheme shall include at least the following eligibility and project selection criteria:</w:t>
            </w:r>
          </w:p>
          <w:p w:rsidR="00BF6749" w:rsidRDefault="00C87555">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objective </w:t>
            </w:r>
            <w:r>
              <w:rPr>
                <w:rFonts w:ascii="Times New Roman" w:eastAsia="Times New Roman" w:hAnsi="Times New Roman"/>
                <w:noProof/>
                <w:color w:val="006100"/>
                <w:sz w:val="20"/>
                <w:szCs w:val="20"/>
              </w:rPr>
              <w:t>of the lowest price per tonne of the greenhouse gas saved;</w:t>
            </w:r>
          </w:p>
          <w:p w:rsidR="00BF6749" w:rsidRDefault="00C87555">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ensuring compliance with the EU acquis and national environmental laws as well as the DNSH Technical Guidance (2021/C58/01) of supported activities and companies and specifying decarbonisation targ</w:t>
            </w:r>
            <w:r>
              <w:rPr>
                <w:rFonts w:ascii="Times New Roman" w:eastAsia="Times New Roman" w:hAnsi="Times New Roman"/>
                <w:noProof/>
                <w:color w:val="006100"/>
                <w:sz w:val="20"/>
                <w:szCs w:val="20"/>
              </w:rPr>
              <w:t xml:space="preserve">ets. </w:t>
            </w:r>
          </w:p>
          <w:p w:rsidR="00BF6749" w:rsidRDefault="00C87555">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supporting only best available technology compliant projects;</w:t>
            </w:r>
          </w:p>
          <w:p w:rsidR="00BF6749" w:rsidRDefault="00C87555">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supported EU Emission Trading Scheme installations  shall reduce their emissions substantially below the benchmark relevant to the project bid. The ‘substantially below benchmark’ </w:t>
            </w:r>
            <w:r>
              <w:rPr>
                <w:rFonts w:ascii="Times New Roman" w:eastAsia="Times New Roman" w:hAnsi="Times New Roman"/>
                <w:noProof/>
                <w:color w:val="006100"/>
                <w:sz w:val="20"/>
                <w:szCs w:val="20"/>
              </w:rPr>
              <w:t>condition shall be part of selection criteria for the procurement. </w:t>
            </w:r>
          </w:p>
          <w:p w:rsidR="00BF6749" w:rsidRDefault="00C87555">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no fossil fuels shall be supported</w:t>
            </w:r>
          </w:p>
          <w:p w:rsidR="00BF6749" w:rsidRDefault="00C87555">
            <w:pPr>
              <w:numPr>
                <w:ilvl w:val="0"/>
                <w:numId w:val="24"/>
              </w:numPr>
              <w:spacing w:before="120" w:after="0" w:line="256" w:lineRule="auto"/>
              <w:ind w:left="360"/>
              <w:contextualSpacing/>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quantity of greenhouse gases emitted (in CO2 equivalent units, weighted average) of the enterprises supported by the scheme shall decrease by at leas</w:t>
            </w:r>
            <w:r>
              <w:rPr>
                <w:rFonts w:ascii="Times New Roman" w:eastAsia="Times New Roman" w:hAnsi="Times New Roman"/>
                <w:noProof/>
                <w:color w:val="006100"/>
                <w:sz w:val="20"/>
                <w:szCs w:val="20"/>
              </w:rPr>
              <w:t>t 30%</w:t>
            </w:r>
          </w:p>
          <w:p w:rsidR="00BF6749" w:rsidRDefault="00BF6749">
            <w:pPr>
              <w:spacing w:line="254" w:lineRule="auto"/>
              <w:jc w:val="both"/>
              <w:rPr>
                <w:rFonts w:ascii="Times New Roman" w:eastAsia="Times New Roman" w:hAnsi="Times New Roman"/>
                <w:noProof/>
                <w:color w:val="006100"/>
                <w:sz w:val="20"/>
                <w:szCs w:val="20"/>
              </w:rPr>
            </w:pPr>
          </w:p>
          <w:p w:rsidR="00BF6749" w:rsidRDefault="00C87555">
            <w:pPr>
              <w:spacing w:line="254"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Slovak authorities shall provide assurances on timely data delivery for all supported projects by 30 June 2026 at the latest or they shall demonstrate that greenhouse gas emissions savings are to be delivered based on assumed parameters of </w:t>
            </w:r>
            <w:r>
              <w:rPr>
                <w:rFonts w:ascii="Times New Roman" w:eastAsia="Times New Roman" w:hAnsi="Times New Roman"/>
                <w:noProof/>
                <w:color w:val="006100"/>
                <w:sz w:val="20"/>
                <w:szCs w:val="20"/>
              </w:rPr>
              <w:t>supported technologies (based on certificates by producers) or the combination of both approaches. The preliminary quantification of greenhouse gas emissions reductions by the decarbonisation projects may be based on technical documents stating key paramet</w:t>
            </w:r>
            <w:r>
              <w:rPr>
                <w:rFonts w:ascii="Times New Roman" w:eastAsia="Times New Roman" w:hAnsi="Times New Roman"/>
                <w:noProof/>
                <w:color w:val="006100"/>
                <w:sz w:val="20"/>
                <w:szCs w:val="20"/>
              </w:rPr>
              <w:t>ers, consumption of energy and input materials of supported technologies.</w:t>
            </w:r>
          </w:p>
          <w:p w:rsidR="00BF6749" w:rsidRDefault="00C87555">
            <w:pPr>
              <w:spacing w:before="120" w:after="0" w:line="256"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Slovak authorities shall share with the Commission the baseline scenarios as well as the projected impact of the supported technologies, following the selection of the projects.</w:t>
            </w:r>
          </w:p>
          <w:p w:rsidR="00BF6749" w:rsidRDefault="00BF6749">
            <w:pPr>
              <w:spacing w:before="120" w:after="0" w:line="256" w:lineRule="auto"/>
              <w:jc w:val="both"/>
              <w:rPr>
                <w:rFonts w:ascii="Times New Roman" w:eastAsia="Times New Roman" w:hAnsi="Times New Roman"/>
                <w:noProof/>
                <w:color w:val="006100"/>
                <w:sz w:val="20"/>
                <w:szCs w:val="20"/>
              </w:rPr>
            </w:pPr>
          </w:p>
          <w:p w:rsidR="00BF6749" w:rsidRDefault="00BF6749">
            <w:pPr>
              <w:spacing w:before="120" w:after="0" w:line="256" w:lineRule="auto"/>
              <w:jc w:val="both"/>
              <w:rPr>
                <w:rFonts w:ascii="Times New Roman" w:eastAsia="Times New Roman" w:hAnsi="Times New Roman"/>
                <w:noProof/>
                <w:color w:val="006100"/>
                <w:sz w:val="20"/>
                <w:szCs w:val="20"/>
              </w:rPr>
            </w:pPr>
          </w:p>
        </w:tc>
      </w:tr>
      <w:tr w:rsidR="00BF6749">
        <w:trPr>
          <w:trHeight w:val="126"/>
        </w:trPr>
        <w:tc>
          <w:tcPr>
            <w:tcW w:w="1120"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3</w:t>
            </w:r>
          </w:p>
        </w:tc>
        <w:tc>
          <w:tcPr>
            <w:tcW w:w="1999"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56" w:lineRule="auto"/>
              <w:rPr>
                <w:rFonts w:ascii="Times New Roman" w:eastAsia="Times New Roman" w:hAnsi="Times New Roman"/>
                <w:noProof/>
                <w:color w:val="006100"/>
                <w:sz w:val="20"/>
                <w:szCs w:val="20"/>
              </w:rPr>
            </w:pPr>
          </w:p>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 – Decarbonisation of industry – Investment 1:  The operation of the industry decarbonisation scheme</w:t>
            </w:r>
          </w:p>
        </w:tc>
        <w:tc>
          <w:tcPr>
            <w:tcW w:w="97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Milestone</w:t>
            </w:r>
          </w:p>
        </w:tc>
        <w:tc>
          <w:tcPr>
            <w:tcW w:w="199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Completion of implementation of the industry decarbonisation projects co-financed by the RRF</w:t>
            </w:r>
          </w:p>
        </w:tc>
        <w:tc>
          <w:tcPr>
            <w:tcW w:w="184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Adoption of a list of completed </w:t>
            </w:r>
            <w:r>
              <w:rPr>
                <w:rFonts w:ascii="Times New Roman" w:eastAsia="Times New Roman" w:hAnsi="Times New Roman"/>
                <w:noProof/>
                <w:color w:val="006100"/>
                <w:sz w:val="20"/>
                <w:szCs w:val="20"/>
              </w:rPr>
              <w:t>decarbonisation projects by the Ministry of Environment</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line="256"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line="256" w:lineRule="auto"/>
              <w:rPr>
                <w:rFonts w:ascii="Times New Roman" w:eastAsia="Times New Roman" w:hAnsi="Times New Roman"/>
                <w:noProof/>
                <w:color w:val="006100"/>
                <w:sz w:val="20"/>
                <w:szCs w:val="20"/>
              </w:rPr>
            </w:pPr>
          </w:p>
        </w:tc>
        <w:tc>
          <w:tcPr>
            <w:tcW w:w="990"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line="256" w:lineRule="auto"/>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925"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2839"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0" w:line="256"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Ministry of Environment shall adopt a list of completed projects supported through the decarbonisation scheme, which shall constitute a basis for measuring the reduction in greenhouse g</w:t>
            </w:r>
            <w:r>
              <w:rPr>
                <w:rFonts w:ascii="Times New Roman" w:eastAsia="Times New Roman" w:hAnsi="Times New Roman"/>
                <w:noProof/>
                <w:color w:val="006100"/>
                <w:sz w:val="20"/>
                <w:szCs w:val="20"/>
              </w:rPr>
              <w:t>as emissions under measure. The emission reduction shall be observed either on the basis of data collection for projects under the decarbonisation scheme or demonstrated through assumed parameters of supported technologies under the measure based on certif</w:t>
            </w:r>
            <w:r>
              <w:rPr>
                <w:rFonts w:ascii="Times New Roman" w:eastAsia="Times New Roman" w:hAnsi="Times New Roman"/>
                <w:noProof/>
                <w:color w:val="006100"/>
                <w:sz w:val="20"/>
                <w:szCs w:val="20"/>
              </w:rPr>
              <w:t xml:space="preserve">icates by producers or the combination of both approaches Of the overall objective to reduce the greenhouse gas emissions by 1 369 917   tonnes of CO2 equivalent, the decarbonisation scheme shall deliver at least the reduction of 1 232 926   tonnes of CO2 </w:t>
            </w:r>
            <w:r>
              <w:rPr>
                <w:rFonts w:ascii="Times New Roman" w:eastAsia="Times New Roman" w:hAnsi="Times New Roman"/>
                <w:noProof/>
                <w:color w:val="006100"/>
                <w:sz w:val="20"/>
                <w:szCs w:val="20"/>
              </w:rPr>
              <w:t xml:space="preserve">equivalent. </w:t>
            </w:r>
          </w:p>
          <w:p w:rsidR="00BF6749" w:rsidRDefault="00BF6749">
            <w:pPr>
              <w:spacing w:before="120" w:after="0" w:line="256" w:lineRule="auto"/>
              <w:jc w:val="both"/>
              <w:rPr>
                <w:rFonts w:ascii="Times New Roman" w:eastAsia="Times New Roman" w:hAnsi="Times New Roman"/>
                <w:noProof/>
                <w:color w:val="006100"/>
                <w:sz w:val="20"/>
                <w:szCs w:val="20"/>
              </w:rPr>
            </w:pPr>
          </w:p>
        </w:tc>
      </w:tr>
      <w:tr w:rsidR="00BF6749">
        <w:trPr>
          <w:trHeight w:val="2127"/>
        </w:trPr>
        <w:tc>
          <w:tcPr>
            <w:tcW w:w="1120" w:type="dxa"/>
            <w:tcBorders>
              <w:top w:val="single" w:sz="4" w:space="0" w:color="auto"/>
              <w:left w:val="single" w:sz="4" w:space="0" w:color="auto"/>
              <w:bottom w:val="single" w:sz="4" w:space="0" w:color="auto"/>
              <w:right w:val="single" w:sz="4" w:space="0" w:color="auto"/>
            </w:tcBorders>
            <w:shd w:val="clear" w:color="auto" w:fill="C6EFCE"/>
            <w:noWrap/>
            <w:vAlign w:val="center"/>
          </w:tcPr>
          <w:p w:rsidR="00BF6749" w:rsidRDefault="00BF6749">
            <w:pPr>
              <w:spacing w:after="0" w:line="256" w:lineRule="auto"/>
              <w:jc w:val="center"/>
              <w:rPr>
                <w:rFonts w:ascii="Times New Roman" w:eastAsia="Times New Roman" w:hAnsi="Times New Roman"/>
                <w:noProof/>
                <w:color w:val="006100"/>
                <w:sz w:val="20"/>
                <w:szCs w:val="20"/>
              </w:rPr>
            </w:pPr>
          </w:p>
          <w:p w:rsidR="00BF6749" w:rsidRDefault="00BF6749">
            <w:pPr>
              <w:spacing w:after="0" w:line="256" w:lineRule="auto"/>
              <w:jc w:val="center"/>
              <w:rPr>
                <w:rFonts w:ascii="Times New Roman" w:eastAsia="Times New Roman" w:hAnsi="Times New Roman"/>
                <w:noProof/>
                <w:color w:val="006100"/>
                <w:sz w:val="20"/>
                <w:szCs w:val="20"/>
              </w:rPr>
            </w:pPr>
          </w:p>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w:t>
            </w:r>
          </w:p>
          <w:p w:rsidR="00BF6749" w:rsidRDefault="00BF6749">
            <w:pPr>
              <w:spacing w:after="0" w:line="256" w:lineRule="auto"/>
              <w:jc w:val="center"/>
              <w:rPr>
                <w:rFonts w:ascii="Times New Roman" w:eastAsia="Times New Roman" w:hAnsi="Times New Roman"/>
                <w:noProof/>
                <w:color w:val="006100"/>
                <w:sz w:val="20"/>
                <w:szCs w:val="20"/>
              </w:rPr>
            </w:pPr>
          </w:p>
          <w:p w:rsidR="00BF6749" w:rsidRDefault="00BF6749">
            <w:pPr>
              <w:spacing w:after="0" w:line="256" w:lineRule="auto"/>
              <w:jc w:val="center"/>
              <w:rPr>
                <w:rFonts w:ascii="Times New Roman" w:eastAsia="Times New Roman" w:hAnsi="Times New Roman"/>
                <w:noProof/>
                <w:color w:val="006100"/>
                <w:sz w:val="20"/>
                <w:szCs w:val="20"/>
              </w:rPr>
            </w:pPr>
          </w:p>
          <w:p w:rsidR="00BF6749" w:rsidRDefault="00BF6749">
            <w:pPr>
              <w:spacing w:after="0" w:line="256" w:lineRule="auto"/>
              <w:jc w:val="center"/>
              <w:rPr>
                <w:rFonts w:ascii="Times New Roman" w:eastAsia="Times New Roman" w:hAnsi="Times New Roman"/>
                <w:noProof/>
                <w:color w:val="006100"/>
                <w:sz w:val="20"/>
                <w:szCs w:val="20"/>
              </w:rPr>
            </w:pPr>
          </w:p>
          <w:p w:rsidR="00BF6749" w:rsidRDefault="00BF6749">
            <w:pPr>
              <w:spacing w:after="0" w:line="256" w:lineRule="auto"/>
              <w:jc w:val="center"/>
              <w:rPr>
                <w:rFonts w:ascii="Times New Roman" w:eastAsia="Times New Roman" w:hAnsi="Times New Roman"/>
                <w:noProof/>
                <w:color w:val="006100"/>
                <w:sz w:val="20"/>
                <w:szCs w:val="20"/>
              </w:rPr>
            </w:pPr>
          </w:p>
        </w:tc>
        <w:tc>
          <w:tcPr>
            <w:tcW w:w="1999" w:type="dxa"/>
            <w:tcBorders>
              <w:top w:val="single" w:sz="4" w:space="0" w:color="auto"/>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4 – Decarbonisation of industry –  Investment 2: Ensuring the functioning of the Slovak Inspectorate of the Environment linked to decarbonisation </w:t>
            </w:r>
          </w:p>
          <w:p w:rsidR="00BF6749" w:rsidRDefault="00BF6749">
            <w:pPr>
              <w:spacing w:after="0" w:line="256" w:lineRule="auto"/>
              <w:rPr>
                <w:rFonts w:ascii="Times New Roman" w:eastAsia="Times New Roman" w:hAnsi="Times New Roman"/>
                <w:noProof/>
                <w:color w:val="006100"/>
                <w:sz w:val="20"/>
                <w:szCs w:val="20"/>
              </w:rPr>
            </w:pPr>
          </w:p>
          <w:p w:rsidR="00BF6749" w:rsidRDefault="00BF6749">
            <w:pPr>
              <w:spacing w:after="0" w:line="256" w:lineRule="auto"/>
              <w:rPr>
                <w:rFonts w:ascii="Times New Roman" w:eastAsia="Times New Roman" w:hAnsi="Times New Roman"/>
                <w:noProof/>
                <w:color w:val="006100"/>
                <w:sz w:val="20"/>
                <w:szCs w:val="20"/>
              </w:rPr>
            </w:pPr>
          </w:p>
        </w:tc>
        <w:tc>
          <w:tcPr>
            <w:tcW w:w="979" w:type="dxa"/>
            <w:tcBorders>
              <w:top w:val="single" w:sz="4" w:space="0" w:color="auto"/>
              <w:left w:val="nil"/>
              <w:bottom w:val="single" w:sz="4" w:space="0" w:color="auto"/>
              <w:right w:val="single" w:sz="4" w:space="0" w:color="auto"/>
            </w:tcBorders>
            <w:shd w:val="clear" w:color="auto" w:fill="C6EFCE"/>
            <w:noWrap/>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998" w:type="dxa"/>
            <w:tcBorders>
              <w:top w:val="single" w:sz="4" w:space="0" w:color="auto"/>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Capacity increasing investments for the Slovak Inspectorate of the Environment </w:t>
            </w:r>
          </w:p>
        </w:tc>
        <w:tc>
          <w:tcPr>
            <w:tcW w:w="1842" w:type="dxa"/>
            <w:tcBorders>
              <w:top w:val="single" w:sz="4" w:space="0" w:color="auto"/>
              <w:left w:val="nil"/>
              <w:bottom w:val="single" w:sz="4" w:space="0" w:color="auto"/>
              <w:right w:val="single" w:sz="4" w:space="0" w:color="auto"/>
            </w:tcBorders>
            <w:shd w:val="clear" w:color="auto" w:fill="C6EFCE"/>
            <w:vAlign w:val="center"/>
            <w:hideMark/>
          </w:tcPr>
          <w:p w:rsidR="00BF6749" w:rsidRDefault="00C87555">
            <w:pPr>
              <w:spacing w:after="0" w:line="256"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Completion of the RRF investment activities by the Slovak Inspectorate of the Environment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rsidR="00BF6749" w:rsidRDefault="00BF6749">
            <w:pPr>
              <w:spacing w:after="0" w:line="256" w:lineRule="auto"/>
              <w:rPr>
                <w:rFonts w:ascii="Times New Roman" w:eastAsia="Times New Roman" w:hAnsi="Times New Roman"/>
                <w:noProof/>
                <w:color w:val="006100"/>
                <w:sz w:val="20"/>
                <w:szCs w:val="20"/>
              </w:rPr>
            </w:pPr>
          </w:p>
        </w:tc>
        <w:tc>
          <w:tcPr>
            <w:tcW w:w="1134" w:type="dxa"/>
            <w:tcBorders>
              <w:top w:val="single" w:sz="4" w:space="0" w:color="auto"/>
              <w:left w:val="nil"/>
              <w:bottom w:val="single" w:sz="4" w:space="0" w:color="auto"/>
              <w:right w:val="single" w:sz="4" w:space="0" w:color="auto"/>
            </w:tcBorders>
            <w:shd w:val="clear" w:color="auto" w:fill="C6EFCE"/>
            <w:noWrap/>
            <w:vAlign w:val="center"/>
          </w:tcPr>
          <w:p w:rsidR="00BF6749" w:rsidRDefault="00BF6749">
            <w:pPr>
              <w:spacing w:after="0" w:line="256" w:lineRule="auto"/>
              <w:rPr>
                <w:rFonts w:ascii="Times New Roman" w:eastAsia="Times New Roman" w:hAnsi="Times New Roman"/>
                <w:noProof/>
                <w:color w:val="006100"/>
                <w:sz w:val="20"/>
                <w:szCs w:val="20"/>
              </w:rPr>
            </w:pPr>
          </w:p>
        </w:tc>
        <w:tc>
          <w:tcPr>
            <w:tcW w:w="990" w:type="dxa"/>
            <w:tcBorders>
              <w:top w:val="single" w:sz="4" w:space="0" w:color="auto"/>
              <w:left w:val="nil"/>
              <w:bottom w:val="single" w:sz="4" w:space="0" w:color="auto"/>
              <w:right w:val="single" w:sz="4" w:space="0" w:color="auto"/>
            </w:tcBorders>
            <w:shd w:val="clear" w:color="auto" w:fill="C6EFCE"/>
            <w:noWrap/>
            <w:vAlign w:val="center"/>
          </w:tcPr>
          <w:p w:rsidR="00BF6749" w:rsidRDefault="00BF6749">
            <w:pPr>
              <w:spacing w:after="0" w:line="256" w:lineRule="auto"/>
              <w:rPr>
                <w:rFonts w:ascii="Times New Roman" w:eastAsia="Times New Roman" w:hAnsi="Times New Roman"/>
                <w:noProof/>
                <w:color w:val="006100"/>
                <w:sz w:val="20"/>
                <w:szCs w:val="20"/>
              </w:rPr>
            </w:pPr>
          </w:p>
        </w:tc>
        <w:tc>
          <w:tcPr>
            <w:tcW w:w="916" w:type="dxa"/>
            <w:tcBorders>
              <w:top w:val="single" w:sz="4" w:space="0" w:color="auto"/>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p w:rsidR="00BF6749" w:rsidRDefault="00BF6749">
            <w:pPr>
              <w:spacing w:after="0" w:line="256" w:lineRule="auto"/>
              <w:jc w:val="center"/>
              <w:rPr>
                <w:rFonts w:ascii="Times New Roman" w:eastAsia="Times New Roman" w:hAnsi="Times New Roman"/>
                <w:noProof/>
                <w:color w:val="006100"/>
                <w:sz w:val="20"/>
                <w:szCs w:val="20"/>
              </w:rPr>
            </w:pPr>
          </w:p>
        </w:tc>
        <w:tc>
          <w:tcPr>
            <w:tcW w:w="925" w:type="dxa"/>
            <w:tcBorders>
              <w:top w:val="single" w:sz="4" w:space="0" w:color="auto"/>
              <w:left w:val="nil"/>
              <w:bottom w:val="single" w:sz="4" w:space="0" w:color="auto"/>
              <w:right w:val="single" w:sz="4" w:space="0" w:color="auto"/>
            </w:tcBorders>
            <w:shd w:val="clear" w:color="auto" w:fill="C6EFCE"/>
            <w:noWrap/>
            <w:vAlign w:val="center"/>
            <w:hideMark/>
          </w:tcPr>
          <w:p w:rsidR="00BF6749" w:rsidRDefault="00C87555">
            <w:pPr>
              <w:spacing w:after="0" w:line="256"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p w:rsidR="00BF6749" w:rsidRDefault="00BF6749">
            <w:pPr>
              <w:spacing w:after="0" w:line="256" w:lineRule="auto"/>
              <w:jc w:val="center"/>
              <w:rPr>
                <w:rFonts w:ascii="Times New Roman" w:eastAsia="Times New Roman" w:hAnsi="Times New Roman"/>
                <w:noProof/>
                <w:color w:val="006100"/>
                <w:sz w:val="20"/>
                <w:szCs w:val="20"/>
              </w:rPr>
            </w:pPr>
          </w:p>
        </w:tc>
        <w:tc>
          <w:tcPr>
            <w:tcW w:w="2839" w:type="dxa"/>
            <w:tcBorders>
              <w:top w:val="single" w:sz="4" w:space="0" w:color="auto"/>
              <w:left w:val="nil"/>
              <w:bottom w:val="single" w:sz="4" w:space="0" w:color="auto"/>
              <w:right w:val="single" w:sz="4" w:space="0" w:color="auto"/>
            </w:tcBorders>
            <w:shd w:val="clear" w:color="auto" w:fill="C6EFCE"/>
            <w:vAlign w:val="center"/>
          </w:tcPr>
          <w:p w:rsidR="00BF6749" w:rsidRDefault="00C87555">
            <w:pPr>
              <w:spacing w:before="120" w:after="0" w:line="256"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investments shall modernize the equipment as well as facilities of t</w:t>
            </w:r>
            <w:r>
              <w:rPr>
                <w:rFonts w:ascii="Times New Roman" w:eastAsia="Times New Roman" w:hAnsi="Times New Roman"/>
                <w:noProof/>
                <w:color w:val="006100"/>
                <w:sz w:val="20"/>
                <w:szCs w:val="20"/>
              </w:rPr>
              <w:t>he Slovak Inspectorate of the Environment. The new inspectorate vehicles shall be equipped with office and measuring technology, in particular for inspection of air protection, water protection and waste management. The investments shall deliver improvemen</w:t>
            </w:r>
            <w:r>
              <w:rPr>
                <w:rFonts w:ascii="Times New Roman" w:eastAsia="Times New Roman" w:hAnsi="Times New Roman"/>
                <w:noProof/>
                <w:color w:val="006100"/>
                <w:sz w:val="20"/>
                <w:szCs w:val="20"/>
              </w:rPr>
              <w:t>ts to the building premises of the Inspectorate.</w:t>
            </w:r>
          </w:p>
        </w:tc>
      </w:tr>
    </w:tbl>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noProof/>
          <w:lang w:val="en-US"/>
        </w:rPr>
      </w:pPr>
      <w:r>
        <w:rPr>
          <w:rFonts w:ascii="Times New Roman" w:hAnsi="Times New Roman"/>
          <w:noProof/>
          <w:sz w:val="24"/>
          <w:lang w:val="en-US"/>
        </w:rPr>
        <w:fldChar w:fldCharType="begin"/>
      </w:r>
      <w:r>
        <w:rPr>
          <w:rFonts w:ascii="Times New Roman" w:hAnsi="Times New Roman"/>
          <w:noProof/>
          <w:sz w:val="24"/>
          <w:lang w:val="en-US"/>
        </w:rPr>
        <w:instrText xml:space="preserve"> LINK Excel.Sheet.12 "\\\\NET1.cec.eu.int\\homes\\085\\garcpbl\\Desktop\\CID - Components.xlsx" "T1 Milestones&amp;Targets (4)!R3C1:R8C11" \a \f 4 \h  \* MERGEFORMAT </w:instrText>
      </w:r>
      <w:r>
        <w:rPr>
          <w:rFonts w:ascii="Times New Roman" w:hAnsi="Times New Roman"/>
          <w:noProof/>
          <w:sz w:val="24"/>
          <w:lang w:val="en-US"/>
        </w:rPr>
        <w:fldChar w:fldCharType="separate"/>
      </w:r>
    </w:p>
    <w:p w:rsidR="00BF6749" w:rsidRDefault="00C87555">
      <w:pPr>
        <w:spacing w:before="120" w:after="120" w:line="240" w:lineRule="auto"/>
        <w:jc w:val="both"/>
        <w:rPr>
          <w:rFonts w:ascii="Times New Roman" w:hAnsi="Times New Roman"/>
          <w:noProof/>
          <w:sz w:val="24"/>
          <w:lang w:val="en-US"/>
        </w:rPr>
        <w:sectPr w:rsidR="00BF6749">
          <w:headerReference w:type="even" r:id="rId60"/>
          <w:headerReference w:type="default" r:id="rId61"/>
          <w:footerReference w:type="even" r:id="rId62"/>
          <w:footerReference w:type="default" r:id="rId63"/>
          <w:headerReference w:type="first" r:id="rId64"/>
          <w:footerReference w:type="first" r:id="rId65"/>
          <w:pgSz w:w="16839" w:h="11907" w:orient="landscape"/>
          <w:pgMar w:top="426" w:right="1134" w:bottom="1418" w:left="1134" w:header="709" w:footer="709" w:gutter="0"/>
          <w:cols w:space="720"/>
          <w:docGrid w:linePitch="360"/>
        </w:sectPr>
      </w:pPr>
      <w:r>
        <w:rPr>
          <w:rFonts w:ascii="Times New Roman" w:hAnsi="Times New Roman"/>
          <w:noProof/>
          <w:sz w:val="24"/>
          <w:lang w:val="en-US"/>
        </w:rPr>
        <w:fldChar w:fldCharType="end"/>
      </w:r>
    </w:p>
    <w:p w:rsidR="00BF6749" w:rsidRDefault="00C87555">
      <w:pPr>
        <w:keepNext/>
        <w:tabs>
          <w:tab w:val="left" w:pos="850"/>
        </w:tabs>
        <w:spacing w:before="12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COMPONENT 5: Adaptation to climate change</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 xml:space="preserve">Component 5 ‘Adaptation to climate change’ of the Slovak recovery and resilience plan aims at increasing the resilience of both ecosystems and human settlements to the negative effects of climate change through reforms of the water management system, land </w:t>
      </w:r>
      <w:r>
        <w:rPr>
          <w:rFonts w:ascii="Times New Roman" w:eastAsia="Times New Roman" w:hAnsi="Times New Roman"/>
          <w:noProof/>
          <w:sz w:val="24"/>
          <w:szCs w:val="24"/>
          <w:lang w:val="en-IE"/>
        </w:rPr>
        <w:t xml:space="preserve">management, nature protection and biodiversity, the implementation of green elements in the landscape and investments in waterproofing, and the development of green infrastructure, including planting. </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component includes two reforms and one investment.</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environmental objectives within the meaning of Article 17 of Regulation (EU) 2020/852, taking into account the description of the measures and the mitigating steps set out in the re</w:t>
      </w:r>
      <w:r>
        <w:rPr>
          <w:rFonts w:ascii="Times New Roman" w:hAnsi="Times New Roman"/>
          <w:noProof/>
          <w:sz w:val="24"/>
          <w:szCs w:val="24"/>
        </w:rPr>
        <w:t xml:space="preserve">covery and resilience plan in accordance with the DNSH Technical Guidance (2021/C58/01).  </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szCs w:val="24"/>
          <w:lang w:val="en-IE"/>
        </w:rPr>
        <w:t>The objectives of this component are consistent with and forms part of the National Strategy for Environment Policy to 2030, the Strategy for the adaptation of the S</w:t>
      </w:r>
      <w:r>
        <w:rPr>
          <w:rFonts w:ascii="Times New Roman" w:eastAsia="Times New Roman" w:hAnsi="Times New Roman"/>
          <w:noProof/>
          <w:sz w:val="24"/>
          <w:szCs w:val="24"/>
          <w:lang w:val="en-IE"/>
        </w:rPr>
        <w:t xml:space="preserve">lovak Republic to climate change, the Vision and Development Strategy of Slovakia to 2030 – the long-term sustainable development strategy of the Slovak Republic – Slovakia 2030, as well as the strategies and long-term objectives of the European Union, in </w:t>
      </w:r>
      <w:r>
        <w:rPr>
          <w:rFonts w:ascii="Times New Roman" w:eastAsia="Times New Roman" w:hAnsi="Times New Roman"/>
          <w:noProof/>
          <w:sz w:val="24"/>
          <w:szCs w:val="24"/>
          <w:lang w:val="en-IE"/>
        </w:rPr>
        <w:t xml:space="preserve">particular the European Green Deal. </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szCs w:val="24"/>
        </w:rPr>
        <w:t xml:space="preserve"> </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bCs/>
          <w:noProof/>
          <w:sz w:val="24"/>
          <w:szCs w:val="24"/>
          <w:u w:val="single"/>
        </w:rPr>
        <w:t xml:space="preserve">A.1. </w:t>
      </w:r>
      <w:r>
        <w:rPr>
          <w:rFonts w:ascii="Times New Roman" w:hAnsi="Times New Roman"/>
          <w:noProof/>
          <w:sz w:val="24"/>
        </w:rPr>
        <w:tab/>
      </w:r>
      <w:r>
        <w:rPr>
          <w:rFonts w:ascii="Times New Roman" w:eastAsia="Times New Roman" w:hAnsi="Times New Roman"/>
          <w:b/>
          <w:bCs/>
          <w:noProof/>
          <w:sz w:val="24"/>
          <w:szCs w:val="24"/>
          <w:u w:val="single"/>
        </w:rPr>
        <w:t>Description of the reforms and investments for non-repayable financial support</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Reform 1 on landscape planning.</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reform shall provide a basis for safeguarding landscape structures, ecological stability and bio</w:t>
      </w:r>
      <w:r>
        <w:rPr>
          <w:rFonts w:ascii="Times New Roman" w:eastAsia="Times New Roman" w:hAnsi="Times New Roman"/>
          <w:noProof/>
          <w:sz w:val="24"/>
          <w:szCs w:val="24"/>
          <w:lang w:val="en-IE"/>
        </w:rPr>
        <w:t>diversity</w:t>
      </w:r>
      <w:r>
        <w:rPr>
          <w:rFonts w:ascii="Times New Roman" w:eastAsia="Times New Roman" w:hAnsi="Times New Roman"/>
          <w:b/>
          <w:bCs/>
          <w:noProof/>
          <w:sz w:val="24"/>
          <w:szCs w:val="24"/>
          <w:lang w:val="en-IE"/>
        </w:rPr>
        <w:t xml:space="preserve"> </w:t>
      </w:r>
      <w:r>
        <w:rPr>
          <w:rFonts w:ascii="Times New Roman" w:eastAsia="Times New Roman" w:hAnsi="Times New Roman"/>
          <w:noProof/>
          <w:sz w:val="24"/>
          <w:szCs w:val="24"/>
          <w:lang w:val="en-IE"/>
        </w:rPr>
        <w:t>in land-use planning documentation and subsequent approval processes for the authorisation of buildings and activities. Together with the subsequent methodological documents and maps, the act shall provide the technical basis for land-use plannin</w:t>
      </w:r>
      <w:r>
        <w:rPr>
          <w:rFonts w:ascii="Times New Roman" w:eastAsia="Times New Roman" w:hAnsi="Times New Roman"/>
          <w:noProof/>
          <w:sz w:val="24"/>
          <w:szCs w:val="24"/>
          <w:lang w:val="en-IE"/>
        </w:rPr>
        <w:t xml:space="preserve">g documentation and subsequent approval processes for the authorisation of buildings and activities. This shall have a significant impact on the maintenance of landscape structures, ecological stability and the protection of biodiversity. Their loss would </w:t>
      </w:r>
      <w:r>
        <w:rPr>
          <w:rFonts w:ascii="Times New Roman" w:eastAsia="Times New Roman" w:hAnsi="Times New Roman"/>
          <w:noProof/>
          <w:sz w:val="24"/>
          <w:szCs w:val="24"/>
          <w:lang w:val="en-IE"/>
        </w:rPr>
        <w:t>undermine the capacity of adaptation to climate change.</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implementation of the reform shall be completed by 31 December 2022.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Reform 2 on nature protection and water management.</w:t>
      </w:r>
    </w:p>
    <w:p w:rsidR="00BF6749" w:rsidRDefault="00C87555">
      <w:pPr>
        <w:spacing w:before="120" w:after="120" w:line="240" w:lineRule="auto"/>
        <w:jc w:val="both"/>
        <w:rPr>
          <w:rFonts w:ascii="Times New Roman" w:eastAsia="Times New Roman" w:hAnsi="Times New Roman"/>
          <w:noProof/>
          <w:sz w:val="24"/>
          <w:szCs w:val="24"/>
          <w:lang w:val="en-IE"/>
        </w:rPr>
      </w:pPr>
      <w:r>
        <w:rPr>
          <w:rFonts w:ascii="Times New Roman" w:eastAsia="Times New Roman" w:hAnsi="Times New Roman"/>
          <w:noProof/>
          <w:sz w:val="24"/>
          <w:szCs w:val="24"/>
          <w:lang w:val="en-IE"/>
        </w:rPr>
        <w:t>The reform shall</w:t>
      </w:r>
      <w:r>
        <w:rPr>
          <w:rFonts w:ascii="Times New Roman" w:eastAsia="Times New Roman" w:hAnsi="Times New Roman"/>
          <w:b/>
          <w:bCs/>
          <w:noProof/>
          <w:sz w:val="24"/>
          <w:szCs w:val="24"/>
          <w:lang w:val="en-IE"/>
        </w:rPr>
        <w:t xml:space="preserve"> </w:t>
      </w:r>
      <w:r>
        <w:rPr>
          <w:rFonts w:ascii="Times New Roman" w:eastAsia="Times New Roman" w:hAnsi="Times New Roman"/>
          <w:noProof/>
          <w:sz w:val="24"/>
          <w:szCs w:val="24"/>
          <w:lang w:val="en-IE"/>
        </w:rPr>
        <w:t>aim at improving the status of habitats in protected area</w:t>
      </w:r>
      <w:r>
        <w:rPr>
          <w:rFonts w:ascii="Times New Roman" w:eastAsia="Times New Roman" w:hAnsi="Times New Roman"/>
          <w:noProof/>
          <w:sz w:val="24"/>
          <w:szCs w:val="24"/>
          <w:lang w:val="en-IE"/>
        </w:rPr>
        <w:t>s that shall guarantee their long-term increasing contribution to landscape protection against climate change and their own resilience to the adverse effects of climate change. By 31 December 2023, an amended Nature and Landscape Protection Act and water l</w:t>
      </w:r>
      <w:r>
        <w:rPr>
          <w:rFonts w:ascii="Times New Roman" w:eastAsia="Times New Roman" w:hAnsi="Times New Roman"/>
          <w:noProof/>
          <w:sz w:val="24"/>
          <w:szCs w:val="24"/>
          <w:lang w:val="en-IE"/>
        </w:rPr>
        <w:t>egislation shall enter into force. This legislation shall strengthen the institutional protection of nature, it shall minimise conflicts of competence within protected areas, simplify the protection system, integrate the networks of protected areas (nation</w:t>
      </w:r>
      <w:r>
        <w:rPr>
          <w:rFonts w:ascii="Times New Roman" w:eastAsia="Times New Roman" w:hAnsi="Times New Roman"/>
          <w:noProof/>
          <w:sz w:val="24"/>
          <w:szCs w:val="24"/>
          <w:lang w:val="en-IE"/>
        </w:rPr>
        <w:t>al, European and international) and create the conditions for the zoning of national parks. The result shall be a modern system with the primary objective of protecting nature and biodiversity in the territories concerned, ensuring a stable long-term contr</w:t>
      </w:r>
      <w:r>
        <w:rPr>
          <w:rFonts w:ascii="Times New Roman" w:eastAsia="Times New Roman" w:hAnsi="Times New Roman"/>
          <w:noProof/>
          <w:sz w:val="24"/>
          <w:szCs w:val="24"/>
          <w:lang w:val="en-IE"/>
        </w:rPr>
        <w:t>ibution of ecosystems to climate change adaptation and mitigation. At the same time, the reform shall allow watercourses to be revitalised and shall create room for ecological management, restoration of river space and progressive flood protection taking i</w:t>
      </w:r>
      <w:r>
        <w:rPr>
          <w:rFonts w:ascii="Times New Roman" w:eastAsia="Times New Roman" w:hAnsi="Times New Roman"/>
          <w:noProof/>
          <w:sz w:val="24"/>
          <w:szCs w:val="24"/>
          <w:lang w:val="en-IE"/>
        </w:rPr>
        <w:t xml:space="preserve">nto account nature protection and water retention in the countryside.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implementation of the reform shall be completed by 31 December 2023. </w:t>
      </w:r>
    </w:p>
    <w:p w:rsidR="00BF6749" w:rsidRDefault="00BF6749">
      <w:pPr>
        <w:spacing w:before="120" w:after="120" w:line="240" w:lineRule="auto"/>
        <w:jc w:val="both"/>
        <w:rPr>
          <w:rFonts w:ascii="Times New Roman" w:hAnsi="Times New Roman"/>
          <w:noProof/>
          <w:sz w:val="24"/>
          <w:szCs w:val="24"/>
        </w:rPr>
      </w:pP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bCs/>
          <w:noProof/>
          <w:sz w:val="24"/>
          <w:szCs w:val="24"/>
          <w:lang w:val="en-IE"/>
        </w:rPr>
        <w:t xml:space="preserve">Investment 1 on the adaptation of regions to climate change with an emphasis on nature conservation and </w:t>
      </w:r>
      <w:r>
        <w:rPr>
          <w:rFonts w:ascii="Times New Roman" w:eastAsia="Times New Roman" w:hAnsi="Times New Roman"/>
          <w:b/>
          <w:bCs/>
          <w:noProof/>
          <w:sz w:val="24"/>
          <w:szCs w:val="24"/>
          <w:lang w:val="en-IE"/>
        </w:rPr>
        <w:t>biodiversity development.</w:t>
      </w:r>
    </w:p>
    <w:p w:rsidR="00BF6749" w:rsidRDefault="00C87555">
      <w:pPr>
        <w:spacing w:before="120" w:after="120" w:line="240" w:lineRule="auto"/>
        <w:jc w:val="both"/>
        <w:rPr>
          <w:rFonts w:ascii="Arial Narrow" w:eastAsia="Arial Narrow" w:hAnsi="Arial Narrow" w:cs="Arial Narrow"/>
          <w:noProof/>
          <w:color w:val="000000"/>
        </w:rPr>
      </w:pPr>
      <w:r>
        <w:rPr>
          <w:rFonts w:ascii="Times New Roman" w:eastAsia="Times New Roman" w:hAnsi="Times New Roman"/>
          <w:noProof/>
          <w:sz w:val="24"/>
          <w:szCs w:val="24"/>
          <w:lang w:val="en-IE"/>
        </w:rPr>
        <w:t>The investment aims at ensuring the long-term sustainable contribution of ecosystems to climate change adaptation and mitigation (flood mitigation, drought prevention) by protecting ecosystems. The realignment of property shall ma</w:t>
      </w:r>
      <w:r>
        <w:rPr>
          <w:rFonts w:ascii="Times New Roman" w:eastAsia="Times New Roman" w:hAnsi="Times New Roman"/>
          <w:noProof/>
          <w:sz w:val="24"/>
          <w:szCs w:val="24"/>
          <w:lang w:val="en-IE"/>
        </w:rPr>
        <w:t>ke it possible to cover new areas by the highest degree of protection, which shall increase the resilience of ecosystems. Limiting logging and developing nature conservation shall make it possible to prevent floods and droughts, transform regions from inte</w:t>
      </w:r>
      <w:r>
        <w:rPr>
          <w:rFonts w:ascii="Times New Roman" w:eastAsia="Times New Roman" w:hAnsi="Times New Roman"/>
          <w:noProof/>
          <w:sz w:val="24"/>
          <w:szCs w:val="24"/>
          <w:lang w:val="en-IE"/>
        </w:rPr>
        <w:t>nsive use of natural resources to soft tourism, with higher added value, while reinforcing ecosystem services. Revitalised watercourses, including wetlands, shall ensure water retention in the countryside and its gradual release. They shall become importan</w:t>
      </w:r>
      <w:r>
        <w:rPr>
          <w:rFonts w:ascii="Times New Roman" w:eastAsia="Times New Roman" w:hAnsi="Times New Roman"/>
          <w:noProof/>
          <w:sz w:val="24"/>
          <w:szCs w:val="24"/>
          <w:lang w:val="en-IE"/>
        </w:rPr>
        <w:t xml:space="preserve">t elements of the landscape, supporting the conservation of biodiversity and the restoration of habitats. </w:t>
      </w:r>
    </w:p>
    <w:p w:rsidR="00BF6749" w:rsidRDefault="00C87555">
      <w:pPr>
        <w:spacing w:before="120" w:after="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The implementation of the investment shall be completed by 30 June 2026. </w:t>
      </w:r>
    </w:p>
    <w:p w:rsidR="00BF6749" w:rsidRDefault="00BF6749">
      <w:pPr>
        <w:spacing w:before="120" w:after="0" w:line="240" w:lineRule="auto"/>
        <w:jc w:val="both"/>
        <w:rPr>
          <w:rFonts w:ascii="Times New Roman" w:eastAsia="Times New Roman" w:hAnsi="Times New Roman"/>
          <w:noProof/>
          <w:sz w:val="24"/>
          <w:szCs w:val="24"/>
          <w:lang w:val="en-US"/>
        </w:rPr>
        <w:sectPr w:rsidR="00BF6749">
          <w:headerReference w:type="even" r:id="rId66"/>
          <w:headerReference w:type="default" r:id="rId67"/>
          <w:footerReference w:type="even" r:id="rId68"/>
          <w:footerReference w:type="default" r:id="rId69"/>
          <w:headerReference w:type="first" r:id="rId70"/>
          <w:footerReference w:type="first" r:id="rId71"/>
          <w:pgSz w:w="11907" w:h="16839"/>
          <w:pgMar w:top="1134" w:right="1418" w:bottom="1134" w:left="1418" w:header="709" w:footer="709" w:gutter="0"/>
          <w:cols w:space="720"/>
          <w:docGrid w:linePitch="360"/>
        </w:sectPr>
      </w:pPr>
    </w:p>
    <w:p w:rsidR="00BF6749" w:rsidRDefault="00C87555">
      <w:pPr>
        <w:framePr w:w="15588" w:wrap="auto" w:hAnchor="text"/>
        <w:spacing w:before="120" w:after="120" w:line="240" w:lineRule="auto"/>
        <w:ind w:left="850"/>
        <w:jc w:val="both"/>
        <w:rPr>
          <w:rFonts w:ascii="Times New Roman" w:hAnsi="Times New Roman"/>
          <w:noProof/>
          <w:sz w:val="24"/>
          <w:szCs w:val="24"/>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 xml:space="preserve">Milestones, </w:t>
      </w:r>
      <w:r>
        <w:rPr>
          <w:rFonts w:ascii="Times New Roman" w:hAnsi="Times New Roman"/>
          <w:b/>
          <w:bCs/>
          <w:noProof/>
          <w:sz w:val="24"/>
          <w:szCs w:val="24"/>
          <w:u w:val="single"/>
        </w:rPr>
        <w:t>targets, indicators, and timetable for monitoring and implementation for non-repayable financial support</w:t>
      </w:r>
    </w:p>
    <w:p w:rsidR="00BF6749" w:rsidRDefault="00BF6749">
      <w:pPr>
        <w:framePr w:w="15588" w:wrap="auto" w:hAnchor="text"/>
        <w:spacing w:before="120" w:after="120" w:line="240" w:lineRule="auto"/>
        <w:ind w:left="850"/>
        <w:jc w:val="both"/>
        <w:rPr>
          <w:rFonts w:ascii="Times New Roman" w:hAnsi="Times New Roman"/>
          <w:b/>
          <w:bCs/>
          <w:noProof/>
          <w:sz w:val="24"/>
          <w:szCs w:val="24"/>
          <w:u w:val="single"/>
        </w:rPr>
      </w:pPr>
    </w:p>
    <w:tbl>
      <w:tblPr>
        <w:tblW w:w="0" w:type="auto"/>
        <w:tblInd w:w="135" w:type="dxa"/>
        <w:tblLayout w:type="fixed"/>
        <w:tblLook w:val="04A0" w:firstRow="1" w:lastRow="0" w:firstColumn="1" w:lastColumn="0" w:noHBand="0" w:noVBand="1"/>
      </w:tblPr>
      <w:tblGrid>
        <w:gridCol w:w="824"/>
        <w:gridCol w:w="1381"/>
        <w:gridCol w:w="845"/>
        <w:gridCol w:w="1031"/>
        <w:gridCol w:w="1562"/>
        <w:gridCol w:w="1418"/>
        <w:gridCol w:w="1276"/>
        <w:gridCol w:w="1134"/>
        <w:gridCol w:w="992"/>
        <w:gridCol w:w="709"/>
        <w:gridCol w:w="3678"/>
      </w:tblGrid>
      <w:tr w:rsidR="00BF6749">
        <w:trPr>
          <w:trHeight w:val="690"/>
        </w:trPr>
        <w:tc>
          <w:tcPr>
            <w:tcW w:w="824"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381"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Related measure (Reform or Investment)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845"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031"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562"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3828"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678" w:type="dxa"/>
            <w:vMerge w:val="restart"/>
            <w:tcBorders>
              <w:top w:val="single" w:sz="8" w:space="0" w:color="auto"/>
              <w:left w:val="nil"/>
              <w:right w:val="single" w:sz="8" w:space="0" w:color="auto"/>
            </w:tcBorders>
            <w:shd w:val="clear" w:color="auto" w:fill="BDD7EE"/>
            <w:vAlign w:val="center"/>
          </w:tcPr>
          <w:p w:rsidR="00BF6749" w:rsidRDefault="00C87555">
            <w:pPr>
              <w:rPr>
                <w:rFonts w:ascii="Times New Roman" w:hAnsi="Times New Roman"/>
                <w:noProof/>
                <w:sz w:val="20"/>
                <w:szCs w:val="20"/>
              </w:rPr>
            </w:pPr>
            <w:r>
              <w:rPr>
                <w:rFonts w:ascii="Times New Roman" w:eastAsia="Times New Roman" w:hAnsi="Times New Roman"/>
                <w:b/>
                <w:bCs/>
                <w:noProof/>
                <w:sz w:val="20"/>
                <w:szCs w:val="20"/>
              </w:rPr>
              <w:t>Description and clear definition of each milestone and target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r>
      <w:tr w:rsidR="00BF6749">
        <w:trPr>
          <w:trHeight w:val="660"/>
        </w:trPr>
        <w:tc>
          <w:tcPr>
            <w:tcW w:w="824"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381"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845"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031"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562"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Measurement unit</w:t>
            </w:r>
          </w:p>
        </w:tc>
        <w:tc>
          <w:tcPr>
            <w:tcW w:w="1276"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Background</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Target</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3678"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r>
      <w:tr w:rsidR="00BF6749">
        <w:trPr>
          <w:trHeight w:val="139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5 – Adaptation to climate change – Reform 1: Land planning reform</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Land Planning reform </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Land Planning Act by the Parliament</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By 31 December 2022 the Ministry of the Environmen</w:t>
            </w:r>
            <w:r>
              <w:rPr>
                <w:rFonts w:ascii="Times New Roman" w:hAnsi="Times New Roman"/>
                <w:noProof/>
                <w:color w:val="006100"/>
                <w:sz w:val="20"/>
                <w:szCs w:val="20"/>
              </w:rPr>
              <w:t>t shall prepare an act which will then be approved by the National Council of the Slovak Republic. The act shall be accompanied  by 31 December 2022 by the development  a methodology for assessing the value of landscape and ecosystems  which shall aim at e</w:t>
            </w:r>
            <w:r>
              <w:rPr>
                <w:rFonts w:ascii="Times New Roman" w:hAnsi="Times New Roman"/>
                <w:noProof/>
                <w:color w:val="006100"/>
                <w:sz w:val="20"/>
                <w:szCs w:val="20"/>
              </w:rPr>
              <w:t>nsuring that climate adaptation considerations are factored in territorial decision-making and building proceedings, promoting the implementation of nature-based flood prevention measures and measures to prevent drought and biodiversity loss.</w:t>
            </w:r>
          </w:p>
        </w:tc>
      </w:tr>
      <w:tr w:rsidR="00BF6749">
        <w:trPr>
          <w:trHeight w:val="190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5 – </w:t>
            </w:r>
            <w:r>
              <w:rPr>
                <w:rFonts w:ascii="Times New Roman" w:hAnsi="Times New Roman"/>
                <w:noProof/>
                <w:color w:val="006100"/>
                <w:sz w:val="20"/>
                <w:szCs w:val="20"/>
              </w:rPr>
              <w:t>Adapting to climate change – Reform 2: Reforming nature conservation and water management in the countryside</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r>
              <w:rPr>
                <w:rFonts w:ascii="Times New Roman" w:eastAsia="Times New Roman" w:hAnsi="Times New Roman"/>
                <w:noProof/>
                <w:sz w:val="20"/>
                <w:szCs w:val="20"/>
              </w:rPr>
              <w:t xml:space="preserve"> </w:t>
            </w:r>
            <w:r>
              <w:rPr>
                <w:rFonts w:ascii="Times New Roman" w:hAnsi="Times New Roman"/>
                <w:noProof/>
                <w:color w:val="006100"/>
                <w:sz w:val="20"/>
                <w:szCs w:val="20"/>
              </w:rPr>
              <w:t>More effective application of nature protection measures  in landscapes in protected areas and the revitalization of watercourses</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Entr</w:t>
            </w:r>
            <w:r>
              <w:rPr>
                <w:rFonts w:ascii="Times New Roman" w:hAnsi="Times New Roman"/>
                <w:noProof/>
                <w:color w:val="006100"/>
                <w:sz w:val="20"/>
                <w:szCs w:val="20"/>
              </w:rPr>
              <w:t>y into force of the amended  Nature and Landscape Protection Act and water legislation</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The Ministry of the Environment shall prepare an amendment to the Nature Protection Act, which shall come into force in January 2022 This shall be </w:t>
            </w:r>
            <w:r>
              <w:rPr>
                <w:rFonts w:ascii="Times New Roman" w:hAnsi="Times New Roman"/>
                <w:noProof/>
                <w:color w:val="006100"/>
                <w:sz w:val="20"/>
                <w:szCs w:val="20"/>
              </w:rPr>
              <w:t>followed by the development of a proposal for a new model for the functioning of protected areas (by 31 December 2022).The water management reform in the country shall pave the way for the revitalization of watercourses, thus increasing flood protection in</w:t>
            </w:r>
            <w:r>
              <w:rPr>
                <w:rFonts w:ascii="Times New Roman" w:hAnsi="Times New Roman"/>
                <w:noProof/>
                <w:color w:val="006100"/>
                <w:sz w:val="20"/>
                <w:szCs w:val="20"/>
              </w:rPr>
              <w:t xml:space="preserve"> the country. The Ministry of the Environment shall draw up a new water policy concept by 31 December 2022 and amend the Water Act by 31 December 2023 setting up technical standards which shall allow watercourses to be revitalised in a way that shall maxim</w:t>
            </w:r>
            <w:r>
              <w:rPr>
                <w:rFonts w:ascii="Times New Roman" w:hAnsi="Times New Roman"/>
                <w:noProof/>
                <w:color w:val="006100"/>
                <w:sz w:val="20"/>
                <w:szCs w:val="20"/>
              </w:rPr>
              <w:t>ize water retention in the country, slowing off water outflows and restoring groundwater reserves..</w:t>
            </w:r>
          </w:p>
        </w:tc>
      </w:tr>
      <w:tr w:rsidR="00BF6749">
        <w:trPr>
          <w:trHeight w:val="7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3</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5 – Adapting to climate change – Investment 1: Adapting regions to climate change, focusing on nature conservation and biodiversity development</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Rehabilitation of watercourses (</w:t>
            </w:r>
            <w:r>
              <w:rPr>
                <w:rFonts w:ascii="Times New Roman" w:eastAsia="Times New Roman" w:hAnsi="Times New Roman"/>
                <w:noProof/>
                <w:sz w:val="20"/>
                <w:szCs w:val="20"/>
              </w:rPr>
              <w:t xml:space="preserve"> </w:t>
            </w:r>
            <w:r>
              <w:rPr>
                <w:rFonts w:ascii="Times New Roman" w:hAnsi="Times New Roman"/>
                <w:noProof/>
                <w:color w:val="006100"/>
                <w:sz w:val="20"/>
                <w:szCs w:val="20"/>
              </w:rPr>
              <w:t>in Km of rehabilitated watercourses)</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006100"/>
                <w:sz w:val="20"/>
                <w:szCs w:val="20"/>
              </w:rPr>
              <w:t>Km of rehabilitated watercourses. Of the overall objective to rehabilitate 57 Km of watercourses, at least 52 Km are rehabilitated.</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revitalization group shall </w:t>
            </w:r>
            <w:r>
              <w:rPr>
                <w:rFonts w:ascii="Times New Roman" w:hAnsi="Times New Roman"/>
                <w:noProof/>
                <w:color w:val="006100"/>
                <w:sz w:val="20"/>
                <w:szCs w:val="20"/>
              </w:rPr>
              <w:t>prepare priorities and identify precise sections to restore flows. Based on the technical documentation, the applicant shall submit projects on an rolling  basis  starting by 30 June 2022 and ending by 31 December 2023</w:t>
            </w:r>
            <w:r>
              <w:rPr>
                <w:rFonts w:ascii="Times New Roman" w:hAnsi="Times New Roman"/>
                <w:noProof/>
                <w:color w:val="FF0000"/>
                <w:sz w:val="20"/>
                <w:szCs w:val="20"/>
              </w:rPr>
              <w:t>.</w:t>
            </w:r>
          </w:p>
        </w:tc>
      </w:tr>
      <w:tr w:rsidR="00BF6749">
        <w:trPr>
          <w:trHeight w:val="7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4</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5 – Adapting to climate change – </w:t>
            </w:r>
            <w:r>
              <w:rPr>
                <w:rFonts w:ascii="Times New Roman" w:hAnsi="Times New Roman"/>
                <w:noProof/>
                <w:color w:val="006100"/>
                <w:sz w:val="20"/>
                <w:szCs w:val="20"/>
              </w:rPr>
              <w:t>Investment 1: Adapting regions to climate change, focusing on nature conservation and biodiversity development</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Rehabilitation  of watercourses</w:t>
            </w:r>
          </w:p>
          <w:p w:rsidR="00BF6749" w:rsidRDefault="00C87555">
            <w:pPr>
              <w:rPr>
                <w:rFonts w:ascii="Times New Roman" w:hAnsi="Times New Roman"/>
                <w:noProof/>
                <w:sz w:val="20"/>
                <w:szCs w:val="20"/>
              </w:rPr>
            </w:pPr>
            <w:r>
              <w:rPr>
                <w:rFonts w:ascii="Times New Roman" w:hAnsi="Times New Roman"/>
                <w:noProof/>
                <w:color w:val="006100"/>
                <w:sz w:val="20"/>
                <w:szCs w:val="20"/>
              </w:rPr>
              <w:t>( in Km of rehabilitated watercourses)</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Km of rehabilitated watercourses</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52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90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006100"/>
                <w:sz w:val="20"/>
                <w:szCs w:val="20"/>
              </w:rPr>
              <w:t xml:space="preserve">Km of </w:t>
            </w:r>
            <w:r>
              <w:rPr>
                <w:rFonts w:ascii="Times New Roman" w:hAnsi="Times New Roman"/>
                <w:noProof/>
                <w:color w:val="006100"/>
                <w:sz w:val="20"/>
                <w:szCs w:val="20"/>
              </w:rPr>
              <w:t>rehabilitated watercourses.  Of the overall objective to rehabilitate 97 Km of watercourses, at least 90 Km are rehabilitated.</w:t>
            </w:r>
          </w:p>
          <w:p w:rsidR="00BF6749" w:rsidRDefault="00C87555">
            <w:pPr>
              <w:rPr>
                <w:rFonts w:ascii="Times New Roman" w:hAnsi="Times New Roman"/>
                <w:noProof/>
                <w:sz w:val="20"/>
                <w:szCs w:val="20"/>
              </w:rPr>
            </w:pPr>
            <w:r>
              <w:rPr>
                <w:rFonts w:ascii="Times New Roman" w:hAnsi="Times New Roman"/>
                <w:noProof/>
                <w:color w:val="006100"/>
                <w:sz w:val="20"/>
                <w:szCs w:val="20"/>
              </w:rPr>
              <w:t>The revitalization group shall prepare priorities and identify precise sections to restore flows. Based on the technical document</w:t>
            </w:r>
            <w:r>
              <w:rPr>
                <w:rFonts w:ascii="Times New Roman" w:hAnsi="Times New Roman"/>
                <w:noProof/>
                <w:color w:val="006100"/>
                <w:sz w:val="20"/>
                <w:szCs w:val="20"/>
              </w:rPr>
              <w:t xml:space="preserve">ation, the applicant shall submit projects on a rolling g basis  starting by 30 June 2023 and ending by 31 December 2025   </w:t>
            </w:r>
          </w:p>
        </w:tc>
      </w:tr>
      <w:tr w:rsidR="00BF6749">
        <w:trPr>
          <w:trHeight w:val="1590"/>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5</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6 – Adapting to climate change – Investment 1: Adapting regions to climate change, focusing on nature conservation and </w:t>
            </w:r>
            <w:r>
              <w:rPr>
                <w:rFonts w:ascii="Times New Roman" w:hAnsi="Times New Roman"/>
                <w:noProof/>
                <w:color w:val="006100"/>
                <w:sz w:val="20"/>
                <w:szCs w:val="20"/>
              </w:rPr>
              <w:t>biodiversity development</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Property settlement with private landowners (in</w:t>
            </w:r>
            <w:r>
              <w:rPr>
                <w:rFonts w:ascii="Times New Roman" w:eastAsia="Times New Roman" w:hAnsi="Times New Roman"/>
                <w:noProof/>
                <w:sz w:val="20"/>
                <w:szCs w:val="20"/>
              </w:rPr>
              <w:t xml:space="preserve"> </w:t>
            </w:r>
            <w:r>
              <w:rPr>
                <w:rFonts w:ascii="Times New Roman" w:hAnsi="Times New Roman"/>
                <w:noProof/>
                <w:color w:val="006100"/>
                <w:sz w:val="20"/>
                <w:szCs w:val="20"/>
              </w:rPr>
              <w:t>Area of land settled in ha)</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14000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006100"/>
                <w:sz w:val="20"/>
                <w:szCs w:val="20"/>
              </w:rPr>
              <w:t xml:space="preserve">  Of the overall objective is to reach property settlements for an area of 14750 ha, property settlements are reached for at least 14000 ha.  </w:t>
            </w:r>
          </w:p>
          <w:p w:rsidR="00BF6749" w:rsidRDefault="00C87555">
            <w:pPr>
              <w:rPr>
                <w:rFonts w:ascii="Times New Roman" w:hAnsi="Times New Roman"/>
                <w:noProof/>
                <w:sz w:val="20"/>
                <w:szCs w:val="20"/>
              </w:rPr>
            </w:pPr>
            <w:r>
              <w:rPr>
                <w:rFonts w:ascii="Times New Roman" w:hAnsi="Times New Roman"/>
                <w:noProof/>
                <w:color w:val="006100"/>
                <w:sz w:val="20"/>
                <w:szCs w:val="20"/>
              </w:rPr>
              <w:t>By 30 June 2022, a working group at the Ministry of the Environment and the ŠOP SR shall draw up a methodology fo</w:t>
            </w:r>
            <w:r>
              <w:rPr>
                <w:rFonts w:ascii="Times New Roman" w:hAnsi="Times New Roman"/>
                <w:noProof/>
                <w:color w:val="006100"/>
                <w:sz w:val="20"/>
                <w:szCs w:val="20"/>
              </w:rPr>
              <w:t xml:space="preserve">r determining the value and price of land. Calls for land purchase in protected areas, primarily in national parks, shall  be launched on the basis of the area/territories on a rolling  basis  starting by 31 March 2023 and ending by 30 June 2023 </w:t>
            </w:r>
          </w:p>
        </w:tc>
      </w:tr>
      <w:tr w:rsidR="00BF6749">
        <w:trPr>
          <w:trHeight w:val="1260"/>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6</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6 – </w:t>
            </w:r>
            <w:r>
              <w:rPr>
                <w:rFonts w:ascii="Times New Roman" w:hAnsi="Times New Roman"/>
                <w:noProof/>
                <w:color w:val="006100"/>
                <w:sz w:val="20"/>
                <w:szCs w:val="20"/>
              </w:rPr>
              <w:t>Adapting to climate change – Investment 1: Adapting regions to climate change, focusing on nature conservation and biodiversity development</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Property settlement with private landowners </w:t>
            </w:r>
            <w:r>
              <w:rPr>
                <w:rFonts w:ascii="Times New Roman" w:eastAsia="Times New Roman" w:hAnsi="Times New Roman"/>
                <w:noProof/>
                <w:sz w:val="20"/>
                <w:szCs w:val="20"/>
              </w:rPr>
              <w:t xml:space="preserve"> </w:t>
            </w:r>
            <w:r>
              <w:rPr>
                <w:rFonts w:ascii="Times New Roman" w:hAnsi="Times New Roman"/>
                <w:noProof/>
                <w:color w:val="006100"/>
                <w:sz w:val="20"/>
                <w:szCs w:val="20"/>
              </w:rPr>
              <w:t>(in</w:t>
            </w:r>
            <w:r>
              <w:rPr>
                <w:rFonts w:ascii="Times New Roman" w:eastAsia="Times New Roman" w:hAnsi="Times New Roman"/>
                <w:noProof/>
                <w:sz w:val="20"/>
                <w:szCs w:val="20"/>
              </w:rPr>
              <w:t xml:space="preserve"> </w:t>
            </w:r>
            <w:r>
              <w:rPr>
                <w:rFonts w:ascii="Times New Roman" w:hAnsi="Times New Roman"/>
                <w:noProof/>
                <w:color w:val="006100"/>
                <w:sz w:val="20"/>
                <w:szCs w:val="20"/>
              </w:rPr>
              <w:t>Area of land settled in ha)</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14000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27000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2025</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006100"/>
                <w:sz w:val="20"/>
                <w:szCs w:val="20"/>
              </w:rPr>
              <w:t xml:space="preserve">  Of the overall objective is to reach property settlements for an area of 29509 ha, property settlements are reached for at least 27000 ha.  </w:t>
            </w:r>
          </w:p>
          <w:p w:rsidR="00BF6749" w:rsidRDefault="00C87555">
            <w:pPr>
              <w:rPr>
                <w:rFonts w:ascii="Times New Roman" w:hAnsi="Times New Roman"/>
                <w:noProof/>
                <w:sz w:val="20"/>
                <w:szCs w:val="20"/>
              </w:rPr>
            </w:pPr>
            <w:r>
              <w:rPr>
                <w:rFonts w:ascii="Times New Roman" w:hAnsi="Times New Roman"/>
                <w:noProof/>
                <w:color w:val="006100"/>
                <w:sz w:val="20"/>
                <w:szCs w:val="20"/>
              </w:rPr>
              <w:t>By 30 September 2022 a working group at the Ministry of the Environment and the ŠOP SR shall  draw up a methodolo</w:t>
            </w:r>
            <w:r>
              <w:rPr>
                <w:rFonts w:ascii="Times New Roman" w:hAnsi="Times New Roman"/>
                <w:noProof/>
                <w:color w:val="006100"/>
                <w:sz w:val="20"/>
                <w:szCs w:val="20"/>
              </w:rPr>
              <w:t>gy for determining the value and price of land. Calls for land purchase  in protected areas, primarily in national parks, shall be launched on the basis of the area/territories on a rolling basis  starting by 30 June 2022 and ending by 30 December  2025.</w:t>
            </w:r>
          </w:p>
        </w:tc>
      </w:tr>
      <w:tr w:rsidR="00BF6749">
        <w:trPr>
          <w:trHeight w:val="1545"/>
        </w:trPr>
        <w:tc>
          <w:tcPr>
            <w:tcW w:w="82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7</w:t>
            </w:r>
          </w:p>
        </w:tc>
        <w:tc>
          <w:tcPr>
            <w:tcW w:w="138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6 – Adapting to climate change – Investment 1: Adapting regions to climate change, focusing on nature conservation and biodiversity development</w:t>
            </w:r>
          </w:p>
        </w:tc>
        <w:tc>
          <w:tcPr>
            <w:tcW w:w="8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List of selected projects for the regions of Muránska Planina and Polonina</w:t>
            </w:r>
          </w:p>
        </w:tc>
        <w:tc>
          <w:tcPr>
            <w:tcW w:w="156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67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w:t>
            </w:r>
            <w:r>
              <w:rPr>
                <w:rFonts w:ascii="Times New Roman" w:hAnsi="Times New Roman"/>
                <w:noProof/>
                <w:color w:val="006100"/>
                <w:sz w:val="20"/>
                <w:szCs w:val="20"/>
              </w:rPr>
              <w:t>Steering Board shall select projects for two regions of Muránska Planina and Polonina  in accordance with the DNSH principle on the basis of an open discussion with relevant local actors.</w:t>
            </w:r>
          </w:p>
        </w:tc>
      </w:tr>
    </w:tbl>
    <w:p w:rsidR="00BF6749" w:rsidRDefault="00BF6749">
      <w:pPr>
        <w:framePr w:w="15588" w:wrap="auto" w:hAnchor="text"/>
        <w:spacing w:before="120" w:after="120" w:line="240" w:lineRule="auto"/>
        <w:jc w:val="both"/>
        <w:rPr>
          <w:rFonts w:ascii="Times New Roman" w:hAnsi="Times New Roman"/>
          <w:noProof/>
          <w:sz w:val="24"/>
          <w:szCs w:val="24"/>
          <w:lang w:val="en-US"/>
        </w:rPr>
        <w:sectPr w:rsidR="00BF6749">
          <w:headerReference w:type="even" r:id="rId72"/>
          <w:headerReference w:type="default" r:id="rId73"/>
          <w:footerReference w:type="even" r:id="rId74"/>
          <w:footerReference w:type="default" r:id="rId75"/>
          <w:headerReference w:type="first" r:id="rId76"/>
          <w:footerReference w:type="first" r:id="rId77"/>
          <w:pgSz w:w="16839" w:h="11907" w:orient="landscape"/>
          <w:pgMar w:top="1418" w:right="1134" w:bottom="1418" w:left="851" w:header="709" w:footer="709" w:gutter="0"/>
          <w:cols w:space="720"/>
          <w:docGrid w:linePitch="360"/>
        </w:sectPr>
      </w:pPr>
    </w:p>
    <w:p w:rsidR="00BF6749" w:rsidRDefault="00C87555">
      <w:pPr>
        <w:keepNext/>
        <w:tabs>
          <w:tab w:val="left" w:pos="993"/>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COMPONENT 6: Accessibility, development and quality of inclusive education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objective of the Component is to improve accessibility and inclusiveness of mainstream pre-school and school education in Slovakia. The Component will improve access to pre-pri</w:t>
      </w:r>
      <w:r>
        <w:rPr>
          <w:rFonts w:ascii="Times New Roman" w:hAnsi="Times New Roman"/>
          <w:noProof/>
          <w:sz w:val="24"/>
        </w:rPr>
        <w:t>mary education by ensuring that children aged 5 years old shall have place in the pre-school system and by introducing the legal entitlement to pre-primary education for 4- and 3-year olds. The Component is to reform the financing system for pre-school edu</w:t>
      </w:r>
      <w:r>
        <w:rPr>
          <w:rFonts w:ascii="Times New Roman" w:hAnsi="Times New Roman"/>
          <w:noProof/>
          <w:sz w:val="24"/>
        </w:rPr>
        <w:t>cation and to introduce the system of inclusive educational support measures. The component may contribute to reduce the early-school leaving by fostering the school counselling and advisory system at lower secondary level, and to improve the inclusion als</w:t>
      </w:r>
      <w:r>
        <w:rPr>
          <w:rFonts w:ascii="Times New Roman" w:hAnsi="Times New Roman"/>
          <w:noProof/>
          <w:sz w:val="24"/>
        </w:rPr>
        <w:t>o of Roma children by curbing segregation at schools. The component shall level off the deficiencies in the educational outcomes due to the pandemic and help children with special educational needs by more targeted support measures.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It is expected that no </w:t>
      </w:r>
      <w:r>
        <w:rPr>
          <w:rFonts w:ascii="Times New Roman" w:hAnsi="Times New Roman"/>
          <w:noProof/>
          <w:sz w:val="24"/>
          <w:szCs w:val="24"/>
        </w:rPr>
        <w:t>measure in this component does significant harm to environmental objectives within the meaning of Article 17 of Regulation (EU) 2020/852, taking into account the description of the measures and the mitigating steps set out in the recovery and resilience pl</w:t>
      </w:r>
      <w:r>
        <w:rPr>
          <w:rFonts w:ascii="Times New Roman" w:hAnsi="Times New Roman"/>
          <w:noProof/>
          <w:sz w:val="24"/>
          <w:szCs w:val="24"/>
        </w:rPr>
        <w:t xml:space="preserve">an in accordance with the DNSH Technical Guidance (2021/C58/01).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IE"/>
        </w:rPr>
        <w:t xml:space="preserve">The Component shall contribute to addressing the Country Specific Recommendations addressed to Slovakia in the past two years, on the need to </w:t>
      </w:r>
      <w:r>
        <w:rPr>
          <w:rFonts w:ascii="Times New Roman" w:hAnsi="Times New Roman"/>
          <w:i/>
          <w:iCs/>
          <w:noProof/>
          <w:sz w:val="24"/>
          <w:lang w:val="en-US"/>
        </w:rPr>
        <w:t>improve the quality and inclusiveness of educat</w:t>
      </w:r>
      <w:r>
        <w:rPr>
          <w:rFonts w:ascii="Times New Roman" w:hAnsi="Times New Roman"/>
          <w:i/>
          <w:iCs/>
          <w:noProof/>
          <w:sz w:val="24"/>
          <w:lang w:val="en-US"/>
        </w:rPr>
        <w:t>ion at all levels and foster skills</w:t>
      </w:r>
      <w:r>
        <w:rPr>
          <w:rFonts w:ascii="Times New Roman" w:hAnsi="Times New Roman"/>
          <w:iCs/>
          <w:noProof/>
          <w:sz w:val="24"/>
          <w:lang w:val="en-US"/>
        </w:rPr>
        <w:t xml:space="preserve">. </w:t>
      </w:r>
      <w:r>
        <w:rPr>
          <w:rFonts w:ascii="Times New Roman" w:hAnsi="Times New Roman"/>
          <w:i/>
          <w:iCs/>
          <w:noProof/>
          <w:sz w:val="24"/>
          <w:lang w:val="en-US"/>
        </w:rPr>
        <w:t xml:space="preserve">Enhance access to affordable and quality childcare and long-term care. Promote integration of disadvantaged groups, in particular Roma. </w:t>
      </w:r>
      <w:r>
        <w:rPr>
          <w:rFonts w:ascii="Times New Roman" w:hAnsi="Times New Roman"/>
          <w:noProof/>
          <w:sz w:val="24"/>
          <w:lang w:val="en-US"/>
        </w:rPr>
        <w:t>(Country Specific Recommendation 2/2019).</w:t>
      </w:r>
    </w:p>
    <w:p w:rsidR="00BF6749" w:rsidRDefault="00C87555">
      <w:pPr>
        <w:spacing w:before="120" w:after="120" w:line="240" w:lineRule="auto"/>
        <w:jc w:val="both"/>
        <w:rPr>
          <w:rFonts w:ascii="Times New Roman" w:hAnsi="Times New Roman"/>
          <w:b/>
          <w:i/>
          <w:noProof/>
          <w:sz w:val="24"/>
        </w:rPr>
      </w:pPr>
      <w:r>
        <w:rPr>
          <w:rFonts w:ascii="Times New Roman" w:hAnsi="Times New Roman"/>
          <w:b/>
          <w:noProof/>
          <w:sz w:val="24"/>
          <w:u w:val="single"/>
        </w:rPr>
        <w:t xml:space="preserve">A.1. </w:t>
      </w:r>
      <w:r>
        <w:rPr>
          <w:rFonts w:ascii="Times New Roman" w:hAnsi="Times New Roman"/>
          <w:b/>
          <w:noProof/>
          <w:sz w:val="24"/>
          <w:u w:val="single"/>
        </w:rPr>
        <w:tab/>
        <w:t>Description of the reforms and inve</w:t>
      </w:r>
      <w:r>
        <w:rPr>
          <w:rFonts w:ascii="Times New Roman" w:hAnsi="Times New Roman"/>
          <w:b/>
          <w:noProof/>
          <w:sz w:val="24"/>
          <w:u w:val="single"/>
        </w:rPr>
        <w:t>stments for non-repayable financial support</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b/>
          <w:noProof/>
          <w:sz w:val="24"/>
        </w:rPr>
        <w:t>Reform 1: Providing conditions for the implementation of compulsory pre-primary education for children from the age of 5 and introducing a legal entitlement to a place in kindergarten or other pre-primary educati</w:t>
      </w:r>
      <w:r>
        <w:rPr>
          <w:rFonts w:ascii="Times New Roman" w:hAnsi="Times New Roman"/>
          <w:b/>
          <w:noProof/>
          <w:sz w:val="24"/>
        </w:rPr>
        <w:t xml:space="preserve">on providers from the age of 3. </w:t>
      </w:r>
      <w:r>
        <w:rPr>
          <w:rFonts w:ascii="Times New Roman" w:hAnsi="Times New Roman"/>
          <w:noProof/>
          <w:sz w:val="24"/>
        </w:rPr>
        <w:t>The reform shall introduce the amendments to the relevant legislative provisions that introduce the legal entitlement for children age of three to be admitted to a kindergarten or other establishment providing pre-primary ed</w:t>
      </w:r>
      <w:r>
        <w:rPr>
          <w:rFonts w:ascii="Times New Roman" w:hAnsi="Times New Roman"/>
          <w:noProof/>
          <w:sz w:val="24"/>
        </w:rPr>
        <w:t>ucation. The reform is expected to change prescriptive funding for kindergartens</w:t>
      </w:r>
      <w:r>
        <w:rPr>
          <w:rFonts w:ascii="Times New Roman" w:hAnsi="Times New Roman"/>
          <w:noProof/>
          <w:sz w:val="24"/>
          <w:lang w:val="en-US"/>
        </w:rPr>
        <w:t xml:space="preserve"> </w:t>
      </w:r>
      <w:r>
        <w:rPr>
          <w:rFonts w:ascii="Times New Roman" w:hAnsi="Times New Roman"/>
          <w:noProof/>
          <w:sz w:val="24"/>
        </w:rPr>
        <w:t>based on the real staff and operational costs of the facility concerned. Teaching staff and specialist staff shall be obliged to upgrade the skills to a higher education degre</w:t>
      </w:r>
      <w:r>
        <w:rPr>
          <w:rFonts w:ascii="Times New Roman" w:hAnsi="Times New Roman"/>
          <w:noProof/>
          <w:sz w:val="24"/>
        </w:rPr>
        <w:t>e in the teaching programme for early and pre-primary education. The reform also includes measures to increase the capacity of kindergartens so that every child between the age of three years and entering compulsory education is allowed to participate in p</w:t>
      </w:r>
      <w:r>
        <w:rPr>
          <w:rFonts w:ascii="Times New Roman" w:hAnsi="Times New Roman"/>
          <w:noProof/>
          <w:sz w:val="24"/>
        </w:rPr>
        <w:t xml:space="preserve">re-primary education by 1 September 2025. </w:t>
      </w:r>
      <w:r>
        <w:rPr>
          <w:rFonts w:ascii="Times New Roman" w:hAnsi="Times New Roman"/>
          <w:noProof/>
          <w:sz w:val="24"/>
          <w:lang w:val="en-US"/>
        </w:rPr>
        <w:t xml:space="preserve"> The objective is to provide at least 12 352 places in the facilities while achieving on average at least 30% of primary energy savings in the renovated premises.</w:t>
      </w:r>
    </w:p>
    <w:p w:rsidR="00BF6749" w:rsidRDefault="00C87555">
      <w:pPr>
        <w:tabs>
          <w:tab w:val="left" w:pos="993"/>
        </w:tabs>
        <w:spacing w:before="120" w:after="120" w:line="240" w:lineRule="auto"/>
        <w:jc w:val="both"/>
        <w:rPr>
          <w:rFonts w:ascii="Times New Roman" w:hAnsi="Times New Roman"/>
          <w:noProof/>
          <w:sz w:val="24"/>
          <w:lang w:val="en-IE"/>
        </w:rPr>
      </w:pPr>
      <w:r>
        <w:rPr>
          <w:rFonts w:ascii="Times New Roman" w:hAnsi="Times New Roman"/>
          <w:noProof/>
          <w:sz w:val="24"/>
          <w:lang w:val="en-IE"/>
        </w:rPr>
        <w:t>The implementation of the reform shall be completed</w:t>
      </w:r>
      <w:r>
        <w:rPr>
          <w:rFonts w:ascii="Times New Roman" w:hAnsi="Times New Roman"/>
          <w:noProof/>
          <w:sz w:val="24"/>
          <w:lang w:val="en-IE"/>
        </w:rPr>
        <w:t xml:space="preserve"> by 31 December 2025.</w:t>
      </w: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Reform 2: The definition of the concept of special educational needs of children and pupils and the development of a model for eligible support measures in education, including their funding system</w:t>
      </w:r>
      <w:r>
        <w:rPr>
          <w:rFonts w:ascii="Times New Roman" w:hAnsi="Times New Roman"/>
          <w:i/>
          <w:noProof/>
          <w:sz w:val="24"/>
        </w:rPr>
        <w:t xml:space="preserve">. </w:t>
      </w:r>
      <w:r>
        <w:rPr>
          <w:rFonts w:ascii="Times New Roman" w:hAnsi="Times New Roman"/>
          <w:noProof/>
          <w:sz w:val="24"/>
        </w:rPr>
        <w:t xml:space="preserve">The reform shall change the </w:t>
      </w:r>
      <w:r>
        <w:rPr>
          <w:rFonts w:ascii="Times New Roman" w:hAnsi="Times New Roman"/>
          <w:noProof/>
          <w:sz w:val="24"/>
        </w:rPr>
        <w:t>definition of special educational needs of pupils by a new definition of a child or pupil experiencing obstacles to access to education, education and learning, who need the provision and application of support measures to fulfil their educational potentia</w:t>
      </w:r>
      <w:r>
        <w:rPr>
          <w:rFonts w:ascii="Times New Roman" w:hAnsi="Times New Roman"/>
          <w:noProof/>
          <w:sz w:val="24"/>
        </w:rPr>
        <w:t>l. A vertical model of support shall be created by introducing new of eligible support measures for all children. In order to implement the reform, teachers shall be provided with teaching and methodological materials through further training programmes. 1</w:t>
      </w:r>
      <w:r>
        <w:rPr>
          <w:rFonts w:ascii="Times New Roman" w:hAnsi="Times New Roman"/>
          <w:noProof/>
          <w:sz w:val="24"/>
        </w:rPr>
        <w:t>0 000 teachers and specialist staff will participate on trainings and other information activities under this reform.</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completed by 31 December 2025.</w:t>
      </w: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 xml:space="preserve">Reform 3: Reforming the system of counselling and prevention and </w:t>
      </w:r>
      <w:r>
        <w:rPr>
          <w:rFonts w:ascii="Times New Roman" w:hAnsi="Times New Roman"/>
          <w:b/>
          <w:noProof/>
          <w:sz w:val="24"/>
        </w:rPr>
        <w:t xml:space="preserve">ensuring systematic data collection in the field of mental health promotion for children, pupils and students. </w:t>
      </w:r>
      <w:r>
        <w:rPr>
          <w:rFonts w:ascii="Times New Roman" w:hAnsi="Times New Roman"/>
          <w:noProof/>
          <w:sz w:val="24"/>
        </w:rPr>
        <w:t>The objective of the reform is to shift the newly-created Advisory and Prevention Centres (CPP) to operate closer to schools. By amending respect</w:t>
      </w:r>
      <w:r>
        <w:rPr>
          <w:rFonts w:ascii="Times New Roman" w:hAnsi="Times New Roman"/>
          <w:noProof/>
          <w:sz w:val="24"/>
        </w:rPr>
        <w:t>ive legal acts, these centres shall provide professional activities without defining health disadvantage, as it is currently the case, which causes discrimination. A change in the advisory system shall be accompanied by further support measures such as: ch</w:t>
      </w:r>
      <w:r>
        <w:rPr>
          <w:rFonts w:ascii="Times New Roman" w:hAnsi="Times New Roman"/>
          <w:noProof/>
          <w:sz w:val="24"/>
        </w:rPr>
        <w:t>ange in funding setting up on the basis of the professional activities.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completed by 31 March 2023.</w:t>
      </w: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 xml:space="preserve">Reform 4: Implementation of tools to prevent early school leaving and adapt F-type study programme. </w:t>
      </w:r>
      <w:r>
        <w:rPr>
          <w:rFonts w:ascii="Times New Roman" w:hAnsi="Times New Roman"/>
          <w:noProof/>
          <w:sz w:val="24"/>
        </w:rPr>
        <w:t>The reform con</w:t>
      </w:r>
      <w:r>
        <w:rPr>
          <w:rFonts w:ascii="Times New Roman" w:hAnsi="Times New Roman"/>
          <w:noProof/>
          <w:sz w:val="24"/>
        </w:rPr>
        <w:t>sists of changes to the relevant legislative provisions aimed at increasing the possibility for young people, without completing lower-secondary education, to achieve a higher level of education by providing for the possibility of completing lower secondar</w:t>
      </w:r>
      <w:r>
        <w:rPr>
          <w:rFonts w:ascii="Times New Roman" w:hAnsi="Times New Roman"/>
          <w:noProof/>
          <w:sz w:val="24"/>
        </w:rPr>
        <w:t>y education in secondary vocational schools (NSOV) in a two- and three-year combined programme. Legislative amendments shall optimise F-type study programmes as well, by extending the obligation to determine secondary school performance plans to lower seco</w:t>
      </w:r>
      <w:r>
        <w:rPr>
          <w:rFonts w:ascii="Times New Roman" w:hAnsi="Times New Roman"/>
          <w:noProof/>
          <w:sz w:val="24"/>
        </w:rPr>
        <w:t>ndary vocational education disciplines.  On the basis of the labour market offer, the content of the F-type study programmes shall then be adjusted. It is expected that at least 30% of lower secondary vocational schools (NSOV) shall align to the labour mar</w:t>
      </w:r>
      <w:r>
        <w:rPr>
          <w:rFonts w:ascii="Times New Roman" w:hAnsi="Times New Roman"/>
          <w:noProof/>
          <w:sz w:val="24"/>
        </w:rPr>
        <w:t>ket offer by 30 June 2025.</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is expected to start by 31 March 2023 and shall be completed by 30 June 2025.</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b/>
          <w:noProof/>
          <w:sz w:val="24"/>
        </w:rPr>
        <w:t>Reform 5: Promoting school desegregation</w:t>
      </w:r>
      <w:r>
        <w:rPr>
          <w:rFonts w:ascii="Times New Roman" w:hAnsi="Times New Roman"/>
          <w:i/>
          <w:noProof/>
          <w:sz w:val="24"/>
        </w:rPr>
        <w:t xml:space="preserve">. </w:t>
      </w:r>
      <w:r>
        <w:rPr>
          <w:rFonts w:ascii="Times New Roman" w:hAnsi="Times New Roman"/>
          <w:noProof/>
          <w:sz w:val="24"/>
        </w:rPr>
        <w:t>The main objective of the reform is to introduce a legal definition of segre</w:t>
      </w:r>
      <w:r>
        <w:rPr>
          <w:rFonts w:ascii="Times New Roman" w:hAnsi="Times New Roman"/>
          <w:noProof/>
          <w:sz w:val="24"/>
        </w:rPr>
        <w:t xml:space="preserve">gation that is expected to apply in every school in Slovakia. The desegregation of in schools shall be implemented by developing the </w:t>
      </w:r>
      <w:r>
        <w:rPr>
          <w:rFonts w:ascii="Times New Roman" w:hAnsi="Times New Roman"/>
          <w:noProof/>
          <w:sz w:val="24"/>
          <w:lang w:val="en-US"/>
        </w:rPr>
        <w:t>methodological guidelines for the various educational actors (such as creators, schools and school facilities, directors an</w:t>
      </w:r>
      <w:r>
        <w:rPr>
          <w:rFonts w:ascii="Times New Roman" w:hAnsi="Times New Roman"/>
          <w:noProof/>
          <w:sz w:val="24"/>
          <w:lang w:val="en-US"/>
        </w:rPr>
        <w:t xml:space="preserve">d teachers) for the prevention and elimination of segregated education. The adopted methodology shall be applied in every school.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completed by 31 December 2025.</w:t>
      </w: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Reform 6</w:t>
      </w:r>
      <w:r>
        <w:rPr>
          <w:rFonts w:ascii="Times New Roman" w:hAnsi="Times New Roman"/>
          <w:b/>
          <w:i/>
          <w:noProof/>
          <w:sz w:val="24"/>
        </w:rPr>
        <w:t xml:space="preserve">: </w:t>
      </w:r>
      <w:r>
        <w:rPr>
          <w:rFonts w:ascii="Times New Roman" w:hAnsi="Times New Roman"/>
          <w:b/>
          <w:noProof/>
          <w:sz w:val="24"/>
        </w:rPr>
        <w:t>Compensatory measures to mitigate the impa</w:t>
      </w:r>
      <w:r>
        <w:rPr>
          <w:rFonts w:ascii="Times New Roman" w:hAnsi="Times New Roman"/>
          <w:b/>
          <w:noProof/>
          <w:sz w:val="24"/>
        </w:rPr>
        <w:t xml:space="preserve">ct of the pandemic in education for primary and secondary school pupils. </w:t>
      </w:r>
      <w:r>
        <w:rPr>
          <w:rFonts w:ascii="Times New Roman" w:hAnsi="Times New Roman"/>
          <w:noProof/>
          <w:sz w:val="24"/>
        </w:rPr>
        <w:t>The reform establishes a tuition programme mainly for pupils at risk of failure the school exams due to limited opportunities to participate in education during the pandemic. It shall</w:t>
      </w:r>
      <w:r>
        <w:rPr>
          <w:rFonts w:ascii="Times New Roman" w:hAnsi="Times New Roman"/>
          <w:noProof/>
          <w:sz w:val="24"/>
        </w:rPr>
        <w:t xml:space="preserve"> focus in particular on subjects from so-called “main educational fields”. The selection of pupils, at risk of school failure, as well as communication with pupils’ legal representatives shall be provided by the school.</w:t>
      </w:r>
      <w:r>
        <w:rPr>
          <w:rFonts w:ascii="Times New Roman" w:hAnsi="Times New Roman"/>
          <w:noProof/>
          <w:sz w:val="24"/>
          <w:lang w:val="en-US"/>
        </w:rPr>
        <w:t xml:space="preserve">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I</w:t>
      </w:r>
      <w:r>
        <w:rPr>
          <w:rFonts w:ascii="Times New Roman" w:hAnsi="Times New Roman"/>
          <w:noProof/>
          <w:sz w:val="24"/>
        </w:rPr>
        <w:t xml:space="preserve">n order to address the problem of </w:t>
      </w:r>
      <w:r>
        <w:rPr>
          <w:rFonts w:ascii="Times New Roman" w:hAnsi="Times New Roman"/>
          <w:noProof/>
          <w:sz w:val="24"/>
        </w:rPr>
        <w:t xml:space="preserve">the lack of comprehensive data on the course of distance learning, </w:t>
      </w:r>
      <w:r>
        <w:rPr>
          <w:rFonts w:ascii="Times New Roman" w:hAnsi="Times New Roman"/>
          <w:noProof/>
          <w:sz w:val="24"/>
          <w:lang w:val="en-US"/>
        </w:rPr>
        <w:t>Ministry of Education</w:t>
      </w:r>
      <w:r>
        <w:rPr>
          <w:rFonts w:ascii="Times New Roman" w:hAnsi="Times New Roman"/>
          <w:noProof/>
          <w:sz w:val="24"/>
        </w:rPr>
        <w:t xml:space="preserve"> </w:t>
      </w:r>
      <w:r>
        <w:rPr>
          <w:rFonts w:ascii="Times New Roman" w:hAnsi="Times New Roman"/>
          <w:noProof/>
          <w:sz w:val="24"/>
          <w:lang w:val="en-US"/>
        </w:rPr>
        <w:t>shall</w:t>
      </w:r>
      <w:r>
        <w:rPr>
          <w:rFonts w:ascii="Times New Roman" w:hAnsi="Times New Roman"/>
          <w:noProof/>
          <w:sz w:val="24"/>
        </w:rPr>
        <w:t xml:space="preserve"> launch a </w:t>
      </w:r>
      <w:r>
        <w:rPr>
          <w:rFonts w:ascii="Times New Roman" w:hAnsi="Times New Roman"/>
          <w:noProof/>
          <w:sz w:val="24"/>
          <w:lang w:val="en-US"/>
        </w:rPr>
        <w:t>call for</w:t>
      </w:r>
      <w:r>
        <w:rPr>
          <w:rFonts w:ascii="Times New Roman" w:hAnsi="Times New Roman"/>
          <w:noProof/>
          <w:sz w:val="24"/>
        </w:rPr>
        <w:t xml:space="preserve"> carrying out extensive pedagogical research to analyse the impact of the pandemic on education and their implications for education policies</w:t>
      </w:r>
      <w:r>
        <w:rPr>
          <w:rFonts w:ascii="Times New Roman" w:hAnsi="Times New Roman"/>
          <w:noProof/>
          <w:sz w:val="24"/>
          <w:lang w:val="en-US"/>
        </w:rPr>
        <w:t>.</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w:t>
      </w:r>
      <w:r>
        <w:rPr>
          <w:rFonts w:ascii="Times New Roman" w:hAnsi="Times New Roman"/>
          <w:noProof/>
          <w:sz w:val="24"/>
        </w:rPr>
        <w:t>he implementation of the reform is expected to start by 30 September 2021 and shall be completed by 31 December 2024.</w:t>
      </w: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Investment 1: Removing barriers in school buildings.</w:t>
      </w:r>
      <w:r>
        <w:rPr>
          <w:rFonts w:ascii="Times New Roman" w:hAnsi="Times New Roman"/>
          <w:b/>
          <w:noProof/>
          <w:sz w:val="24"/>
          <w:lang w:val="en-US"/>
        </w:rPr>
        <w:t xml:space="preserve"> </w:t>
      </w:r>
      <w:r>
        <w:rPr>
          <w:rFonts w:ascii="Times New Roman" w:hAnsi="Times New Roman"/>
          <w:noProof/>
          <w:sz w:val="24"/>
        </w:rPr>
        <w:t>The objective is to remove physical, information and technological barriers in the sc</w:t>
      </w:r>
      <w:r>
        <w:rPr>
          <w:rFonts w:ascii="Times New Roman" w:hAnsi="Times New Roman"/>
          <w:noProof/>
          <w:sz w:val="24"/>
        </w:rPr>
        <w:t>hool in 252 large secondary schools to enable disadvantaged children to carry out education in the pleasant environment. The investment shall be preceded by: 1) complex analysis in order to map the needs for debarierization and</w:t>
      </w:r>
      <w:r>
        <w:rPr>
          <w:rFonts w:ascii="Times New Roman" w:hAnsi="Times New Roman"/>
          <w:noProof/>
          <w:sz w:val="24"/>
          <w:lang w:val="en-US"/>
        </w:rPr>
        <w:t xml:space="preserve"> </w:t>
      </w:r>
      <w:r>
        <w:rPr>
          <w:rFonts w:ascii="Times New Roman" w:hAnsi="Times New Roman"/>
          <w:noProof/>
          <w:sz w:val="24"/>
        </w:rPr>
        <w:t>providing the manual. The ma</w:t>
      </w:r>
      <w:r>
        <w:rPr>
          <w:rFonts w:ascii="Times New Roman" w:hAnsi="Times New Roman"/>
          <w:noProof/>
          <w:sz w:val="24"/>
        </w:rPr>
        <w:t xml:space="preserve">nual shall define standards for removing barriers to meet the real needs of children, pupils and students with health disadvantages and to respect the principles of universal design.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investment is expected to start by 31 March 20</w:t>
      </w:r>
      <w:r>
        <w:rPr>
          <w:rFonts w:ascii="Times New Roman" w:hAnsi="Times New Roman"/>
          <w:noProof/>
          <w:sz w:val="24"/>
        </w:rPr>
        <w:t>22 and shall be completed by 30 June 2025.</w:t>
      </w:r>
    </w:p>
    <w:p w:rsidR="00BF6749" w:rsidRDefault="00BF6749">
      <w:pPr>
        <w:tabs>
          <w:tab w:val="left" w:pos="993"/>
        </w:tabs>
        <w:spacing w:before="120" w:after="120" w:line="240" w:lineRule="auto"/>
        <w:ind w:hanging="142"/>
        <w:jc w:val="both"/>
        <w:rPr>
          <w:rFonts w:ascii="Times New Roman" w:hAnsi="Times New Roman"/>
          <w:noProof/>
          <w:sz w:val="24"/>
        </w:rPr>
      </w:pPr>
    </w:p>
    <w:p w:rsidR="00BF6749" w:rsidRDefault="00BF6749">
      <w:pPr>
        <w:tabs>
          <w:tab w:val="left" w:pos="993"/>
        </w:tabs>
        <w:spacing w:before="120" w:after="120" w:line="240" w:lineRule="auto"/>
        <w:ind w:left="426" w:right="-143" w:hanging="142"/>
        <w:jc w:val="both"/>
        <w:rPr>
          <w:rFonts w:ascii="Times New Roman" w:hAnsi="Times New Roman"/>
          <w:noProof/>
          <w:sz w:val="24"/>
        </w:rPr>
      </w:pPr>
    </w:p>
    <w:p w:rsidR="00BF6749" w:rsidRDefault="00BF6749">
      <w:pPr>
        <w:tabs>
          <w:tab w:val="left" w:pos="993"/>
        </w:tabs>
        <w:spacing w:before="120" w:after="120" w:line="240" w:lineRule="auto"/>
        <w:jc w:val="both"/>
        <w:rPr>
          <w:rFonts w:ascii="Times New Roman" w:hAnsi="Times New Roman"/>
          <w:b/>
          <w:noProof/>
          <w:sz w:val="24"/>
          <w:u w:val="single"/>
        </w:rPr>
        <w:sectPr w:rsidR="00BF6749">
          <w:headerReference w:type="even" r:id="rId78"/>
          <w:headerReference w:type="default" r:id="rId79"/>
          <w:footerReference w:type="even" r:id="rId80"/>
          <w:footerReference w:type="default" r:id="rId81"/>
          <w:headerReference w:type="first" r:id="rId82"/>
          <w:footerReference w:type="first" r:id="rId83"/>
          <w:pgSz w:w="11907" w:h="16839"/>
          <w:pgMar w:top="1134" w:right="1418" w:bottom="1134" w:left="1418" w:header="709" w:footer="709" w:gutter="0"/>
          <w:cols w:space="720"/>
          <w:docGrid w:linePitch="360"/>
        </w:sectPr>
      </w:pPr>
    </w:p>
    <w:p w:rsidR="00BF6749" w:rsidRDefault="00C87555">
      <w:pPr>
        <w:tabs>
          <w:tab w:val="left" w:pos="993"/>
        </w:tabs>
        <w:spacing w:before="120" w:after="120" w:line="240" w:lineRule="auto"/>
        <w:ind w:right="-285" w:hanging="142"/>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Milestones, targets, indicators, and timetable for monitoring  implementation for non-repayable financial support</w:t>
      </w:r>
    </w:p>
    <w:p w:rsidR="00BF6749" w:rsidRDefault="00BF6749">
      <w:pPr>
        <w:tabs>
          <w:tab w:val="left" w:pos="993"/>
        </w:tabs>
        <w:spacing w:before="120" w:after="120" w:line="240" w:lineRule="auto"/>
        <w:jc w:val="both"/>
        <w:rPr>
          <w:rFonts w:ascii="Times New Roman" w:hAnsi="Times New Roman"/>
          <w:b/>
          <w:noProof/>
          <w:sz w:val="24"/>
          <w:szCs w:val="24"/>
          <w:u w:val="single"/>
        </w:rPr>
      </w:pPr>
    </w:p>
    <w:tbl>
      <w:tblPr>
        <w:tblW w:w="14567" w:type="dxa"/>
        <w:tblLayout w:type="fixed"/>
        <w:tblLook w:val="04A0" w:firstRow="1" w:lastRow="0" w:firstColumn="1" w:lastColumn="0" w:noHBand="0" w:noVBand="1"/>
      </w:tblPr>
      <w:tblGrid>
        <w:gridCol w:w="650"/>
        <w:gridCol w:w="1540"/>
        <w:gridCol w:w="1179"/>
        <w:gridCol w:w="1265"/>
        <w:gridCol w:w="861"/>
        <w:gridCol w:w="1417"/>
        <w:gridCol w:w="1276"/>
        <w:gridCol w:w="851"/>
        <w:gridCol w:w="992"/>
        <w:gridCol w:w="709"/>
        <w:gridCol w:w="3811"/>
        <w:gridCol w:w="16"/>
      </w:tblGrid>
      <w:tr w:rsidR="00BF6749">
        <w:trPr>
          <w:gridAfter w:val="1"/>
          <w:wAfter w:w="16" w:type="dxa"/>
          <w:trHeight w:val="765"/>
        </w:trPr>
        <w:tc>
          <w:tcPr>
            <w:tcW w:w="650"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Seq. Num.</w:t>
            </w:r>
          </w:p>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 </w:t>
            </w:r>
          </w:p>
        </w:tc>
        <w:tc>
          <w:tcPr>
            <w:tcW w:w="1540"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Related measure </w:t>
            </w:r>
            <w:r>
              <w:rPr>
                <w:rFonts w:ascii="Times New Roman" w:eastAsia="Times New Roman" w:hAnsi="Times New Roman"/>
                <w:b/>
                <w:bCs/>
                <w:noProof/>
                <w:sz w:val="20"/>
                <w:szCs w:val="20"/>
                <w:lang w:val="en-US"/>
              </w:rPr>
              <w:t>(Reform or Investment)</w:t>
            </w:r>
          </w:p>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 </w:t>
            </w:r>
          </w:p>
        </w:tc>
        <w:tc>
          <w:tcPr>
            <w:tcW w:w="1179"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Milestone / Target</w:t>
            </w:r>
          </w:p>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 </w:t>
            </w:r>
          </w:p>
        </w:tc>
        <w:tc>
          <w:tcPr>
            <w:tcW w:w="1265"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Name</w:t>
            </w:r>
          </w:p>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 </w:t>
            </w:r>
          </w:p>
        </w:tc>
        <w:tc>
          <w:tcPr>
            <w:tcW w:w="861"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Qualitative indicators</w:t>
            </w:r>
            <w:r>
              <w:rPr>
                <w:rFonts w:ascii="Times New Roman" w:hAnsi="Times New Roman"/>
                <w:noProof/>
                <w:sz w:val="20"/>
                <w:szCs w:val="20"/>
                <w:lang w:val="en-US"/>
              </w:rPr>
              <w:t xml:space="preserve">  </w:t>
            </w:r>
            <w:r>
              <w:rPr>
                <w:rFonts w:ascii="Times New Roman" w:eastAsia="Times New Roman" w:hAnsi="Times New Roman"/>
                <w:b/>
                <w:bCs/>
                <w:noProof/>
                <w:sz w:val="20"/>
                <w:szCs w:val="20"/>
                <w:lang w:val="en-US"/>
              </w:rPr>
              <w:t xml:space="preserve"> (for milestones)</w:t>
            </w:r>
          </w:p>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 </w:t>
            </w:r>
          </w:p>
        </w:tc>
        <w:tc>
          <w:tcPr>
            <w:tcW w:w="3544"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Quantitative indicators</w:t>
            </w:r>
            <w:r>
              <w:rPr>
                <w:rFonts w:ascii="Times New Roman" w:hAnsi="Times New Roman"/>
                <w:noProof/>
                <w:sz w:val="20"/>
                <w:szCs w:val="20"/>
                <w:lang w:val="en-US"/>
              </w:rPr>
              <w:t xml:space="preserve">  </w:t>
            </w:r>
            <w:r>
              <w:rPr>
                <w:rFonts w:ascii="Times New Roman" w:eastAsia="Times New Roman" w:hAnsi="Times New Roman"/>
                <w:b/>
                <w:bCs/>
                <w:noProof/>
                <w:sz w:val="20"/>
                <w:szCs w:val="20"/>
                <w:lang w:val="en-US"/>
              </w:rPr>
              <w:t xml:space="preserve"> (for targets)</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Indicative timeline for completion </w:t>
            </w:r>
          </w:p>
        </w:tc>
        <w:tc>
          <w:tcPr>
            <w:tcW w:w="3811"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Description and clear definition of each milestone and target</w:t>
            </w:r>
          </w:p>
          <w:p w:rsidR="00BF6749" w:rsidRDefault="00C87555">
            <w:pPr>
              <w:rPr>
                <w:rFonts w:ascii="Times New Roman" w:hAnsi="Times New Roman"/>
                <w:noProof/>
                <w:sz w:val="20"/>
                <w:szCs w:val="20"/>
                <w:lang w:val="en-US"/>
              </w:rPr>
            </w:pPr>
            <w:r>
              <w:rPr>
                <w:rFonts w:ascii="Times New Roman" w:eastAsia="Times New Roman" w:hAnsi="Times New Roman"/>
                <w:noProof/>
                <w:sz w:val="20"/>
                <w:szCs w:val="20"/>
                <w:lang w:val="en-US"/>
              </w:rPr>
              <w:t xml:space="preserve"> </w:t>
            </w:r>
          </w:p>
        </w:tc>
      </w:tr>
      <w:tr w:rsidR="00BF6749">
        <w:trPr>
          <w:gridAfter w:val="1"/>
          <w:wAfter w:w="16" w:type="dxa"/>
          <w:trHeight w:val="705"/>
        </w:trPr>
        <w:tc>
          <w:tcPr>
            <w:tcW w:w="650"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lang w:val="en-US"/>
              </w:rPr>
            </w:pPr>
          </w:p>
        </w:tc>
        <w:tc>
          <w:tcPr>
            <w:tcW w:w="1540"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lang w:val="en-US"/>
              </w:rPr>
            </w:pPr>
          </w:p>
        </w:tc>
        <w:tc>
          <w:tcPr>
            <w:tcW w:w="1179"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lang w:val="en-US"/>
              </w:rPr>
            </w:pPr>
          </w:p>
        </w:tc>
        <w:tc>
          <w:tcPr>
            <w:tcW w:w="1265"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lang w:val="en-US"/>
              </w:rPr>
            </w:pPr>
          </w:p>
        </w:tc>
        <w:tc>
          <w:tcPr>
            <w:tcW w:w="861"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 xml:space="preserve">Measurement </w:t>
            </w:r>
            <w:r>
              <w:rPr>
                <w:rFonts w:ascii="Times New Roman" w:eastAsia="Times New Roman" w:hAnsi="Times New Roman"/>
                <w:b/>
                <w:bCs/>
                <w:noProof/>
                <w:sz w:val="20"/>
                <w:szCs w:val="20"/>
                <w:lang w:val="en-US"/>
              </w:rPr>
              <w:t>unit</w:t>
            </w:r>
          </w:p>
        </w:tc>
        <w:tc>
          <w:tcPr>
            <w:tcW w:w="1276"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Background</w:t>
            </w:r>
          </w:p>
        </w:tc>
        <w:tc>
          <w:tcPr>
            <w:tcW w:w="851"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Target</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Quarter</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lang w:val="en-US"/>
              </w:rPr>
            </w:pPr>
            <w:r>
              <w:rPr>
                <w:rFonts w:ascii="Times New Roman" w:eastAsia="Times New Roman" w:hAnsi="Times New Roman"/>
                <w:b/>
                <w:bCs/>
                <w:noProof/>
                <w:sz w:val="20"/>
                <w:szCs w:val="20"/>
                <w:lang w:val="en-US"/>
              </w:rPr>
              <w:t>Year</w:t>
            </w:r>
          </w:p>
        </w:tc>
        <w:tc>
          <w:tcPr>
            <w:tcW w:w="3811"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lang w:val="en-US"/>
              </w:rPr>
            </w:pPr>
          </w:p>
        </w:tc>
      </w:tr>
      <w:tr w:rsidR="00BF6749">
        <w:trPr>
          <w:gridAfter w:val="1"/>
          <w:wAfter w:w="16" w:type="dxa"/>
          <w:trHeight w:val="196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1</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development and quality of inclusive education – Reform 1:1.Ensuring conditions for the implementation of compulsory pre-primary education for children aged of five and </w:t>
            </w:r>
            <w:r>
              <w:rPr>
                <w:rFonts w:ascii="Times New Roman" w:hAnsi="Times New Roman"/>
                <w:noProof/>
                <w:color w:val="006100"/>
                <w:sz w:val="20"/>
                <w:szCs w:val="20"/>
                <w:lang w:val="en-US"/>
              </w:rPr>
              <w:t>introducing a legal entitlement to a place in kindergarten or other pre-primary education providers from the age of three</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Introduction of legal changes of a  compulsory pre-primary education for children aged of five and introduction a legal en</w:t>
            </w:r>
            <w:r>
              <w:rPr>
                <w:rFonts w:ascii="Times New Roman" w:hAnsi="Times New Roman"/>
                <w:noProof/>
                <w:color w:val="006100"/>
                <w:sz w:val="20"/>
                <w:szCs w:val="20"/>
                <w:lang w:val="en-US"/>
              </w:rPr>
              <w:t>titlement to a place in kindergarten or other pre-primary education providers from the age of three.</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Adoption  by the Parliament of Act No 597/2003, Act No 596/2003, Act No 245/2008, Act No 138/2019, amendment of Government Regulation No 668/2004 Coll., Go</w:t>
            </w:r>
            <w:r>
              <w:rPr>
                <w:rFonts w:ascii="Times New Roman" w:hAnsi="Times New Roman"/>
                <w:noProof/>
                <w:color w:val="006100"/>
                <w:sz w:val="20"/>
                <w:szCs w:val="20"/>
                <w:lang w:val="en-US"/>
              </w:rPr>
              <w:t>vernment Regulation No 630/2008 Coll., amendment of Decree No 1/2020.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The relevant provisions of Act No 597/2003 on the financing of primary schools, secondary schools and school facilities, Act No 596/2003 on State Administration in Educatio</w:t>
            </w:r>
            <w:r>
              <w:rPr>
                <w:rFonts w:ascii="Times New Roman" w:hAnsi="Times New Roman"/>
                <w:noProof/>
                <w:color w:val="006100"/>
                <w:sz w:val="20"/>
                <w:szCs w:val="20"/>
                <w:lang w:val="en-US"/>
              </w:rPr>
              <w:t>n and School Self-Government and the re-evaluation of the formula in Government Regulation No 668/2004 shall be amended, including an amendment to Government Regulation No 630/2008 Coll. A differentiated and transparent system of funding for pre-primary ed</w:t>
            </w:r>
            <w:r>
              <w:rPr>
                <w:rFonts w:ascii="Times New Roman" w:hAnsi="Times New Roman"/>
                <w:noProof/>
                <w:color w:val="006100"/>
                <w:sz w:val="20"/>
                <w:szCs w:val="20"/>
                <w:lang w:val="en-US"/>
              </w:rPr>
              <w:t>ucation shall be set up to ensure stability, resilience and the ring-fencing of funds allocated to education. The effectiveness of the legislative changes introduced as at 1.1.2023.Act No 245/2008 shall introduce a universal legal entitlement to a place in</w:t>
            </w:r>
            <w:r>
              <w:rPr>
                <w:rFonts w:ascii="Times New Roman" w:hAnsi="Times New Roman"/>
                <w:noProof/>
                <w:color w:val="006100"/>
                <w:sz w:val="20"/>
                <w:szCs w:val="20"/>
                <w:lang w:val="en-US"/>
              </w:rPr>
              <w:t xml:space="preserve"> kindergarten or other pre-primary education providers for children from four years of age and subsequently from the age of three.</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The legislation shall be adopted by 31 December  2022, with effect from 1.1.2024, and 1.1.2025 and shall provide the sufficie</w:t>
            </w:r>
            <w:r>
              <w:rPr>
                <w:rFonts w:ascii="Times New Roman" w:hAnsi="Times New Roman"/>
                <w:noProof/>
                <w:color w:val="006100"/>
                <w:sz w:val="20"/>
                <w:szCs w:val="20"/>
                <w:lang w:val="en-US"/>
              </w:rPr>
              <w:t xml:space="preserve">nt places in kindergarten or other pre-primary education providers for all children from the age of 4 (from 09/2024) and subsequently from the age of three (from 09/2025).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The amendment to Act No 138/2019 on pedagogical and professional employees and the </w:t>
            </w:r>
            <w:r>
              <w:rPr>
                <w:rFonts w:ascii="Times New Roman" w:hAnsi="Times New Roman"/>
                <w:noProof/>
                <w:color w:val="006100"/>
                <w:sz w:val="20"/>
                <w:szCs w:val="20"/>
                <w:lang w:val="en-US"/>
              </w:rPr>
              <w:t>amendment to Decree No 1/2020 Coll. on qualification requirements for teaching staff and specialist staff shall introduce the condition that pedagogical staff in kindergartens or other pre-primary education providers as a teacher have a higher education de</w:t>
            </w:r>
            <w:r>
              <w:rPr>
                <w:rFonts w:ascii="Times New Roman" w:hAnsi="Times New Roman"/>
                <w:noProof/>
                <w:color w:val="006100"/>
                <w:sz w:val="20"/>
                <w:szCs w:val="20"/>
                <w:lang w:val="en-US"/>
              </w:rPr>
              <w:t xml:space="preserve">gree in the teaching programme for early and pre-primary education.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The amendment shall be adopted by 31 December 2022 at the latest, with a date of application from 1.1.2029. The teachers with pedagogical experience at kindergarten for 10 years or more s</w:t>
            </w:r>
            <w:r>
              <w:rPr>
                <w:rFonts w:ascii="Times New Roman" w:hAnsi="Times New Roman"/>
                <w:noProof/>
                <w:color w:val="006100"/>
                <w:sz w:val="20"/>
                <w:szCs w:val="20"/>
                <w:lang w:val="en-US"/>
              </w:rPr>
              <w:t>hall be recognised as fulfilling a defined qualification requirement. For teachers with work experience of less than 10 years, including on-coming full secondary vocational education graduates, a condition shall be laid down for entering the relevant unive</w:t>
            </w:r>
            <w:r>
              <w:rPr>
                <w:rFonts w:ascii="Times New Roman" w:hAnsi="Times New Roman"/>
                <w:noProof/>
                <w:color w:val="006100"/>
                <w:sz w:val="20"/>
                <w:szCs w:val="20"/>
                <w:lang w:val="en-US"/>
              </w:rPr>
              <w:t>rsity course by 1.1.2029.</w:t>
            </w:r>
          </w:p>
        </w:tc>
      </w:tr>
      <w:tr w:rsidR="00BF6749">
        <w:trPr>
          <w:gridAfter w:val="1"/>
          <w:wAfter w:w="16" w:type="dxa"/>
          <w:trHeight w:val="45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pl-PL"/>
              </w:rPr>
            </w:pPr>
            <w:r>
              <w:rPr>
                <w:rFonts w:ascii="Times New Roman" w:hAnsi="Times New Roman"/>
                <w:noProof/>
                <w:color w:val="006100"/>
                <w:sz w:val="20"/>
                <w:szCs w:val="20"/>
                <w:lang w:val="en-US"/>
              </w:rPr>
              <w:t>2</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development and quality of inclusive education– Reform 1:1.Ensuring conditions for the implementation of compulsory pre-primary education for children aged of five  and introducing a legal entitlement to a </w:t>
            </w:r>
            <w:r>
              <w:rPr>
                <w:rFonts w:ascii="Times New Roman" w:hAnsi="Times New Roman"/>
                <w:noProof/>
                <w:color w:val="006100"/>
                <w:sz w:val="20"/>
                <w:szCs w:val="20"/>
                <w:lang w:val="en-US"/>
              </w:rPr>
              <w:t>place in kindergarten or other pre-primary education providers from the age of three</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Target</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Enrollment rate in pre-primary schools for children aged five years</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88</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95</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For children who are 5 years old, pre-primary education shall be compulsory. </w:t>
            </w:r>
            <w:r>
              <w:rPr>
                <w:rFonts w:ascii="Times New Roman" w:hAnsi="Times New Roman"/>
                <w:noProof/>
                <w:color w:val="006100"/>
                <w:sz w:val="20"/>
                <w:szCs w:val="20"/>
                <w:lang w:val="en-US"/>
              </w:rPr>
              <w:t>Under the amendment to the School Act, they shall receive pre-primary education:(i) in kindergarten/special kindergarten included in the Slovak network of schools and schools, (ii) in individual education, e.g. at the request of a legal representative at h</w:t>
            </w:r>
            <w:r>
              <w:rPr>
                <w:rFonts w:ascii="Times New Roman" w:hAnsi="Times New Roman"/>
                <w:noProof/>
                <w:color w:val="006100"/>
                <w:sz w:val="20"/>
                <w:szCs w:val="20"/>
                <w:lang w:val="en-US"/>
              </w:rPr>
              <w:t>ome, or (iii) at the establishment of a registered pre-primary education provider.</w:t>
            </w:r>
          </w:p>
        </w:tc>
      </w:tr>
      <w:tr w:rsidR="00BF6749">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pl-PL"/>
              </w:rPr>
            </w:pPr>
            <w:r>
              <w:rPr>
                <w:rFonts w:ascii="Times New Roman" w:hAnsi="Times New Roman"/>
                <w:noProof/>
                <w:color w:val="006100"/>
                <w:sz w:val="20"/>
                <w:szCs w:val="20"/>
                <w:lang w:val="en-US"/>
              </w:rPr>
              <w:t>3</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development and quality of inclusive education– Reform 1:1.Ensuring conditions for the implementation of compulsory pre-primary education for children </w:t>
            </w:r>
            <w:r>
              <w:rPr>
                <w:rFonts w:ascii="Times New Roman" w:hAnsi="Times New Roman"/>
                <w:noProof/>
                <w:color w:val="006100"/>
                <w:sz w:val="20"/>
                <w:szCs w:val="20"/>
                <w:lang w:val="en-US"/>
              </w:rPr>
              <w:t>from the age of 5 and introducing a legal entitlement to a place in kindergarten or other pre-primary education providers from the age of 3</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Target</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Number of newly built capacities</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12 352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The completion of the capacity of kindergartens shall create the conditions for claiming a legal entitlement to pre-primary education for children from four and then from the age of three. The target (12 352) is the estimated number of newly built faciliti</w:t>
            </w:r>
            <w:r>
              <w:rPr>
                <w:rFonts w:ascii="Times New Roman" w:hAnsi="Times New Roman"/>
                <w:noProof/>
                <w:color w:val="006100"/>
                <w:sz w:val="20"/>
                <w:szCs w:val="20"/>
                <w:lang w:val="en-US"/>
              </w:rPr>
              <w:t xml:space="preserve">es.  </w:t>
            </w:r>
          </w:p>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Buildings subjected to renovation shall contribute to the green transitions by achieving at least 30% of primary energy savings.</w:t>
            </w:r>
          </w:p>
        </w:tc>
      </w:tr>
      <w:tr w:rsidR="00BF6749">
        <w:trPr>
          <w:gridAfter w:val="1"/>
          <w:wAfter w:w="16" w:type="dxa"/>
          <w:trHeight w:val="112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en-US"/>
              </w:rPr>
              <w:t>4</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development and quality of inclusive education– Reform 2:Definition of the concept of special </w:t>
            </w:r>
            <w:r>
              <w:rPr>
                <w:rFonts w:ascii="Times New Roman" w:hAnsi="Times New Roman"/>
                <w:noProof/>
                <w:color w:val="006100"/>
                <w:sz w:val="20"/>
                <w:szCs w:val="20"/>
                <w:lang w:val="en-US"/>
              </w:rPr>
              <w:t>educational needs of children and pupils and development of a model for eligible support measures in education and education, including their funding system</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Adoption of the law on redefinition of  the concept of special educational needs and the </w:t>
            </w:r>
            <w:r>
              <w:rPr>
                <w:rFonts w:ascii="Times New Roman" w:hAnsi="Times New Roman"/>
                <w:noProof/>
                <w:color w:val="006100"/>
                <w:sz w:val="20"/>
                <w:szCs w:val="20"/>
                <w:lang w:val="en-US"/>
              </w:rPr>
              <w:t>preparation of accompanying methodological material for teaching staff, specialist staff and school leaders.</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Adoption of the Parliament of the amendment to Act No 245/2008 Coll., Act No 597/2003 Coll.;</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Amendment of Government Regulation No 630/2008 and </w:t>
            </w:r>
            <w:r>
              <w:rPr>
                <w:rFonts w:ascii="Times New Roman" w:hAnsi="Times New Roman"/>
                <w:noProof/>
                <w:color w:val="006100"/>
                <w:sz w:val="20"/>
                <w:szCs w:val="20"/>
                <w:lang w:val="en-US"/>
              </w:rPr>
              <w:t>Adoption  by the government development of methodological material on the vertical model of support measures, didactic and methodological material for teaching Slovak as a second language and the introduction of support for children with different mother t</w:t>
            </w:r>
            <w:r>
              <w:rPr>
                <w:rFonts w:ascii="Times New Roman" w:hAnsi="Times New Roman"/>
                <w:noProof/>
                <w:color w:val="006100"/>
                <w:sz w:val="20"/>
                <w:szCs w:val="20"/>
                <w:lang w:val="en-US"/>
              </w:rPr>
              <w:t>ongues in education</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The amendment to Act No 245/2008 on education (together with a separate new Decree) and the amendment to Act No 597/2003 on the financing of primary schools, secondary schools and educational establishments define children</w:t>
            </w:r>
            <w:r>
              <w:rPr>
                <w:rFonts w:ascii="Times New Roman" w:hAnsi="Times New Roman"/>
                <w:noProof/>
                <w:color w:val="006100"/>
                <w:sz w:val="20"/>
                <w:szCs w:val="20"/>
                <w:lang w:val="en-US"/>
              </w:rPr>
              <w:t xml:space="preserve"> and pupils experiencing obstacles to access to education and their entitlement to education support through specific support measures. </w:t>
            </w:r>
          </w:p>
          <w:p w:rsidR="00BF6749" w:rsidRDefault="00BF6749">
            <w:pPr>
              <w:jc w:val="both"/>
              <w:rPr>
                <w:rFonts w:ascii="Times New Roman" w:hAnsi="Times New Roman"/>
                <w:noProof/>
                <w:color w:val="006100"/>
                <w:sz w:val="20"/>
                <w:szCs w:val="20"/>
                <w:lang w:val="en-US"/>
              </w:rPr>
            </w:pPr>
          </w:p>
          <w:p w:rsidR="00BF6749" w:rsidRDefault="00C87555">
            <w:pPr>
              <w:jc w:val="both"/>
              <w:rPr>
                <w:rFonts w:ascii="Times New Roman" w:hAnsi="Times New Roman"/>
                <w:noProof/>
                <w:color w:val="006100"/>
                <w:sz w:val="20"/>
                <w:szCs w:val="20"/>
                <w:lang w:val="en-US"/>
              </w:rPr>
            </w:pPr>
            <w:r>
              <w:rPr>
                <w:rFonts w:ascii="Times New Roman" w:hAnsi="Times New Roman"/>
                <w:noProof/>
                <w:color w:val="006100"/>
                <w:sz w:val="20"/>
                <w:szCs w:val="20"/>
                <w:lang w:val="en-US"/>
              </w:rPr>
              <w:t>Slovak Government Regulation No 630/2008 shall be adapted, which takes into account different specificities when calcu</w:t>
            </w:r>
            <w:r>
              <w:rPr>
                <w:rFonts w:ascii="Times New Roman" w:hAnsi="Times New Roman"/>
                <w:noProof/>
                <w:color w:val="006100"/>
                <w:sz w:val="20"/>
                <w:szCs w:val="20"/>
                <w:lang w:val="en-US"/>
              </w:rPr>
              <w:t xml:space="preserve">lating the normative contribution by means of coefficients.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The reform requires the preparation of accompanying methodological material. At the same time, methodological sheets for teachers and worksheets for pupils, aimed at developing the language compe</w:t>
            </w:r>
            <w:r>
              <w:rPr>
                <w:rFonts w:ascii="Times New Roman" w:hAnsi="Times New Roman"/>
                <w:noProof/>
                <w:color w:val="006100"/>
                <w:sz w:val="20"/>
                <w:szCs w:val="20"/>
                <w:lang w:val="en-US"/>
              </w:rPr>
              <w:t>tences of children and pupils with different mother tongues than the school’s language of instruction, shall be developed for different levels of language competences and different age groups.</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Methodological and didactic materials shall be published on a s</w:t>
            </w:r>
            <w:r>
              <w:rPr>
                <w:rFonts w:ascii="Times New Roman" w:hAnsi="Times New Roman"/>
                <w:noProof/>
                <w:color w:val="006100"/>
                <w:sz w:val="20"/>
                <w:szCs w:val="20"/>
                <w:lang w:val="en-US"/>
              </w:rPr>
              <w:t>eparate web portal and shall be freely accessible to all relevant educational actors.</w:t>
            </w:r>
          </w:p>
        </w:tc>
      </w:tr>
      <w:tr w:rsidR="00BF6749">
        <w:trPr>
          <w:gridAfter w:val="1"/>
          <w:wAfter w:w="16" w:type="dxa"/>
          <w:trHeight w:val="112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lang w:val="pl-PL"/>
              </w:rPr>
            </w:pPr>
            <w:r>
              <w:rPr>
                <w:rFonts w:ascii="Times New Roman" w:hAnsi="Times New Roman"/>
                <w:noProof/>
                <w:color w:val="006100"/>
                <w:sz w:val="20"/>
                <w:szCs w:val="20"/>
                <w:lang w:val="pl-PL"/>
              </w:rPr>
              <w:t>5</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6 – Accessibility, development and quality of inclusive education– Reform 2:Definition of the concept of special educational needs of children and pupils and </w:t>
            </w:r>
            <w:r>
              <w:rPr>
                <w:rFonts w:ascii="Times New Roman" w:hAnsi="Times New Roman"/>
                <w:noProof/>
                <w:color w:val="006100"/>
                <w:sz w:val="20"/>
                <w:szCs w:val="20"/>
                <w:lang w:val="en-US"/>
              </w:rPr>
              <w:t>development of a model for eligible support measures in education and education, including their funding system</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color w:val="006100"/>
                <w:sz w:val="20"/>
                <w:szCs w:val="20"/>
                <w:lang w:val="en-US"/>
              </w:rPr>
            </w:pPr>
            <w:r>
              <w:rPr>
                <w:rFonts w:ascii="Times New Roman" w:hAnsi="Times New Roman"/>
                <w:noProof/>
                <w:color w:val="006100"/>
                <w:sz w:val="20"/>
                <w:szCs w:val="20"/>
                <w:lang w:val="en-US"/>
              </w:rPr>
              <w:t>Entry into force the redefinition of the concept of special educational needs</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Entry into force  of the amendment to Act No 245/2008 </w:t>
            </w:r>
            <w:r>
              <w:rPr>
                <w:rFonts w:ascii="Times New Roman" w:hAnsi="Times New Roman"/>
                <w:noProof/>
                <w:color w:val="006100"/>
                <w:sz w:val="20"/>
                <w:szCs w:val="20"/>
                <w:lang w:val="en-US"/>
              </w:rPr>
              <w:t>Coll., Act No 597/2003 Coll.;</w:t>
            </w:r>
          </w:p>
          <w:p w:rsidR="00BF6749" w:rsidRDefault="00BF6749">
            <w:pPr>
              <w:jc w:val="both"/>
              <w:rPr>
                <w:rFonts w:ascii="Times New Roman" w:hAnsi="Times New Roman"/>
                <w:noProof/>
                <w:color w:val="006100"/>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lang w:val="pl-PL"/>
              </w:rPr>
            </w:pPr>
            <w:r>
              <w:rPr>
                <w:rFonts w:ascii="Times New Roman" w:hAnsi="Times New Roman"/>
                <w:noProof/>
                <w:color w:val="006100"/>
                <w:sz w:val="20"/>
                <w:szCs w:val="20"/>
                <w:lang w:val="en-US"/>
              </w:rPr>
              <w:t>Q</w:t>
            </w:r>
            <w:r>
              <w:rPr>
                <w:rFonts w:ascii="Times New Roman" w:hAnsi="Times New Roman"/>
                <w:noProof/>
                <w:color w:val="006100"/>
                <w:sz w:val="20"/>
                <w:szCs w:val="20"/>
                <w:lang w:val="pl-PL"/>
              </w:rPr>
              <w:t>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lang w:val="pl-PL"/>
              </w:rPr>
            </w:pPr>
            <w:r>
              <w:rPr>
                <w:rFonts w:ascii="Times New Roman" w:hAnsi="Times New Roman"/>
                <w:noProof/>
                <w:color w:val="006100"/>
                <w:sz w:val="20"/>
                <w:szCs w:val="20"/>
                <w:lang w:val="en-US"/>
              </w:rPr>
              <w:t>202</w:t>
            </w:r>
            <w:r>
              <w:rPr>
                <w:rFonts w:ascii="Times New Roman" w:hAnsi="Times New Roman"/>
                <w:noProof/>
                <w:color w:val="006100"/>
                <w:sz w:val="20"/>
                <w:szCs w:val="20"/>
                <w:lang w:val="pl-PL"/>
              </w:rPr>
              <w:t>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The amendment to Act No 245/2008 on education (together with a separate new Decree) define children and pupils experiencing obstacles to access to education and their entitlement to education support through </w:t>
            </w:r>
            <w:r>
              <w:rPr>
                <w:rFonts w:ascii="Times New Roman" w:hAnsi="Times New Roman"/>
                <w:noProof/>
                <w:color w:val="006100"/>
                <w:sz w:val="20"/>
                <w:szCs w:val="20"/>
                <w:lang w:val="en-US"/>
              </w:rPr>
              <w:t>specific support measures shall enter into force by 31 March 2023.</w:t>
            </w:r>
          </w:p>
          <w:p w:rsidR="00BF6749" w:rsidRDefault="00BF6749">
            <w:pPr>
              <w:jc w:val="both"/>
              <w:rPr>
                <w:rFonts w:ascii="Times New Roman" w:hAnsi="Times New Roman"/>
                <w:noProof/>
                <w:color w:val="006100"/>
                <w:sz w:val="20"/>
                <w:szCs w:val="20"/>
                <w:lang w:val="en-US"/>
              </w:rPr>
            </w:pPr>
          </w:p>
        </w:tc>
      </w:tr>
      <w:tr w:rsidR="00BF6749">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6</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Accessibility, development and quality of inclusive education– Reform 2:Definition of the concept of special educational needs of children and pupils and development of a model for </w:t>
            </w:r>
            <w:r>
              <w:rPr>
                <w:rFonts w:ascii="Times New Roman" w:hAnsi="Times New Roman"/>
                <w:noProof/>
                <w:color w:val="006100"/>
                <w:sz w:val="20"/>
                <w:szCs w:val="20"/>
                <w:lang w:val="en-US"/>
              </w:rPr>
              <w:t>eligible support measures in education and education, including their funding system</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Target</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Number of trained teachers and specialized staff</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Number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10000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10000 teachers and specialized staff trained under programmes for professional development, further training and information activities which shall aim at presenting a new model of eligible educational support measures, diagnosing the level of language ski</w:t>
            </w:r>
            <w:r>
              <w:rPr>
                <w:rFonts w:ascii="Times New Roman" w:hAnsi="Times New Roman"/>
                <w:noProof/>
                <w:color w:val="006100"/>
                <w:sz w:val="20"/>
                <w:szCs w:val="20"/>
                <w:lang w:val="en-US"/>
              </w:rPr>
              <w:t xml:space="preserve">lls of children and pupils and providing support for children and pupils with language barriers in accessing education. </w:t>
            </w:r>
          </w:p>
        </w:tc>
      </w:tr>
      <w:tr w:rsidR="00BF6749">
        <w:trPr>
          <w:gridAfter w:val="1"/>
          <w:wAfter w:w="16" w:type="dxa"/>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7</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development and quality of inclusive education– Reform 3:Reforming the system of counselling and prevention and </w:t>
            </w:r>
            <w:r>
              <w:rPr>
                <w:rFonts w:ascii="Times New Roman" w:hAnsi="Times New Roman"/>
                <w:noProof/>
                <w:color w:val="006100"/>
                <w:sz w:val="20"/>
                <w:szCs w:val="20"/>
                <w:lang w:val="en-US"/>
              </w:rPr>
              <w:t>ensuring systemic data collection in the field of mental health promotion for children, pupils and students</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Entry into force of the legislation that create the   comprehensive system of counselling</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Entry into force of the amendment to Act No. </w:t>
            </w:r>
            <w:r>
              <w:rPr>
                <w:rFonts w:ascii="Times New Roman" w:hAnsi="Times New Roman"/>
                <w:noProof/>
                <w:color w:val="006100"/>
                <w:sz w:val="20"/>
                <w:szCs w:val="20"/>
                <w:lang w:val="en-US"/>
              </w:rPr>
              <w:t>245/2008 Coll. and separate Decrees, probable amendment and Government Regulation No 630/2008 Coll.</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The amendment to Act No 245/2008 on education and training (together with a separate new decree) shall replace the current concept of an advis</w:t>
            </w:r>
            <w:r>
              <w:rPr>
                <w:rFonts w:ascii="Times New Roman" w:hAnsi="Times New Roman"/>
                <w:noProof/>
                <w:color w:val="006100"/>
                <w:sz w:val="20"/>
                <w:szCs w:val="20"/>
                <w:lang w:val="en-US"/>
              </w:rPr>
              <w:t>ory system with an interconnected system focusing on accessibility, complexity and compliance with content and performance standards.</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A comprehensive system of counselling and prevention shall consist of the newly created Advisory and Prevention Centres (C</w:t>
            </w:r>
            <w:r>
              <w:rPr>
                <w:rFonts w:ascii="Times New Roman" w:hAnsi="Times New Roman"/>
                <w:noProof/>
                <w:color w:val="006100"/>
                <w:sz w:val="20"/>
                <w:szCs w:val="20"/>
                <w:lang w:val="en-US"/>
              </w:rPr>
              <w:t>PP), which shall provide professional activities without defining a focus on target groups according to health disadvantage, as is currently the case, i.e. so that the possibility of visiting the centre of counselling and prevention is not determined on th</w:t>
            </w:r>
            <w:r>
              <w:rPr>
                <w:rFonts w:ascii="Times New Roman" w:hAnsi="Times New Roman"/>
                <w:noProof/>
                <w:color w:val="006100"/>
                <w:sz w:val="20"/>
                <w:szCs w:val="20"/>
                <w:lang w:val="en-US"/>
              </w:rPr>
              <w:t>e basis of the child’s health disadvantage. Professional activities shall be provided in close cooperation between support teams in schools and schools, including a multidisciplinary team.</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This create conditions for intensive, timely and high-quality </w:t>
            </w:r>
            <w:r>
              <w:rPr>
                <w:rFonts w:ascii="Times New Roman" w:hAnsi="Times New Roman"/>
                <w:noProof/>
                <w:color w:val="006100"/>
                <w:sz w:val="20"/>
                <w:szCs w:val="20"/>
                <w:lang w:val="en-US"/>
              </w:rPr>
              <w:t>support, assistance and intervention for children, pupils, students, legal representatives, institutional representatives and other counterparts. The change in funding shall consist of setting the contribution on the basis of the professional activities ca</w:t>
            </w:r>
            <w:r>
              <w:rPr>
                <w:rFonts w:ascii="Times New Roman" w:hAnsi="Times New Roman"/>
                <w:noProof/>
                <w:color w:val="006100"/>
                <w:sz w:val="20"/>
                <w:szCs w:val="20"/>
                <w:lang w:val="en-US"/>
              </w:rPr>
              <w:t>rried out. In the context of the change in funding, Government Regulation No 630/2008 laying down the details of the breakdown of funds from the state budget for schools and educational establishments may also need to be amended.</w:t>
            </w:r>
          </w:p>
        </w:tc>
      </w:tr>
      <w:tr w:rsidR="00BF6749">
        <w:trPr>
          <w:gridAfter w:val="1"/>
          <w:wAfter w:w="16" w:type="dxa"/>
          <w:trHeight w:val="396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8</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w:t>
            </w:r>
            <w:r>
              <w:rPr>
                <w:rFonts w:ascii="Times New Roman" w:hAnsi="Times New Roman"/>
                <w:noProof/>
                <w:color w:val="006100"/>
                <w:sz w:val="20"/>
                <w:szCs w:val="20"/>
                <w:lang w:val="en-US"/>
              </w:rPr>
              <w:t>development and quality of inclusive education – Reform 4:Implementation of tools to prevent early school leaving and adapt F-type study programmes</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Entry into force of legislative amendments aimed at:• Extension of the possibility to acquire lowe</w:t>
            </w:r>
            <w:r>
              <w:rPr>
                <w:rFonts w:ascii="Times New Roman" w:hAnsi="Times New Roman"/>
                <w:noProof/>
                <w:color w:val="006100"/>
                <w:sz w:val="20"/>
                <w:szCs w:val="20"/>
                <w:lang w:val="en-US"/>
              </w:rPr>
              <w:t>r secondary education in lower secondary vocational education (VET) optimisation of NSOV programmes  in response to labour market needs and the offer of NSOV programmes in relation to the educational needs of the target group of pupils</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Entry into force  of</w:t>
            </w:r>
            <w:r>
              <w:rPr>
                <w:rFonts w:ascii="Times New Roman" w:hAnsi="Times New Roman"/>
                <w:noProof/>
                <w:color w:val="006100"/>
                <w:sz w:val="20"/>
                <w:szCs w:val="20"/>
                <w:lang w:val="en-US"/>
              </w:rPr>
              <w:t xml:space="preserve"> the amendment to Act No 245/2008, Act No 61/2015 and modification of Decree No 292/2019.Z. z.</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2023</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The amendment to Act No 245/2008 on education and training (School Act) shall  provide for the possibility of completing lower secondary education </w:t>
            </w:r>
            <w:r>
              <w:rPr>
                <w:rFonts w:ascii="Times New Roman" w:hAnsi="Times New Roman"/>
                <w:noProof/>
                <w:color w:val="006100"/>
                <w:sz w:val="20"/>
                <w:szCs w:val="20"/>
                <w:lang w:val="en-US"/>
              </w:rPr>
              <w:t>in lower secondary vocational education (NSOV) in a two- and three-year combined programme (depending on the year in which the pupil completed the primary school) by means of a comitology examination. The aim is to remove the so-called “dead ends” within t</w:t>
            </w:r>
            <w:r>
              <w:rPr>
                <w:rFonts w:ascii="Times New Roman" w:hAnsi="Times New Roman"/>
                <w:noProof/>
                <w:color w:val="006100"/>
                <w:sz w:val="20"/>
                <w:szCs w:val="20"/>
                <w:lang w:val="en-US"/>
              </w:rPr>
              <w:t>he education system and to enable NSOV pupils to complete the lower-secondary education as part of one programme that is more efficient. There is a greater coverage of the system in relation to vulnerable groups. The education offer shall be adapted to lab</w:t>
            </w:r>
            <w:r>
              <w:rPr>
                <w:rFonts w:ascii="Times New Roman" w:hAnsi="Times New Roman"/>
                <w:noProof/>
                <w:color w:val="006100"/>
                <w:sz w:val="20"/>
                <w:szCs w:val="20"/>
                <w:lang w:val="en-US"/>
              </w:rPr>
              <w:t xml:space="preserve">our market needs. </w:t>
            </w:r>
          </w:p>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The amendment to Act No 61/2015 on vocational education and training shall extend the obligation to determine secondary school performance plans to lower secondary vocational education. </w:t>
            </w:r>
          </w:p>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Decree No 292/2019 shall be amended which shall se</w:t>
            </w:r>
            <w:r>
              <w:rPr>
                <w:rFonts w:ascii="Times New Roman" w:hAnsi="Times New Roman"/>
                <w:noProof/>
                <w:color w:val="006100"/>
                <w:sz w:val="20"/>
                <w:szCs w:val="20"/>
                <w:lang w:val="en-US"/>
              </w:rPr>
              <w:t xml:space="preserve">t up the performance planning system for F-type study programme by defining specific criteria. These shall take into account the specificities of F-type study programme, such as criteria at school level (benefits, attendance, rate of completion of primary </w:t>
            </w:r>
            <w:r>
              <w:rPr>
                <w:rFonts w:ascii="Times New Roman" w:hAnsi="Times New Roman"/>
                <w:noProof/>
                <w:color w:val="006100"/>
                <w:sz w:val="20"/>
                <w:szCs w:val="20"/>
                <w:lang w:val="en-US"/>
              </w:rPr>
              <w:t xml:space="preserve">school) and at trade union level – labour market outcomes of “F graduates”. </w:t>
            </w:r>
          </w:p>
        </w:tc>
      </w:tr>
      <w:tr w:rsidR="00BF6749">
        <w:trPr>
          <w:gridAfter w:val="1"/>
          <w:wAfter w:w="16" w:type="dxa"/>
          <w:trHeight w:val="153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9</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6 – Accessibility, development and quality of inclusive education– Reform 4:Implementation of tools to prevent early school leaving and adapt F-type study programmes</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Target</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Share of lower secondary vocational education (NSOV) programmes optimised in response to labour market needs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 xml:space="preserve">30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The optimisation process shall be based on the results of the process of planning the performance of F-type study programme, which shall operate under a special regime compared to the classical performance plan. </w:t>
            </w:r>
          </w:p>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On the basis of the labour market offer, th</w:t>
            </w:r>
            <w:r>
              <w:rPr>
                <w:rFonts w:ascii="Times New Roman" w:hAnsi="Times New Roman"/>
                <w:noProof/>
                <w:color w:val="006100"/>
                <w:sz w:val="20"/>
                <w:szCs w:val="20"/>
                <w:lang w:val="en-US"/>
              </w:rPr>
              <w:t>e content of the F-type study programme shall then be adjusted or assessed and possibly removed from the education system.</w:t>
            </w:r>
          </w:p>
        </w:tc>
      </w:tr>
      <w:tr w:rsidR="00BF6749">
        <w:trPr>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10</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6 – Accessibility, development and quality of inclusive education– Reform 5:Supporting school desegregation</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Adoption of</w:t>
            </w:r>
            <w:r>
              <w:rPr>
                <w:rFonts w:ascii="Times New Roman" w:hAnsi="Times New Roman"/>
                <w:noProof/>
                <w:color w:val="006100"/>
                <w:sz w:val="20"/>
                <w:szCs w:val="20"/>
                <w:lang w:val="en-US"/>
              </w:rPr>
              <w:t xml:space="preserve"> legislative amendments  that introduce of  the definition of segregation at schools in the legislation and the development of methodological material for the implementation of desegregation</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Adoption by the Parliament of an amendment to Act No 245/2008 or to Act No 365/2004 and the creation and approval by the Ministry of Education of methodological material</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2023</w:t>
            </w:r>
          </w:p>
        </w:tc>
        <w:tc>
          <w:tcPr>
            <w:tcW w:w="3827"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Amendments to the legislation shall concern the Anti-discrimination Act (No 365/2004 Coll.) or the School Act (No 245/2008 Coll.) and other legislation related to the financing and management of schools. The definition of segregation clearly determines wha</w:t>
            </w:r>
            <w:r>
              <w:rPr>
                <w:rFonts w:ascii="Times New Roman" w:hAnsi="Times New Roman"/>
                <w:noProof/>
                <w:color w:val="006100"/>
                <w:sz w:val="20"/>
                <w:szCs w:val="20"/>
                <w:lang w:val="en-US"/>
              </w:rPr>
              <w:t xml:space="preserve">t acts and omissions are considered to be segregation in order to avoid different interpretations in interpretation.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The methodological materials shall provide guidance on preventing and eliminating segregated education for the various educational actors </w:t>
            </w:r>
            <w:r>
              <w:rPr>
                <w:rFonts w:ascii="Times New Roman" w:hAnsi="Times New Roman"/>
                <w:noProof/>
                <w:color w:val="006100"/>
                <w:sz w:val="20"/>
                <w:szCs w:val="20"/>
                <w:lang w:val="en-US"/>
              </w:rPr>
              <w:t>(such as creators, schools and school facilities, directors and teachers) in practice.</w:t>
            </w:r>
          </w:p>
        </w:tc>
      </w:tr>
      <w:tr w:rsidR="00BF6749">
        <w:trPr>
          <w:trHeight w:val="75"/>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lang w:val="pl-PL"/>
              </w:rPr>
            </w:pPr>
            <w:r>
              <w:rPr>
                <w:rFonts w:ascii="Times New Roman" w:hAnsi="Times New Roman"/>
                <w:noProof/>
                <w:color w:val="006100"/>
                <w:sz w:val="20"/>
                <w:szCs w:val="20"/>
                <w:lang w:val="pl-PL"/>
              </w:rPr>
              <w:t>11</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6 – Accessibility, development and quality of inclusive education– Reform 5:Supporting school desegregation</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Entry into force the legislative definition of segregation at schools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 Entry into force an amendment to Act No 245/2008 or to Act No 365/2004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lang w:val="pl-PL"/>
              </w:rPr>
            </w:pPr>
            <w:r>
              <w:rPr>
                <w:rFonts w:ascii="Times New Roman" w:hAnsi="Times New Roman"/>
                <w:noProof/>
                <w:color w:val="006100"/>
                <w:sz w:val="20"/>
                <w:szCs w:val="20"/>
                <w:lang w:val="en-US"/>
              </w:rPr>
              <w:t>Q</w:t>
            </w:r>
            <w:r>
              <w:rPr>
                <w:rFonts w:ascii="Times New Roman" w:hAnsi="Times New Roman"/>
                <w:noProof/>
                <w:color w:val="006100"/>
                <w:sz w:val="20"/>
                <w:szCs w:val="20"/>
                <w:lang w:val="pl-PL"/>
              </w:rPr>
              <w:t>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lang w:val="pl-PL"/>
              </w:rPr>
            </w:pPr>
            <w:r>
              <w:rPr>
                <w:rFonts w:ascii="Times New Roman" w:hAnsi="Times New Roman"/>
                <w:noProof/>
                <w:color w:val="006100"/>
                <w:sz w:val="20"/>
                <w:szCs w:val="20"/>
                <w:lang w:val="en-US"/>
              </w:rPr>
              <w:t>202</w:t>
            </w:r>
            <w:r>
              <w:rPr>
                <w:rFonts w:ascii="Times New Roman" w:hAnsi="Times New Roman"/>
                <w:noProof/>
                <w:color w:val="006100"/>
                <w:sz w:val="20"/>
                <w:szCs w:val="20"/>
                <w:lang w:val="pl-PL"/>
              </w:rPr>
              <w:t>5</w:t>
            </w:r>
          </w:p>
        </w:tc>
        <w:tc>
          <w:tcPr>
            <w:tcW w:w="3827"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The act of law shall enter into force on 1/9/2025. </w:t>
            </w:r>
          </w:p>
          <w:p w:rsidR="00BF6749" w:rsidRDefault="00BF6749">
            <w:pPr>
              <w:jc w:val="both"/>
              <w:rPr>
                <w:rFonts w:ascii="Times New Roman" w:hAnsi="Times New Roman"/>
                <w:noProof/>
                <w:color w:val="006100"/>
                <w:sz w:val="20"/>
                <w:szCs w:val="20"/>
                <w:lang w:val="en-US"/>
              </w:rPr>
            </w:pPr>
          </w:p>
        </w:tc>
      </w:tr>
      <w:tr w:rsidR="00BF6749">
        <w:trPr>
          <w:gridAfter w:val="1"/>
          <w:wAfter w:w="16" w:type="dxa"/>
          <w:trHeight w:val="724"/>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12</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development and </w:t>
            </w:r>
            <w:r>
              <w:rPr>
                <w:rFonts w:ascii="Times New Roman" w:hAnsi="Times New Roman"/>
                <w:noProof/>
                <w:color w:val="006100"/>
                <w:sz w:val="20"/>
                <w:szCs w:val="20"/>
                <w:lang w:val="en-US"/>
              </w:rPr>
              <w:t>quality of inclusive education– Reform 5:Supporting school desegregation</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Target</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Percentage of schools that apply desegregation standards coming from the adopted methodology</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100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sz w:val="20"/>
                <w:szCs w:val="20"/>
                <w:lang w:val="en-US"/>
              </w:rPr>
              <w:t>T</w:t>
            </w:r>
            <w:r>
              <w:rPr>
                <w:rFonts w:ascii="Times New Roman" w:hAnsi="Times New Roman"/>
                <w:noProof/>
                <w:color w:val="006100"/>
                <w:sz w:val="20"/>
                <w:szCs w:val="20"/>
              </w:rPr>
              <w:t xml:space="preserve">he methodology shall be based on the approved law </w:t>
            </w:r>
            <w:r>
              <w:rPr>
                <w:rFonts w:ascii="Times New Roman" w:hAnsi="Times New Roman"/>
                <w:noProof/>
                <w:color w:val="006100"/>
                <w:sz w:val="20"/>
                <w:szCs w:val="20"/>
              </w:rPr>
              <w:t>entered into force by Q3 2025.</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r>
      <w:tr w:rsidR="00BF6749">
        <w:trPr>
          <w:gridAfter w:val="1"/>
          <w:wAfter w:w="16" w:type="dxa"/>
          <w:trHeight w:val="12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13</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6 – Accessibility, development and quality of inclusive education– Reform 6:Compensatory measures to mitigate the impact of the pandemic in education for primary and secondary school pupils</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Target</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Number of pupils </w:t>
            </w:r>
            <w:r>
              <w:rPr>
                <w:rFonts w:ascii="Times New Roman" w:hAnsi="Times New Roman"/>
                <w:noProof/>
                <w:color w:val="006100"/>
                <w:sz w:val="20"/>
                <w:szCs w:val="20"/>
                <w:lang w:val="en-US"/>
              </w:rPr>
              <w:t>taking part in tuition programmes</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12000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12000 pupils taking part in tuition programmes. As a priority, the tuition scheme shall target those pupils who were not able to fully participate in education during the period of interrupted attendance education in schools in the 2019/2020 and 2020/2021 </w:t>
            </w:r>
            <w:r>
              <w:rPr>
                <w:rFonts w:ascii="Times New Roman" w:hAnsi="Times New Roman"/>
                <w:noProof/>
                <w:color w:val="006100"/>
                <w:sz w:val="20"/>
                <w:szCs w:val="20"/>
                <w:lang w:val="en-US"/>
              </w:rPr>
              <w:t>school years and are therefore directly at risk of school failure. Tuition shall take place in individual or group form (in small groups up to five pupils) in the afternoon. It shall focus in particular on subjects from so-called “main educational fields”.</w:t>
            </w:r>
            <w:r>
              <w:rPr>
                <w:rFonts w:ascii="Times New Roman" w:hAnsi="Times New Roman"/>
                <w:noProof/>
                <w:color w:val="006100"/>
                <w:sz w:val="20"/>
                <w:szCs w:val="20"/>
                <w:lang w:val="en-US"/>
              </w:rPr>
              <w:t xml:space="preserve"> </w:t>
            </w:r>
          </w:p>
        </w:tc>
      </w:tr>
      <w:tr w:rsidR="00BF6749">
        <w:trPr>
          <w:gridAfter w:val="1"/>
          <w:wAfter w:w="16" w:type="dxa"/>
          <w:trHeight w:val="111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14</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6 – Accessibility, development and quality of inclusive education– Investment 1:</w:t>
            </w:r>
            <w:r>
              <w:rPr>
                <w:rFonts w:ascii="Times New Roman" w:hAnsi="Times New Roman"/>
                <w:noProof/>
                <w:sz w:val="20"/>
                <w:szCs w:val="20"/>
              </w:rPr>
              <w:t xml:space="preserve"> </w:t>
            </w:r>
            <w:r>
              <w:rPr>
                <w:rFonts w:ascii="Times New Roman" w:hAnsi="Times New Roman"/>
                <w:noProof/>
                <w:color w:val="006100"/>
                <w:sz w:val="20"/>
                <w:szCs w:val="20"/>
                <w:lang w:val="en-US"/>
              </w:rPr>
              <w:t>Removing barriers  of school buildings</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Milestone</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Introduction of the definition of debarrierisation standard, creation of a debarrierisation manual and mapping of school</w:t>
            </w:r>
            <w:r>
              <w:rPr>
                <w:rFonts w:ascii="Times New Roman" w:hAnsi="Times New Roman"/>
                <w:noProof/>
                <w:color w:val="006100"/>
                <w:sz w:val="20"/>
                <w:szCs w:val="20"/>
                <w:lang w:val="en-US"/>
              </w:rPr>
              <w:t xml:space="preserve"> needs at all levels of education</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Approval by the Ministry of Education of debarrierisation standards, debarrierisation manual and publication of the results of the mapping of needs on the MoE website</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2022</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The manual defines debarrierisation standards to meet the real needs of children, pupils and students with health disadvantages and to respect the principles of universal design. It shall be based on a holistic approach that ensures full participation in s</w:t>
            </w:r>
            <w:r>
              <w:rPr>
                <w:rFonts w:ascii="Times New Roman" w:hAnsi="Times New Roman"/>
                <w:noProof/>
                <w:color w:val="006100"/>
                <w:sz w:val="20"/>
                <w:szCs w:val="20"/>
                <w:lang w:val="en-US"/>
              </w:rPr>
              <w:t>chool life (i.e. defining standards that create an inclusive space throughout the school and do not only focus on removing the biggest barriers e.g. in school entry).In addition to spatial standards (e.g. technical specification for construction works), th</w:t>
            </w:r>
            <w:r>
              <w:rPr>
                <w:rFonts w:ascii="Times New Roman" w:hAnsi="Times New Roman"/>
                <w:noProof/>
                <w:color w:val="006100"/>
                <w:sz w:val="20"/>
                <w:szCs w:val="20"/>
                <w:lang w:val="en-US"/>
              </w:rPr>
              <w:t xml:space="preserve">e manual also defines standards for the debarrierisation of school buildings (such as the cooperation of the school with experts and the community) </w:t>
            </w:r>
          </w:p>
          <w:p w:rsidR="00BF6749" w:rsidRDefault="00C87555">
            <w:pPr>
              <w:jc w:val="both"/>
              <w:rPr>
                <w:rFonts w:ascii="Times New Roman" w:hAnsi="Times New Roman"/>
                <w:noProof/>
                <w:sz w:val="20"/>
                <w:szCs w:val="20"/>
                <w:lang w:val="en-US"/>
              </w:rPr>
            </w:pPr>
            <w:r>
              <w:rPr>
                <w:rFonts w:ascii="Times New Roman" w:hAnsi="Times New Roman"/>
                <w:noProof/>
                <w:color w:val="006100"/>
                <w:sz w:val="20"/>
                <w:szCs w:val="20"/>
                <w:lang w:val="en-US"/>
              </w:rPr>
              <w:t xml:space="preserve"> The Ministry of Education together with Institute for Research on Inclusive Education in Brno shall prepar</w:t>
            </w:r>
            <w:r>
              <w:rPr>
                <w:rFonts w:ascii="Times New Roman" w:hAnsi="Times New Roman"/>
                <w:noProof/>
                <w:color w:val="006100"/>
                <w:sz w:val="20"/>
                <w:szCs w:val="20"/>
                <w:lang w:val="en-US"/>
              </w:rPr>
              <w:t xml:space="preserve">e an analysis of the state of play of debarrierisation in schools in relation to the established standards and, based on it, shall prioritise individual schools for debarrierisation.. </w:t>
            </w:r>
          </w:p>
        </w:tc>
      </w:tr>
      <w:tr w:rsidR="00BF6749">
        <w:trPr>
          <w:gridAfter w:val="1"/>
          <w:wAfter w:w="16" w:type="dxa"/>
          <w:trHeight w:val="900"/>
        </w:trPr>
        <w:tc>
          <w:tcPr>
            <w:tcW w:w="6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fr-BE"/>
              </w:rPr>
            </w:pPr>
            <w:r>
              <w:rPr>
                <w:rFonts w:ascii="Times New Roman" w:hAnsi="Times New Roman"/>
                <w:noProof/>
                <w:color w:val="006100"/>
                <w:sz w:val="20"/>
                <w:szCs w:val="20"/>
                <w:lang w:val="fr-BE"/>
              </w:rPr>
              <w:t>15</w:t>
            </w:r>
          </w:p>
        </w:tc>
        <w:tc>
          <w:tcPr>
            <w:tcW w:w="154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6 – Accessibility, development and quality of inclusive education– Investment 1:Removing barriers  of school buildings </w:t>
            </w:r>
          </w:p>
        </w:tc>
        <w:tc>
          <w:tcPr>
            <w:tcW w:w="117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Target</w:t>
            </w:r>
          </w:p>
        </w:tc>
        <w:tc>
          <w:tcPr>
            <w:tcW w:w="126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Elimination of  architectural barriers of larger secondary schools</w:t>
            </w:r>
          </w:p>
        </w:tc>
        <w:tc>
          <w:tcPr>
            <w:tcW w:w="86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Number</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lang w:val="en-US"/>
              </w:rPr>
            </w:pPr>
            <w:r>
              <w:rPr>
                <w:rFonts w:ascii="Times New Roman" w:hAnsi="Times New Roman"/>
                <w:noProof/>
                <w:color w:val="006100"/>
                <w:sz w:val="20"/>
                <w:szCs w:val="20"/>
                <w:lang w:val="en-US"/>
              </w:rPr>
              <w:t>252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lang w:val="en-US"/>
              </w:rPr>
            </w:pPr>
            <w:r>
              <w:rPr>
                <w:rFonts w:ascii="Times New Roman" w:hAnsi="Times New Roman"/>
                <w:noProof/>
                <w:color w:val="006100"/>
                <w:sz w:val="20"/>
                <w:szCs w:val="20"/>
                <w:lang w:val="en-US"/>
              </w:rPr>
              <w:t>2025</w:t>
            </w:r>
          </w:p>
        </w:tc>
        <w:tc>
          <w:tcPr>
            <w:tcW w:w="381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lang w:val="en-US"/>
              </w:rPr>
            </w:pPr>
            <w:r>
              <w:rPr>
                <w:rFonts w:ascii="Times New Roman" w:hAnsi="Times New Roman"/>
                <w:noProof/>
                <w:color w:val="006100"/>
                <w:sz w:val="20"/>
                <w:szCs w:val="20"/>
                <w:lang w:val="en-US"/>
              </w:rPr>
              <w:t xml:space="preserve">The quantitative indicator determines the number of debarred larger secondary schools. </w:t>
            </w:r>
          </w:p>
        </w:tc>
      </w:tr>
    </w:tbl>
    <w:p w:rsidR="00BF6749" w:rsidRDefault="00C87555">
      <w:pPr>
        <w:spacing w:before="120" w:after="120" w:line="240" w:lineRule="auto"/>
        <w:jc w:val="both"/>
        <w:rPr>
          <w:noProof/>
          <w:lang w:val="en-US"/>
        </w:rPr>
      </w:pPr>
      <w:r>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LINK Excel.Sheet.12 "\\\\NET1.cec.eu.int\\homes\\085\\garcpbl\\Desktop\\CID - Components.xlsx" "T1 Míľniky a ciele (6)!R3C1:R17C11" \a \f 4 \h  \* MERGEFORMAT </w:instrText>
      </w:r>
      <w:r>
        <w:rPr>
          <w:rFonts w:ascii="Times New Roman" w:hAnsi="Times New Roman"/>
          <w:noProof/>
          <w:sz w:val="24"/>
          <w:szCs w:val="24"/>
          <w:lang w:val="en-US"/>
        </w:rPr>
        <w:fldChar w:fldCharType="separate"/>
      </w:r>
    </w:p>
    <w:p w:rsidR="00BF6749" w:rsidRDefault="00C87555">
      <w:pPr>
        <w:spacing w:before="120" w:after="120" w:line="240" w:lineRule="auto"/>
        <w:jc w:val="both"/>
        <w:rPr>
          <w:rFonts w:ascii="Times New Roman" w:hAnsi="Times New Roman"/>
          <w:noProof/>
          <w:sz w:val="24"/>
          <w:lang w:val="en-US"/>
        </w:rPr>
        <w:sectPr w:rsidR="00BF6749">
          <w:headerReference w:type="even" r:id="rId84"/>
          <w:headerReference w:type="default" r:id="rId85"/>
          <w:footerReference w:type="even" r:id="rId86"/>
          <w:footerReference w:type="default" r:id="rId87"/>
          <w:headerReference w:type="first" r:id="rId88"/>
          <w:footerReference w:type="first" r:id="rId89"/>
          <w:pgSz w:w="16839" w:h="11907" w:orient="landscape"/>
          <w:pgMar w:top="284" w:right="1134" w:bottom="1418" w:left="1134" w:header="709" w:footer="709" w:gutter="0"/>
          <w:cols w:space="720"/>
          <w:docGrid w:linePitch="360"/>
        </w:sectPr>
      </w:pPr>
      <w:r>
        <w:rPr>
          <w:rFonts w:ascii="Times New Roman" w:hAnsi="Times New Roman"/>
          <w:noProof/>
          <w:sz w:val="24"/>
          <w:lang w:val="en-US"/>
        </w:rPr>
        <w:fldChar w:fldCharType="end"/>
      </w:r>
    </w:p>
    <w:p w:rsidR="00BF6749" w:rsidRDefault="00C87555">
      <w:pPr>
        <w:keepNext/>
        <w:spacing w:before="360" w:after="120" w:line="240" w:lineRule="auto"/>
        <w:ind w:firstLine="1"/>
        <w:jc w:val="both"/>
        <w:outlineLvl w:val="0"/>
        <w:rPr>
          <w:rFonts w:ascii="Times New Roman" w:hAnsi="Times New Roman"/>
          <w:b/>
          <w:smallCaps/>
          <w:noProof/>
          <w:sz w:val="24"/>
        </w:rPr>
      </w:pPr>
      <w:r>
        <w:rPr>
          <w:rFonts w:ascii="Times New Roman" w:hAnsi="Times New Roman"/>
          <w:b/>
          <w:smallCaps/>
          <w:noProof/>
          <w:sz w:val="24"/>
        </w:rPr>
        <w:t>COMPONENT 7: EDUCATION FOR THE 21.CENTURY</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This component of the Slovak recovery and resilience plan shall introduce curricular reform of primary and lower secondary schools creating new learning </w:t>
      </w:r>
      <w:r>
        <w:rPr>
          <w:rFonts w:ascii="Times New Roman" w:hAnsi="Times New Roman"/>
          <w:noProof/>
          <w:sz w:val="24"/>
        </w:rPr>
        <w:t>content organised in multi-annual cycles. The aim is to develop pupils’ critical thinking and soft skills as problem-solving, handling information, working in a team, narrative and asking questions, taking initiative and responsibility, creating and implem</w:t>
      </w:r>
      <w:r>
        <w:rPr>
          <w:rFonts w:ascii="Times New Roman" w:hAnsi="Times New Roman"/>
          <w:noProof/>
          <w:sz w:val="24"/>
        </w:rPr>
        <w:t>enting personal projects. This shall require the provision of textbooks necessary to renew the current stock and a change in teachers’ skills to apply these changes in everyday practice. At the same time, the component shall strengthen the quality of skill</w:t>
      </w:r>
      <w:r>
        <w:rPr>
          <w:rFonts w:ascii="Times New Roman" w:hAnsi="Times New Roman"/>
          <w:noProof/>
          <w:sz w:val="24"/>
        </w:rPr>
        <w:t>s of teaching and professional staff and motivate them for lifelong professional development. The focus shall also be on inclusive education and the acquisition of digital skills.</w:t>
      </w:r>
      <w:r>
        <w:rPr>
          <w:noProof/>
          <w:lang w:val="en-US"/>
        </w:rPr>
        <w:t xml:space="preserve">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component includes two reforms and two investments.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w:t>
      </w:r>
      <w:r>
        <w:rPr>
          <w:rFonts w:ascii="Times New Roman" w:hAnsi="Times New Roman"/>
          <w:noProof/>
          <w:sz w:val="24"/>
          <w:szCs w:val="24"/>
        </w:rPr>
        <w:t xml:space="preserve"> no measure in this component does significant harm to environmental objectives within the meaning of Article 17 of Regulation (EU) 2020/852, taking into account the description of the measures and the mitigating steps set out in the recovery and resilienc</w:t>
      </w:r>
      <w:r>
        <w:rPr>
          <w:rFonts w:ascii="Times New Roman" w:hAnsi="Times New Roman"/>
          <w:noProof/>
          <w:sz w:val="24"/>
          <w:szCs w:val="24"/>
        </w:rPr>
        <w:t xml:space="preserve">e plan in accordance with the DNSH Technical Guidance (2021/C58/01).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The Component shall contribute to addressing the Country Specific Recommendation addressed to Slovakia on the need to </w:t>
      </w:r>
      <w:r>
        <w:rPr>
          <w:rFonts w:ascii="Times New Roman" w:hAnsi="Times New Roman"/>
          <w:i/>
          <w:noProof/>
          <w:sz w:val="24"/>
        </w:rPr>
        <w:t>strengthen digital skills and ensure equal access to quality educat</w:t>
      </w:r>
      <w:r>
        <w:rPr>
          <w:rFonts w:ascii="Times New Roman" w:hAnsi="Times New Roman"/>
          <w:i/>
          <w:noProof/>
          <w:sz w:val="24"/>
        </w:rPr>
        <w:t>ion</w:t>
      </w:r>
      <w:r>
        <w:rPr>
          <w:rFonts w:ascii="Times New Roman" w:hAnsi="Times New Roman"/>
          <w:noProof/>
          <w:sz w:val="24"/>
        </w:rPr>
        <w:t xml:space="preserve">. (Country Specific Recommendation 2/2020). </w:t>
      </w:r>
      <w:r>
        <w:rPr>
          <w:rFonts w:ascii="Times New Roman" w:hAnsi="Times New Roman"/>
          <w:i/>
          <w:iCs/>
          <w:noProof/>
          <w:sz w:val="24"/>
          <w:lang w:val="en-US"/>
        </w:rPr>
        <w:t xml:space="preserve">Improve the quality and inclusiveness of education at all levels and foster skills </w:t>
      </w:r>
      <w:r>
        <w:rPr>
          <w:rFonts w:ascii="Times New Roman" w:hAnsi="Times New Roman"/>
          <w:noProof/>
          <w:sz w:val="24"/>
        </w:rPr>
        <w:t>(Country Specific Recommendation 2/2019).</w:t>
      </w:r>
    </w:p>
    <w:p w:rsidR="00BF6749" w:rsidRDefault="00BF6749">
      <w:pPr>
        <w:spacing w:before="120" w:after="120" w:line="240" w:lineRule="auto"/>
        <w:jc w:val="both"/>
        <w:rPr>
          <w:rFonts w:ascii="Times New Roman" w:hAnsi="Times New Roman"/>
          <w:noProof/>
          <w:sz w:val="24"/>
          <w:lang w:val="en-US"/>
        </w:rPr>
      </w:pPr>
    </w:p>
    <w:p w:rsidR="00BF6749" w:rsidRDefault="00C87555">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Description of the reforms and investments for non-repayable financial suppor</w:t>
      </w:r>
      <w:r>
        <w:rPr>
          <w:rFonts w:ascii="Times New Roman" w:hAnsi="Times New Roman"/>
          <w:b/>
          <w:noProof/>
          <w:sz w:val="24"/>
          <w:u w:val="single"/>
        </w:rPr>
        <w:t>t</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b/>
          <w:iCs/>
          <w:noProof/>
          <w:sz w:val="24"/>
          <w:lang w:val="en"/>
        </w:rPr>
        <w:t xml:space="preserve">Reform 1: Reform of the content and form of education (curricular and textbook reform). </w:t>
      </w:r>
      <w:r>
        <w:rPr>
          <w:rFonts w:ascii="Times New Roman" w:hAnsi="Times New Roman"/>
          <w:iCs/>
          <w:noProof/>
          <w:sz w:val="24"/>
          <w:lang w:val="en"/>
        </w:rPr>
        <w:t>The objective of the reform</w:t>
      </w:r>
      <w:r>
        <w:rPr>
          <w:rFonts w:ascii="Times New Roman" w:hAnsi="Times New Roman"/>
          <w:b/>
          <w:iCs/>
          <w:noProof/>
          <w:sz w:val="24"/>
          <w:lang w:val="en"/>
        </w:rPr>
        <w:t xml:space="preserve"> </w:t>
      </w:r>
      <w:r>
        <w:rPr>
          <w:rFonts w:ascii="Times New Roman" w:hAnsi="Times New Roman"/>
          <w:noProof/>
          <w:sz w:val="24"/>
          <w:lang w:val="en"/>
        </w:rPr>
        <w:t>is to create new learning curricula.  Instead of delivering ready-made information, teachers shall create situations in which pupils may interpret the information in confrontation with real life. The reform commence by introduction of the curricula in prim</w:t>
      </w:r>
      <w:r>
        <w:rPr>
          <w:rFonts w:ascii="Times New Roman" w:hAnsi="Times New Roman"/>
          <w:noProof/>
          <w:sz w:val="24"/>
          <w:lang w:val="en"/>
        </w:rPr>
        <w:t xml:space="preserve">ary and lower-secondary level of education (on voluntary basis) as of the school year 2023 and end by obligation to adopt the new curriculum in all primary schools in 2026.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The implementation of the reform shall be supported by creation of the 40 regional</w:t>
      </w:r>
      <w:r>
        <w:rPr>
          <w:rFonts w:ascii="Times New Roman" w:hAnsi="Times New Roman"/>
          <w:noProof/>
          <w:sz w:val="24"/>
          <w:lang w:val="en"/>
        </w:rPr>
        <w:t xml:space="preserve"> centers that bring support for schools in mentoring, counselling and consultation activities. The centers may comprise of teachers, school directors, professionals of adult education, third sector experts and experts from faculties preparing teachers in t</w:t>
      </w:r>
      <w:r>
        <w:rPr>
          <w:rFonts w:ascii="Times New Roman" w:hAnsi="Times New Roman"/>
          <w:noProof/>
          <w:sz w:val="24"/>
          <w:lang w:val="en"/>
        </w:rPr>
        <w:t>he region.</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The reform requires the provision of new textbooks.</w:t>
      </w:r>
      <w:r>
        <w:rPr>
          <w:noProof/>
          <w:lang w:val="en-US"/>
        </w:rPr>
        <w:t xml:space="preserve"> </w:t>
      </w:r>
      <w:r>
        <w:rPr>
          <w:rFonts w:ascii="Times New Roman" w:hAnsi="Times New Roman"/>
          <w:noProof/>
          <w:sz w:val="24"/>
          <w:lang w:val="en"/>
        </w:rPr>
        <w:t>The preparation of textbooks shall be supported through the work of the experts. The approval of textbooks, based on professional and educational quality, shall be ensured by a uniform clause g</w:t>
      </w:r>
      <w:r>
        <w:rPr>
          <w:rFonts w:ascii="Times New Roman" w:hAnsi="Times New Roman"/>
          <w:noProof/>
          <w:sz w:val="24"/>
          <w:lang w:val="en"/>
        </w:rPr>
        <w:t>ranted by the Ministry of Education. Strict and transparent peer review criteria shall be put in place. Schools shall receive an allowance to buy textbooks according to their preferences and requirements from the list of textbooks approved by the Ministry.</w:t>
      </w:r>
      <w:r>
        <w:rPr>
          <w:rFonts w:ascii="Times New Roman" w:hAnsi="Times New Roman"/>
          <w:noProof/>
          <w:sz w:val="24"/>
          <w:lang w:val="en"/>
        </w:rPr>
        <w:t xml:space="preserve">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The reform shall envisage the creation of an e-Test 2.0 e-testing platform that shall make the digitalization of the education process more efficient and thus enable the central testing of pupils. The measurable effect of this reform may be the final exa</w:t>
      </w:r>
      <w:r>
        <w:rPr>
          <w:rFonts w:ascii="Times New Roman" w:hAnsi="Times New Roman"/>
          <w:noProof/>
          <w:sz w:val="24"/>
          <w:lang w:val="en"/>
        </w:rPr>
        <w:t xml:space="preserve">mination of the upper secondary school carried out on-line in every school by 31 December 2025. </w:t>
      </w:r>
    </w:p>
    <w:p w:rsidR="00BF6749" w:rsidRDefault="00C87555">
      <w:pPr>
        <w:pBdr>
          <w:top w:val="nil"/>
          <w:left w:val="nil"/>
          <w:bottom w:val="nil"/>
          <w:right w:val="nil"/>
          <w:between w:val="nil"/>
        </w:pBdr>
        <w:tabs>
          <w:tab w:val="left" w:pos="993"/>
        </w:tabs>
        <w:spacing w:before="120" w:after="0" w:line="240" w:lineRule="auto"/>
        <w:jc w:val="both"/>
        <w:rPr>
          <w:rFonts w:ascii="Times New Roman" w:hAnsi="Times New Roman"/>
          <w:noProof/>
          <w:sz w:val="24"/>
        </w:rPr>
      </w:pPr>
      <w:r>
        <w:rPr>
          <w:rFonts w:ascii="Times New Roman" w:hAnsi="Times New Roman"/>
          <w:noProof/>
          <w:sz w:val="24"/>
        </w:rPr>
        <w:t>The last milestone of this reform shall be completed by 31 December 2025.</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b/>
          <w:iCs/>
          <w:noProof/>
          <w:sz w:val="24"/>
          <w:lang w:val="en"/>
        </w:rPr>
        <w:t>Reform 2: Preparing and developing teachers for new content and forms of teaching (ch</w:t>
      </w:r>
      <w:r>
        <w:rPr>
          <w:rFonts w:ascii="Times New Roman" w:hAnsi="Times New Roman"/>
          <w:b/>
          <w:iCs/>
          <w:noProof/>
          <w:sz w:val="24"/>
          <w:lang w:val="en"/>
        </w:rPr>
        <w:t xml:space="preserve">ange in higher education training) and strengthening the professional development of teachers). </w:t>
      </w:r>
      <w:r>
        <w:rPr>
          <w:rFonts w:ascii="Times New Roman" w:hAnsi="Times New Roman"/>
          <w:noProof/>
          <w:sz w:val="24"/>
          <w:lang w:val="en"/>
        </w:rPr>
        <w:t xml:space="preserve">The objective of this reform is to strengthen the quality of skills of teaching and professional staff and motivate them for lifelong professional development. </w:t>
      </w:r>
      <w:r>
        <w:rPr>
          <w:rFonts w:ascii="Times New Roman" w:hAnsi="Times New Roman"/>
          <w:noProof/>
          <w:sz w:val="24"/>
          <w:lang w:val="en"/>
        </w:rPr>
        <w:t>A financial allowance shall be introduced to upgrade the teacher’s skills. The focus shall be made on the new curricula, inclusive education and the acquisition of digital skills. By the end of 2023 at least 60% of teachers of the primary and lower seconda</w:t>
      </w:r>
      <w:r>
        <w:rPr>
          <w:rFonts w:ascii="Times New Roman" w:hAnsi="Times New Roman"/>
          <w:noProof/>
          <w:sz w:val="24"/>
          <w:lang w:val="en"/>
        </w:rPr>
        <w:t xml:space="preserve">ry education shall be trained. The respective legislative amendments shall regulate the competences and the range of teaching providers.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completed by 31 December 2025.</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b/>
          <w:noProof/>
          <w:sz w:val="24"/>
          <w:lang w:val="en-US"/>
        </w:rPr>
        <w:t>Investment 1: Digital infrastructure in schoo</w:t>
      </w:r>
      <w:r>
        <w:rPr>
          <w:rFonts w:ascii="Times New Roman" w:hAnsi="Times New Roman"/>
          <w:b/>
          <w:noProof/>
          <w:sz w:val="24"/>
          <w:lang w:val="en-US"/>
        </w:rPr>
        <w:t xml:space="preserve">ls. </w:t>
      </w:r>
      <w:r>
        <w:rPr>
          <w:rFonts w:ascii="Times New Roman" w:hAnsi="Times New Roman"/>
          <w:noProof/>
          <w:sz w:val="24"/>
          <w:lang w:val="en-US"/>
        </w:rPr>
        <w:t>The objective of this investment is to increase in the number percentage of schools with full digital entry from 30% to at least 90% (according to defined ICT standards built on the “highly equipped and connected classroom” (HECC)). To ensure transpare</w:t>
      </w:r>
      <w:r>
        <w:rPr>
          <w:rFonts w:ascii="Times New Roman" w:hAnsi="Times New Roman"/>
          <w:noProof/>
          <w:sz w:val="24"/>
          <w:lang w:val="en-US"/>
        </w:rPr>
        <w:t>ncy and value for money when purchasing digital equipment for schools, procurement shall be centrally coordinated.</w:t>
      </w:r>
      <w:r>
        <w:rPr>
          <w:noProof/>
          <w:lang w:val="en-US"/>
        </w:rPr>
        <w:t xml:space="preserve"> </w:t>
      </w:r>
      <w:r>
        <w:rPr>
          <w:rFonts w:ascii="Times New Roman" w:hAnsi="Times New Roman"/>
          <w:noProof/>
          <w:sz w:val="24"/>
          <w:lang w:val="en-US"/>
        </w:rPr>
        <w:t>The investment envisages maximising the life cycle of digital equipment in order to reduce negative environmental impacts. Investment is divi</w:t>
      </w:r>
      <w:r>
        <w:rPr>
          <w:rFonts w:ascii="Times New Roman" w:hAnsi="Times New Roman"/>
          <w:noProof/>
          <w:sz w:val="24"/>
          <w:lang w:val="en-US"/>
        </w:rPr>
        <w:t xml:space="preserve">ded into the main areas: </w:t>
      </w:r>
    </w:p>
    <w:p w:rsidR="00BF6749" w:rsidRDefault="00C87555">
      <w:pPr>
        <w:numPr>
          <w:ilvl w:val="0"/>
          <w:numId w:val="26"/>
        </w:numPr>
        <w:spacing w:before="120" w:after="120" w:line="240" w:lineRule="auto"/>
        <w:contextualSpacing/>
        <w:jc w:val="both"/>
        <w:rPr>
          <w:rFonts w:ascii="Times New Roman" w:hAnsi="Times New Roman"/>
          <w:noProof/>
          <w:sz w:val="24"/>
          <w:lang w:val="en-US"/>
        </w:rPr>
      </w:pPr>
      <w:r>
        <w:rPr>
          <w:rFonts w:ascii="Times New Roman" w:hAnsi="Times New Roman"/>
          <w:noProof/>
          <w:sz w:val="24"/>
          <w:lang w:val="en-US"/>
        </w:rPr>
        <w:t>inclusion: the investment shall cover the software or hardware of the</w:t>
      </w:r>
      <w:r>
        <w:rPr>
          <w:noProof/>
          <w:lang w:val="en-US"/>
        </w:rPr>
        <w:t xml:space="preserve"> </w:t>
      </w:r>
      <w:r>
        <w:rPr>
          <w:rFonts w:ascii="Times New Roman" w:hAnsi="Times New Roman"/>
          <w:noProof/>
          <w:sz w:val="24"/>
          <w:lang w:val="en-US"/>
        </w:rPr>
        <w:t xml:space="preserve">compensatory aids for disadvantaged pupils. </w:t>
      </w:r>
    </w:p>
    <w:p w:rsidR="00BF6749" w:rsidRDefault="00C87555">
      <w:pPr>
        <w:numPr>
          <w:ilvl w:val="0"/>
          <w:numId w:val="26"/>
        </w:numPr>
        <w:spacing w:before="120" w:after="120" w:line="240" w:lineRule="auto"/>
        <w:contextualSpacing/>
        <w:jc w:val="both"/>
        <w:rPr>
          <w:rFonts w:ascii="Times New Roman" w:hAnsi="Times New Roman"/>
          <w:noProof/>
          <w:sz w:val="24"/>
          <w:lang w:val="en-US"/>
        </w:rPr>
      </w:pPr>
      <w:r>
        <w:rPr>
          <w:rFonts w:ascii="Times New Roman" w:hAnsi="Times New Roman"/>
          <w:noProof/>
          <w:sz w:val="24"/>
          <w:lang w:val="en-US"/>
        </w:rPr>
        <w:t>skills for the digital transformation: The investment shall cover one IT classroom in proportion to 300 students.</w:t>
      </w:r>
    </w:p>
    <w:p w:rsidR="00BF6749" w:rsidRDefault="00BF6749">
      <w:pPr>
        <w:spacing w:before="120" w:after="120" w:line="240" w:lineRule="auto"/>
        <w:ind w:left="720"/>
        <w:contextualSpacing/>
        <w:jc w:val="both"/>
        <w:rPr>
          <w:rFonts w:ascii="Times New Roman" w:hAnsi="Times New Roman"/>
          <w:noProof/>
          <w:sz w:val="24"/>
          <w:lang w:val="en-US"/>
        </w:rPr>
      </w:pP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December 2024.</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b/>
          <w:noProof/>
          <w:sz w:val="24"/>
          <w:lang w:val="en-US"/>
        </w:rPr>
        <w:t xml:space="preserve">Investment 2: Completion of the school infrastructure. </w:t>
      </w:r>
      <w:r>
        <w:rPr>
          <w:rFonts w:ascii="Times New Roman" w:hAnsi="Times New Roman"/>
          <w:noProof/>
          <w:sz w:val="24"/>
          <w:lang w:val="en-US"/>
        </w:rPr>
        <w:t>The first part of the investment aims to eliminate all the two-shift schools in Slovakia that may contribute to better integ</w:t>
      </w:r>
      <w:r>
        <w:rPr>
          <w:rFonts w:ascii="Times New Roman" w:hAnsi="Times New Roman"/>
          <w:noProof/>
          <w:sz w:val="24"/>
          <w:lang w:val="en-US"/>
        </w:rPr>
        <w:t xml:space="preserve">ration for pupils from disadvantage backgrounds. The investments may take the form of expanding existing capacities, renovating and building new premise in 49 schools that currently pursue the two-shifts classes. Renovation of building shall be subject to </w:t>
      </w:r>
      <w:r>
        <w:rPr>
          <w:rFonts w:ascii="Times New Roman" w:hAnsi="Times New Roman"/>
          <w:noProof/>
          <w:sz w:val="24"/>
          <w:lang w:val="en-US"/>
        </w:rPr>
        <w:t xml:space="preserve">achieving on average at least 30% of primary energy savings.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second part of investment targets schools with enrolment of children from socially disadvantaged backgrounds where it shall establish the new libraries or renovate the existing ones and turn</w:t>
      </w:r>
      <w:r>
        <w:rPr>
          <w:rFonts w:ascii="Times New Roman" w:hAnsi="Times New Roman"/>
          <w:noProof/>
          <w:sz w:val="24"/>
          <w:lang w:val="en-US"/>
        </w:rPr>
        <w:t xml:space="preserve"> them into modern education centers in schools. School libraries shall provide a space for teaching subjects, research and group work, writing homework, carrying out projects or spending leisure time.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w:t>
      </w:r>
      <w:r>
        <w:rPr>
          <w:rFonts w:ascii="Times New Roman" w:hAnsi="Times New Roman"/>
          <w:noProof/>
          <w:sz w:val="24"/>
          <w:lang w:val="en-US"/>
        </w:rPr>
        <w:t>d by 30 June 2026.</w:t>
      </w:r>
    </w:p>
    <w:p w:rsidR="00BF6749" w:rsidRDefault="00BF6749">
      <w:pPr>
        <w:spacing w:before="120" w:after="120" w:line="240" w:lineRule="auto"/>
        <w:jc w:val="both"/>
        <w:rPr>
          <w:rFonts w:ascii="Times New Roman" w:hAnsi="Times New Roman"/>
          <w:b/>
          <w:noProof/>
          <w:sz w:val="24"/>
          <w:u w:val="single"/>
          <w:lang w:val="en-US"/>
        </w:rPr>
      </w:pPr>
    </w:p>
    <w:p w:rsidR="00BF6749" w:rsidRDefault="00BF6749">
      <w:pPr>
        <w:spacing w:before="120" w:after="120" w:line="240" w:lineRule="auto"/>
        <w:jc w:val="both"/>
        <w:rPr>
          <w:rFonts w:ascii="Times New Roman" w:hAnsi="Times New Roman"/>
          <w:b/>
          <w:noProof/>
          <w:sz w:val="24"/>
          <w:u w:val="single"/>
        </w:rPr>
        <w:sectPr w:rsidR="00BF6749">
          <w:headerReference w:type="even" r:id="rId90"/>
          <w:headerReference w:type="default" r:id="rId91"/>
          <w:footerReference w:type="even" r:id="rId92"/>
          <w:footerReference w:type="default" r:id="rId93"/>
          <w:headerReference w:type="first" r:id="rId94"/>
          <w:footerReference w:type="first" r:id="rId95"/>
          <w:pgSz w:w="11907" w:h="16839"/>
          <w:pgMar w:top="1134" w:right="1418" w:bottom="1134" w:left="1418" w:header="709" w:footer="709" w:gutter="0"/>
          <w:cols w:space="720"/>
          <w:docGrid w:linePitch="360"/>
        </w:sectPr>
      </w:pPr>
    </w:p>
    <w:p w:rsidR="00BF6749" w:rsidRDefault="00C87555">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Milestones, targets, indicators, and timetable for monitoring and implementation for non-repayable financial support</w:t>
      </w:r>
    </w:p>
    <w:p w:rsidR="00BF6749" w:rsidRDefault="00BF6749">
      <w:pPr>
        <w:spacing w:before="120" w:after="120" w:line="240" w:lineRule="auto"/>
        <w:jc w:val="both"/>
        <w:rPr>
          <w:rFonts w:ascii="Times New Roman" w:hAnsi="Times New Roman"/>
          <w:b/>
          <w:noProof/>
          <w:sz w:val="24"/>
          <w:u w:val="single"/>
        </w:rPr>
      </w:pPr>
    </w:p>
    <w:tbl>
      <w:tblPr>
        <w:tblW w:w="16019" w:type="dxa"/>
        <w:tblInd w:w="-562" w:type="dxa"/>
        <w:tblLayout w:type="fixed"/>
        <w:tblCellMar>
          <w:left w:w="0" w:type="dxa"/>
          <w:right w:w="0" w:type="dxa"/>
        </w:tblCellMar>
        <w:tblLook w:val="04A0" w:firstRow="1" w:lastRow="0" w:firstColumn="1" w:lastColumn="0" w:noHBand="0" w:noVBand="1"/>
      </w:tblPr>
      <w:tblGrid>
        <w:gridCol w:w="993"/>
        <w:gridCol w:w="1446"/>
        <w:gridCol w:w="1247"/>
        <w:gridCol w:w="2268"/>
        <w:gridCol w:w="1701"/>
        <w:gridCol w:w="709"/>
        <w:gridCol w:w="850"/>
        <w:gridCol w:w="567"/>
        <w:gridCol w:w="992"/>
        <w:gridCol w:w="852"/>
        <w:gridCol w:w="4394"/>
      </w:tblGrid>
      <w:tr w:rsidR="00BF6749">
        <w:trPr>
          <w:trHeight w:val="693"/>
        </w:trPr>
        <w:tc>
          <w:tcPr>
            <w:tcW w:w="993" w:type="dxa"/>
            <w:vMerge w:val="restart"/>
            <w:tcBorders>
              <w:top w:val="single" w:sz="4" w:space="0" w:color="auto"/>
              <w:left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hAnsi="Times New Roman"/>
                <w:b/>
                <w:noProof/>
                <w:sz w:val="20"/>
                <w:szCs w:val="20"/>
              </w:rPr>
            </w:pPr>
            <w:r>
              <w:rPr>
                <w:rFonts w:ascii="Times New Roman" w:hAnsi="Times New Roman"/>
                <w:b/>
                <w:bCs/>
                <w:noProof/>
                <w:sz w:val="20"/>
                <w:szCs w:val="20"/>
              </w:rPr>
              <w:t>Seq. Num.</w:t>
            </w:r>
          </w:p>
          <w:p w:rsidR="00BF6749" w:rsidRDefault="00C87555">
            <w:pPr>
              <w:spacing w:before="120" w:after="120" w:line="240" w:lineRule="auto"/>
              <w:jc w:val="center"/>
              <w:rPr>
                <w:rFonts w:ascii="Times New Roman" w:hAnsi="Times New Roman"/>
                <w:b/>
                <w:noProof/>
                <w:sz w:val="20"/>
                <w:szCs w:val="20"/>
              </w:rPr>
            </w:pPr>
            <w:r>
              <w:rPr>
                <w:rFonts w:ascii="Times New Roman" w:hAnsi="Times New Roman"/>
                <w:b/>
                <w:bCs/>
                <w:noProof/>
                <w:sz w:val="20"/>
                <w:szCs w:val="20"/>
              </w:rPr>
              <w:t> </w:t>
            </w:r>
          </w:p>
        </w:tc>
        <w:tc>
          <w:tcPr>
            <w:tcW w:w="1446" w:type="dxa"/>
            <w:vMerge w:val="restart"/>
            <w:tcBorders>
              <w:top w:val="single" w:sz="4" w:space="0" w:color="auto"/>
              <w:left w:val="nil"/>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Related measure (Reform or Investment)</w:t>
            </w:r>
          </w:p>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1247" w:type="dxa"/>
            <w:vMerge w:val="restart"/>
            <w:tcBorders>
              <w:top w:val="single" w:sz="4" w:space="0" w:color="auto"/>
              <w:left w:val="nil"/>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Milestone / Target</w:t>
            </w:r>
          </w:p>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2268" w:type="dxa"/>
            <w:vMerge w:val="restart"/>
            <w:tcBorders>
              <w:top w:val="single" w:sz="4" w:space="0" w:color="auto"/>
              <w:left w:val="nil"/>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Name</w:t>
            </w:r>
          </w:p>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1701" w:type="dxa"/>
            <w:vMerge w:val="restart"/>
            <w:tcBorders>
              <w:top w:val="single" w:sz="4" w:space="0" w:color="auto"/>
              <w:left w:val="nil"/>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Qualitative indicators  (for milestones)</w:t>
            </w:r>
          </w:p>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w:t>
            </w:r>
          </w:p>
        </w:tc>
        <w:tc>
          <w:tcPr>
            <w:tcW w:w="2126" w:type="dxa"/>
            <w:gridSpan w:val="3"/>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Quantitative indicators  (for targets)</w:t>
            </w:r>
          </w:p>
        </w:tc>
        <w:tc>
          <w:tcPr>
            <w:tcW w:w="1844" w:type="dxa"/>
            <w:gridSpan w:val="2"/>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 xml:space="preserve">Indicative timeline for completion </w:t>
            </w:r>
          </w:p>
        </w:tc>
        <w:tc>
          <w:tcPr>
            <w:tcW w:w="4394" w:type="dxa"/>
            <w:vMerge w:val="restart"/>
            <w:tcBorders>
              <w:top w:val="single" w:sz="4" w:space="0" w:color="auto"/>
              <w:left w:val="nil"/>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Description and clear definition of each milestone and target</w:t>
            </w:r>
          </w:p>
          <w:p w:rsidR="00BF6749" w:rsidRDefault="00C87555">
            <w:pPr>
              <w:spacing w:before="120" w:after="120" w:line="240" w:lineRule="auto"/>
              <w:rPr>
                <w:rFonts w:ascii="Times New Roman" w:hAnsi="Times New Roman"/>
                <w:b/>
                <w:bCs/>
                <w:noProof/>
                <w:sz w:val="20"/>
                <w:szCs w:val="20"/>
              </w:rPr>
            </w:pPr>
            <w:r>
              <w:rPr>
                <w:rFonts w:ascii="Times New Roman" w:hAnsi="Times New Roman"/>
                <w:noProof/>
                <w:sz w:val="20"/>
                <w:szCs w:val="20"/>
              </w:rPr>
              <w:t> </w:t>
            </w:r>
          </w:p>
        </w:tc>
      </w:tr>
      <w:tr w:rsidR="00BF6749">
        <w:trPr>
          <w:trHeight w:val="420"/>
        </w:trPr>
        <w:tc>
          <w:tcPr>
            <w:tcW w:w="993" w:type="dxa"/>
            <w:vMerge/>
            <w:tcBorders>
              <w:left w:val="single" w:sz="4" w:space="0" w:color="auto"/>
              <w:bottom w:val="single" w:sz="4" w:space="0" w:color="auto"/>
              <w:right w:val="single" w:sz="4" w:space="0" w:color="auto"/>
            </w:tcBorders>
            <w:shd w:val="clear" w:color="auto" w:fill="BDD7EE"/>
            <w:vAlign w:val="center"/>
            <w:hideMark/>
          </w:tcPr>
          <w:p w:rsidR="00BF6749" w:rsidRDefault="00BF6749">
            <w:pPr>
              <w:spacing w:before="120" w:after="120" w:line="240" w:lineRule="auto"/>
              <w:jc w:val="center"/>
              <w:rPr>
                <w:rFonts w:ascii="Times New Roman" w:hAnsi="Times New Roman"/>
                <w:b/>
                <w:bCs/>
                <w:noProof/>
                <w:sz w:val="20"/>
                <w:szCs w:val="20"/>
              </w:rPr>
            </w:pPr>
          </w:p>
        </w:tc>
        <w:tc>
          <w:tcPr>
            <w:tcW w:w="1446" w:type="dxa"/>
            <w:vMerge/>
            <w:tcBorders>
              <w:left w:val="nil"/>
              <w:bottom w:val="single" w:sz="4" w:space="0" w:color="auto"/>
              <w:right w:val="single" w:sz="4" w:space="0" w:color="auto"/>
            </w:tcBorders>
            <w:shd w:val="clear" w:color="auto" w:fill="BDD7EE"/>
            <w:vAlign w:val="center"/>
            <w:hideMark/>
          </w:tcPr>
          <w:p w:rsidR="00BF6749" w:rsidRDefault="00BF6749">
            <w:pPr>
              <w:spacing w:before="120" w:after="120" w:line="240" w:lineRule="auto"/>
              <w:jc w:val="center"/>
              <w:rPr>
                <w:rFonts w:ascii="Times New Roman" w:hAnsi="Times New Roman"/>
                <w:b/>
                <w:bCs/>
                <w:noProof/>
                <w:sz w:val="20"/>
                <w:szCs w:val="20"/>
              </w:rPr>
            </w:pPr>
          </w:p>
        </w:tc>
        <w:tc>
          <w:tcPr>
            <w:tcW w:w="1247" w:type="dxa"/>
            <w:vMerge/>
            <w:tcBorders>
              <w:left w:val="nil"/>
              <w:bottom w:val="single" w:sz="4" w:space="0" w:color="auto"/>
              <w:right w:val="single" w:sz="4" w:space="0" w:color="auto"/>
            </w:tcBorders>
            <w:shd w:val="clear" w:color="auto" w:fill="BDD7EE"/>
            <w:vAlign w:val="center"/>
            <w:hideMark/>
          </w:tcPr>
          <w:p w:rsidR="00BF6749" w:rsidRDefault="00BF6749">
            <w:pPr>
              <w:spacing w:before="120" w:after="120" w:line="240" w:lineRule="auto"/>
              <w:jc w:val="center"/>
              <w:rPr>
                <w:rFonts w:ascii="Times New Roman" w:hAnsi="Times New Roman"/>
                <w:b/>
                <w:bCs/>
                <w:noProof/>
                <w:sz w:val="20"/>
                <w:szCs w:val="20"/>
              </w:rPr>
            </w:pPr>
          </w:p>
        </w:tc>
        <w:tc>
          <w:tcPr>
            <w:tcW w:w="2268" w:type="dxa"/>
            <w:vMerge/>
            <w:tcBorders>
              <w:left w:val="nil"/>
              <w:bottom w:val="single" w:sz="4" w:space="0" w:color="auto"/>
              <w:right w:val="single" w:sz="4" w:space="0" w:color="auto"/>
            </w:tcBorders>
            <w:shd w:val="clear" w:color="auto" w:fill="BDD7EE"/>
            <w:vAlign w:val="center"/>
            <w:hideMark/>
          </w:tcPr>
          <w:p w:rsidR="00BF6749" w:rsidRDefault="00BF6749">
            <w:pPr>
              <w:spacing w:before="120" w:after="120" w:line="240" w:lineRule="auto"/>
              <w:jc w:val="center"/>
              <w:rPr>
                <w:rFonts w:ascii="Times New Roman" w:hAnsi="Times New Roman"/>
                <w:b/>
                <w:bCs/>
                <w:noProof/>
                <w:sz w:val="20"/>
                <w:szCs w:val="20"/>
              </w:rPr>
            </w:pPr>
          </w:p>
        </w:tc>
        <w:tc>
          <w:tcPr>
            <w:tcW w:w="1701" w:type="dxa"/>
            <w:vMerge/>
            <w:tcBorders>
              <w:left w:val="nil"/>
              <w:bottom w:val="single" w:sz="4" w:space="0" w:color="auto"/>
              <w:right w:val="single" w:sz="4" w:space="0" w:color="auto"/>
            </w:tcBorders>
            <w:shd w:val="clear" w:color="auto" w:fill="BDD7EE"/>
            <w:vAlign w:val="center"/>
            <w:hideMark/>
          </w:tcPr>
          <w:p w:rsidR="00BF6749" w:rsidRDefault="00BF6749">
            <w:pPr>
              <w:spacing w:before="120" w:after="120" w:line="240" w:lineRule="auto"/>
              <w:jc w:val="center"/>
              <w:rPr>
                <w:rFonts w:ascii="Times New Roman" w:hAnsi="Times New Roman"/>
                <w:b/>
                <w:bCs/>
                <w:noProof/>
                <w:sz w:val="20"/>
                <w:szCs w:val="20"/>
              </w:rPr>
            </w:pPr>
          </w:p>
        </w:tc>
        <w:tc>
          <w:tcPr>
            <w:tcW w:w="709" w:type="dxa"/>
            <w:tcBorders>
              <w:top w:val="nil"/>
              <w:left w:val="nil"/>
              <w:bottom w:val="single" w:sz="4" w:space="0" w:color="auto"/>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unit of measure</w:t>
            </w:r>
          </w:p>
        </w:tc>
        <w:tc>
          <w:tcPr>
            <w:tcW w:w="850" w:type="dxa"/>
            <w:tcBorders>
              <w:top w:val="nil"/>
              <w:left w:val="nil"/>
              <w:bottom w:val="single" w:sz="4" w:space="0" w:color="auto"/>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Baseline</w:t>
            </w:r>
          </w:p>
        </w:tc>
        <w:tc>
          <w:tcPr>
            <w:tcW w:w="567" w:type="dxa"/>
            <w:tcBorders>
              <w:top w:val="nil"/>
              <w:left w:val="nil"/>
              <w:bottom w:val="single" w:sz="4" w:space="0" w:color="auto"/>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Goal</w:t>
            </w:r>
          </w:p>
        </w:tc>
        <w:tc>
          <w:tcPr>
            <w:tcW w:w="992" w:type="dxa"/>
            <w:tcBorders>
              <w:top w:val="nil"/>
              <w:left w:val="nil"/>
              <w:bottom w:val="single" w:sz="4" w:space="0" w:color="auto"/>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Quarter</w:t>
            </w:r>
          </w:p>
        </w:tc>
        <w:tc>
          <w:tcPr>
            <w:tcW w:w="852" w:type="dxa"/>
            <w:tcBorders>
              <w:top w:val="nil"/>
              <w:left w:val="nil"/>
              <w:bottom w:val="single" w:sz="4" w:space="0" w:color="auto"/>
              <w:right w:val="single" w:sz="4" w:space="0" w:color="auto"/>
            </w:tcBorders>
            <w:shd w:val="clear" w:color="auto" w:fill="BDD7EE"/>
            <w:vAlign w:val="center"/>
            <w:hideMark/>
          </w:tcPr>
          <w:p w:rsidR="00BF6749" w:rsidRDefault="00C87555">
            <w:pPr>
              <w:spacing w:before="120" w:after="120" w:line="240" w:lineRule="auto"/>
              <w:jc w:val="center"/>
              <w:rPr>
                <w:rFonts w:ascii="Times New Roman" w:hAnsi="Times New Roman"/>
                <w:b/>
                <w:bCs/>
                <w:noProof/>
                <w:sz w:val="20"/>
                <w:szCs w:val="20"/>
              </w:rPr>
            </w:pPr>
            <w:r>
              <w:rPr>
                <w:rFonts w:ascii="Times New Roman" w:hAnsi="Times New Roman"/>
                <w:b/>
                <w:bCs/>
                <w:noProof/>
                <w:sz w:val="20"/>
                <w:szCs w:val="20"/>
              </w:rPr>
              <w:t>Year</w:t>
            </w:r>
          </w:p>
        </w:tc>
        <w:tc>
          <w:tcPr>
            <w:tcW w:w="4394" w:type="dxa"/>
            <w:vMerge/>
            <w:tcBorders>
              <w:left w:val="nil"/>
              <w:bottom w:val="single" w:sz="4" w:space="0" w:color="auto"/>
              <w:right w:val="single" w:sz="4" w:space="0" w:color="auto"/>
            </w:tcBorders>
            <w:shd w:val="clear" w:color="auto" w:fill="BDD7EE"/>
            <w:vAlign w:val="center"/>
            <w:hideMark/>
          </w:tcPr>
          <w:p w:rsidR="00BF6749" w:rsidRDefault="00BF6749">
            <w:pPr>
              <w:spacing w:before="120" w:after="120" w:line="240" w:lineRule="auto"/>
              <w:rPr>
                <w:rFonts w:ascii="Times New Roman" w:hAnsi="Times New Roman"/>
                <w:noProof/>
                <w:sz w:val="20"/>
                <w:szCs w:val="20"/>
              </w:rPr>
            </w:pPr>
          </w:p>
        </w:tc>
      </w:tr>
      <w:tr w:rsidR="00BF6749">
        <w:trPr>
          <w:trHeight w:val="972"/>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1</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Education for the 21st century – Reform 1:Education content and form reform – Curricular and textbook reform</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Milestone</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Approval of the final version of the new curriculum  for all primary and lower-secondary schools organized in the </w:t>
            </w:r>
            <w:r>
              <w:rPr>
                <w:rFonts w:ascii="Times New Roman" w:hAnsi="Times New Roman"/>
                <w:noProof/>
                <w:color w:val="006100"/>
                <w:sz w:val="20"/>
                <w:szCs w:val="20"/>
              </w:rPr>
              <w:t>multiannual education cycles</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BF6749">
            <w:pPr>
              <w:spacing w:before="120" w:after="120" w:line="240" w:lineRule="auto"/>
              <w:jc w:val="both"/>
              <w:rPr>
                <w:rFonts w:ascii="Times New Roman" w:hAnsi="Times New Roman"/>
                <w:noProof/>
                <w:color w:val="006100"/>
                <w:sz w:val="20"/>
                <w:szCs w:val="20"/>
              </w:rPr>
            </w:pPr>
          </w:p>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Approval of the new state primary and lower-secondary education programme by the Minister of Education. </w:t>
            </w: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Q1</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An integrated curriculum for primary and lower-secondary schools shall be  implemented within cycles. Cycle</w:t>
            </w:r>
            <w:r>
              <w:rPr>
                <w:rFonts w:ascii="Times New Roman" w:hAnsi="Times New Roman"/>
                <w:noProof/>
                <w:color w:val="006100"/>
                <w:sz w:val="20"/>
                <w:szCs w:val="20"/>
              </w:rPr>
              <w:t xml:space="preserve">s shall define basic learning objectives for areas rather than detailed content, thus creating flexibility to develop curricula at school level. The implementation phase shall start from September 2023 with an obligation to transfer all primary schools to </w:t>
            </w:r>
            <w:r>
              <w:rPr>
                <w:rFonts w:ascii="Times New Roman" w:hAnsi="Times New Roman"/>
                <w:noProof/>
                <w:color w:val="006100"/>
                <w:sz w:val="20"/>
                <w:szCs w:val="20"/>
              </w:rPr>
              <w:t>a new curriculum by 09/2026.</w:t>
            </w:r>
          </w:p>
          <w:p w:rsidR="00BF6749" w:rsidRDefault="00BF6749">
            <w:pPr>
              <w:spacing w:before="120" w:after="120" w:line="240" w:lineRule="auto"/>
              <w:rPr>
                <w:rFonts w:ascii="Times New Roman" w:hAnsi="Times New Roman"/>
                <w:noProof/>
                <w:color w:val="006100"/>
                <w:sz w:val="20"/>
                <w:szCs w:val="20"/>
              </w:rPr>
            </w:pPr>
          </w:p>
          <w:p w:rsidR="00BF6749" w:rsidRDefault="00BF6749">
            <w:pPr>
              <w:spacing w:before="120" w:after="120" w:line="240" w:lineRule="auto"/>
              <w:rPr>
                <w:rFonts w:ascii="Times New Roman" w:hAnsi="Times New Roman"/>
                <w:noProof/>
                <w:color w:val="006100"/>
                <w:sz w:val="20"/>
                <w:szCs w:val="20"/>
              </w:rPr>
            </w:pPr>
          </w:p>
        </w:tc>
      </w:tr>
      <w:tr w:rsidR="00BF6749">
        <w:trPr>
          <w:trHeight w:val="1811"/>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Education for the 21st century – Reform 1:Education content and form reform – Curricular and textbook reform</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Target</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Creation of a network of regional centres of support</w:t>
            </w:r>
          </w:p>
        </w:tc>
        <w:tc>
          <w:tcPr>
            <w:tcW w:w="1701"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Number</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40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Q3</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Regional centres of </w:t>
            </w:r>
            <w:r>
              <w:rPr>
                <w:rFonts w:ascii="Times New Roman" w:hAnsi="Times New Roman"/>
                <w:noProof/>
                <w:color w:val="006100"/>
                <w:sz w:val="20"/>
                <w:szCs w:val="20"/>
              </w:rPr>
              <w:t>curricular management and support for schools to implement changes shall be developed at regional level through mentoring, counselling and consultation activities. In total, there shall be 40 centres (one centre for two counties) with a team of teachers, s</w:t>
            </w:r>
            <w:r>
              <w:rPr>
                <w:rFonts w:ascii="Times New Roman" w:hAnsi="Times New Roman"/>
                <w:noProof/>
                <w:color w:val="006100"/>
                <w:sz w:val="20"/>
                <w:szCs w:val="20"/>
              </w:rPr>
              <w:t>chool directors, other specialist of youth and adult education, third sector experts and experts from faculties preparing teachers in the region.</w:t>
            </w:r>
          </w:p>
        </w:tc>
      </w:tr>
      <w:tr w:rsidR="00BF6749">
        <w:trPr>
          <w:trHeight w:val="1349"/>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3</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Education for the 21st century – Reform 1:Education content and form reform – Curricular and textbook </w:t>
            </w:r>
            <w:r>
              <w:rPr>
                <w:rFonts w:ascii="Times New Roman" w:hAnsi="Times New Roman"/>
                <w:noProof/>
                <w:color w:val="006100"/>
                <w:sz w:val="20"/>
                <w:szCs w:val="20"/>
              </w:rPr>
              <w:t>reform</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Target</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Primary schools that implement the new curriculum (in percentage) </w:t>
            </w:r>
          </w:p>
        </w:tc>
        <w:tc>
          <w:tcPr>
            <w:tcW w:w="1701"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30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At least 30% of  public primary schools that implement the new curriculum</w:t>
            </w:r>
          </w:p>
        </w:tc>
      </w:tr>
      <w:tr w:rsidR="00BF6749">
        <w:trPr>
          <w:trHeight w:val="90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4</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Education for the 21st century – Reform 1:Education content and form reform – </w:t>
            </w:r>
            <w:r>
              <w:rPr>
                <w:rFonts w:ascii="Times New Roman" w:hAnsi="Times New Roman"/>
                <w:noProof/>
                <w:color w:val="006100"/>
                <w:sz w:val="20"/>
                <w:szCs w:val="20"/>
              </w:rPr>
              <w:t>Curricular and textbook reform</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Target</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Introduction of an on-line matura (final exam for graduates from upper secondary school]</w:t>
            </w:r>
          </w:p>
        </w:tc>
        <w:tc>
          <w:tcPr>
            <w:tcW w:w="1701"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23</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100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Share of matura (final exam for graduates from upper secondary school] taken on internet.</w:t>
            </w:r>
          </w:p>
        </w:tc>
      </w:tr>
      <w:tr w:rsidR="00BF6749">
        <w:trPr>
          <w:trHeight w:val="2253"/>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5</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7 – Education for </w:t>
            </w:r>
            <w:r>
              <w:rPr>
                <w:rFonts w:ascii="Times New Roman" w:hAnsi="Times New Roman"/>
                <w:noProof/>
                <w:color w:val="006100"/>
                <w:sz w:val="20"/>
                <w:szCs w:val="20"/>
              </w:rPr>
              <w:t>the 21st century – Reform 2:Preparing and developing teachers for new content and form of teaching</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Milestone</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Entry into force the legislative changes to strengthen the quality of skills of teaching and professional staff and motivate them for lifelong prof</w:t>
            </w:r>
            <w:r>
              <w:rPr>
                <w:rFonts w:ascii="Times New Roman" w:hAnsi="Times New Roman"/>
                <w:noProof/>
                <w:color w:val="006100"/>
                <w:sz w:val="20"/>
                <w:szCs w:val="20"/>
              </w:rPr>
              <w:t>essional development</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Entry into force the amendments to Act No 138/2019 on pedagogical and professional employees, Act No 597/2003 Coll., Act No 131/2002 on higher education, </w:t>
            </w:r>
          </w:p>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and the Decrees No 244/2019 and No 1/2020 of the Ministry of Education, Science,</w:t>
            </w:r>
            <w:r>
              <w:rPr>
                <w:rFonts w:ascii="Times New Roman" w:hAnsi="Times New Roman"/>
                <w:noProof/>
                <w:color w:val="006100"/>
                <w:sz w:val="20"/>
                <w:szCs w:val="20"/>
              </w:rPr>
              <w:t xml:space="preserve"> Research and Sport of the Slovak Republic on the system of study unions of the Slovak Republic.  </w:t>
            </w: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Q1</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The legislative changes shall bring: </w:t>
            </w:r>
          </w:p>
          <w:p w:rsidR="00BF6749" w:rsidRDefault="00C87555">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Introduction of the new study programmes preparing future teachers, </w:t>
            </w:r>
          </w:p>
          <w:p w:rsidR="00BF6749" w:rsidRDefault="00C87555">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a grant programme for universities t</w:t>
            </w:r>
            <w:r>
              <w:rPr>
                <w:rFonts w:ascii="Times New Roman" w:hAnsi="Times New Roman"/>
                <w:noProof/>
                <w:color w:val="006100"/>
                <w:sz w:val="20"/>
                <w:szCs w:val="20"/>
              </w:rPr>
              <w:t xml:space="preserve">o support the emergence of new teaching curricula. This includes funding for changes in programmes that support the introduction of inclusive education, the education of pupils with different mother tongues and the development of digital competences among </w:t>
            </w:r>
            <w:r>
              <w:rPr>
                <w:rFonts w:ascii="Times New Roman" w:hAnsi="Times New Roman"/>
                <w:noProof/>
                <w:color w:val="006100"/>
                <w:sz w:val="20"/>
                <w:szCs w:val="20"/>
              </w:rPr>
              <w:t>teaching students.</w:t>
            </w:r>
          </w:p>
          <w:p w:rsidR="00BF6749" w:rsidRDefault="00C87555">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An allowance to motivate teaching and professional staff to pursue lifelong professional development;</w:t>
            </w:r>
          </w:p>
          <w:p w:rsidR="00BF6749" w:rsidRDefault="00C87555">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 Regulation of the competences and the range of providers of attestation, functional and qualification education in the education secto</w:t>
            </w:r>
            <w:r>
              <w:rPr>
                <w:rFonts w:ascii="Times New Roman" w:hAnsi="Times New Roman"/>
                <w:noProof/>
                <w:color w:val="006100"/>
                <w:sz w:val="20"/>
                <w:szCs w:val="20"/>
              </w:rPr>
              <w:t>r.</w:t>
            </w:r>
          </w:p>
          <w:p w:rsidR="00BF6749" w:rsidRDefault="00C87555">
            <w:pPr>
              <w:numPr>
                <w:ilvl w:val="0"/>
                <w:numId w:val="23"/>
              </w:numPr>
              <w:spacing w:before="120" w:after="160" w:line="259" w:lineRule="auto"/>
              <w:contextualSpacing/>
              <w:jc w:val="both"/>
              <w:rPr>
                <w:rFonts w:ascii="Times New Roman" w:hAnsi="Times New Roman"/>
                <w:noProof/>
                <w:color w:val="006100"/>
                <w:sz w:val="20"/>
                <w:szCs w:val="20"/>
              </w:rPr>
            </w:pPr>
            <w:r>
              <w:rPr>
                <w:rFonts w:ascii="Times New Roman" w:hAnsi="Times New Roman"/>
                <w:noProof/>
                <w:color w:val="006100"/>
                <w:sz w:val="20"/>
                <w:szCs w:val="20"/>
              </w:rPr>
              <w:t xml:space="preserve">new model of accreditation of professional development training programmes. </w:t>
            </w:r>
          </w:p>
          <w:p w:rsidR="00BF6749" w:rsidRDefault="00BF6749">
            <w:pPr>
              <w:spacing w:before="120" w:after="120" w:line="240" w:lineRule="auto"/>
              <w:rPr>
                <w:rFonts w:ascii="Times New Roman" w:hAnsi="Times New Roman"/>
                <w:noProof/>
                <w:color w:val="006100"/>
                <w:sz w:val="20"/>
                <w:szCs w:val="20"/>
              </w:rPr>
            </w:pPr>
          </w:p>
        </w:tc>
      </w:tr>
      <w:tr w:rsidR="00BF6749">
        <w:trPr>
          <w:trHeight w:val="2318"/>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6</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Education for the 21st century – Reform 2:Preparing and developing teachers for new content and form of teaching</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Target </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Percentage of teachers trained, especially in </w:t>
            </w:r>
            <w:r>
              <w:rPr>
                <w:rFonts w:ascii="Times New Roman" w:hAnsi="Times New Roman"/>
                <w:noProof/>
                <w:color w:val="006100"/>
                <w:sz w:val="20"/>
                <w:szCs w:val="20"/>
              </w:rPr>
              <w:t>preparation for the new curriculum, inclusive education and digital skills</w:t>
            </w:r>
          </w:p>
        </w:tc>
        <w:tc>
          <w:tcPr>
            <w:tcW w:w="1701" w:type="dxa"/>
            <w:tcBorders>
              <w:top w:val="nil"/>
              <w:left w:val="nil"/>
              <w:bottom w:val="single" w:sz="4" w:space="0" w:color="auto"/>
              <w:right w:val="single" w:sz="4" w:space="0" w:color="auto"/>
            </w:tcBorders>
            <w:shd w:val="clear" w:color="auto" w:fill="C6EFCE"/>
            <w:vAlign w:val="center"/>
            <w:hideMark/>
          </w:tcPr>
          <w:p w:rsidR="00BF6749" w:rsidRDefault="00BF6749">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0</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60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By the 31 of December 2023 at least 60% of teachers shall be trained. </w:t>
            </w:r>
          </w:p>
        </w:tc>
      </w:tr>
      <w:tr w:rsidR="00BF6749">
        <w:trPr>
          <w:trHeight w:val="551"/>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7</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Education for the 21st century – Investment 1:Digital infrastructure in schools</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Target</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Increase in the percentage of schools with basic level of digital equipment</w:t>
            </w:r>
          </w:p>
        </w:tc>
        <w:tc>
          <w:tcPr>
            <w:tcW w:w="1701"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30</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90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BF6749">
            <w:pPr>
              <w:spacing w:before="120" w:after="120" w:line="240" w:lineRule="auto"/>
              <w:rPr>
                <w:rFonts w:ascii="Times New Roman" w:hAnsi="Times New Roman"/>
                <w:noProof/>
                <w:color w:val="006100"/>
                <w:sz w:val="20"/>
                <w:szCs w:val="20"/>
              </w:rPr>
            </w:pPr>
          </w:p>
        </w:tc>
      </w:tr>
      <w:tr w:rsidR="00BF6749">
        <w:trPr>
          <w:trHeight w:val="7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8</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Education for the 21st century – Investment 2:Completion of school infrastructure</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Target</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Elimination of the double-shift schools </w:t>
            </w:r>
          </w:p>
        </w:tc>
        <w:tc>
          <w:tcPr>
            <w:tcW w:w="1701"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Number</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49</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Q2</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The objective is to eliminate the current two-shift operation in 49 schools. There shall be a specific call for double shifts schools to build new premises or make reconstructions of the premises which are not fit to serve pupils.</w:t>
            </w:r>
          </w:p>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 xml:space="preserve">Buildings subjected </w:t>
            </w:r>
            <w:r>
              <w:rPr>
                <w:rFonts w:ascii="Times New Roman" w:hAnsi="Times New Roman"/>
                <w:noProof/>
                <w:color w:val="006100"/>
                <w:sz w:val="20"/>
                <w:szCs w:val="20"/>
              </w:rPr>
              <w:t>to renovation shall contribute to the green transitions by achieving at least 30% of primary energy savings, to be monitored by energy saving certificates.</w:t>
            </w:r>
          </w:p>
        </w:tc>
      </w:tr>
      <w:tr w:rsidR="00BF6749">
        <w:trPr>
          <w:trHeight w:val="70"/>
        </w:trPr>
        <w:tc>
          <w:tcPr>
            <w:tcW w:w="993"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9</w:t>
            </w:r>
          </w:p>
        </w:tc>
        <w:tc>
          <w:tcPr>
            <w:tcW w:w="1446"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7 – Education for the 21st century – Investment 2:Completion of school infrastructure</w:t>
            </w:r>
          </w:p>
        </w:tc>
        <w:tc>
          <w:tcPr>
            <w:tcW w:w="124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Target</w:t>
            </w:r>
          </w:p>
        </w:tc>
        <w:tc>
          <w:tcPr>
            <w:tcW w:w="2268"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 xml:space="preserve"> the number of schools with their own library as an educational centre or with a modernised library</w:t>
            </w:r>
          </w:p>
        </w:tc>
        <w:tc>
          <w:tcPr>
            <w:tcW w:w="1701"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before="120" w:after="120" w:line="240" w:lineRule="auto"/>
              <w:jc w:val="both"/>
              <w:rPr>
                <w:rFonts w:ascii="Times New Roman" w:hAnsi="Times New Roman"/>
                <w:noProof/>
                <w:color w:val="006100"/>
                <w:sz w:val="20"/>
                <w:szCs w:val="20"/>
              </w:rPr>
            </w:pPr>
          </w:p>
        </w:tc>
        <w:tc>
          <w:tcPr>
            <w:tcW w:w="70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both"/>
              <w:rPr>
                <w:rFonts w:ascii="Times New Roman" w:hAnsi="Times New Roman"/>
                <w:noProof/>
                <w:color w:val="006100"/>
                <w:sz w:val="20"/>
                <w:szCs w:val="20"/>
              </w:rPr>
            </w:pPr>
            <w:r>
              <w:rPr>
                <w:rFonts w:ascii="Times New Roman" w:hAnsi="Times New Roman"/>
                <w:noProof/>
                <w:color w:val="006100"/>
                <w:sz w:val="20"/>
                <w:szCs w:val="20"/>
              </w:rPr>
              <w:t>Number</w:t>
            </w:r>
          </w:p>
        </w:tc>
        <w:tc>
          <w:tcPr>
            <w:tcW w:w="850"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0</w:t>
            </w:r>
          </w:p>
        </w:tc>
        <w:tc>
          <w:tcPr>
            <w:tcW w:w="5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right"/>
              <w:rPr>
                <w:rFonts w:ascii="Times New Roman" w:hAnsi="Times New Roman"/>
                <w:noProof/>
                <w:color w:val="006100"/>
                <w:sz w:val="20"/>
                <w:szCs w:val="20"/>
              </w:rPr>
            </w:pPr>
            <w:r>
              <w:rPr>
                <w:rFonts w:ascii="Times New Roman" w:hAnsi="Times New Roman"/>
                <w:noProof/>
                <w:color w:val="006100"/>
                <w:sz w:val="20"/>
                <w:szCs w:val="20"/>
              </w:rPr>
              <w:t>200</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before="120" w:after="120" w:line="240" w:lineRule="auto"/>
              <w:jc w:val="center"/>
              <w:rPr>
                <w:rFonts w:ascii="Times New Roman" w:hAnsi="Times New Roman"/>
                <w:noProof/>
                <w:color w:val="006100"/>
                <w:sz w:val="20"/>
                <w:szCs w:val="20"/>
              </w:rPr>
            </w:pPr>
            <w:r>
              <w:rPr>
                <w:rFonts w:ascii="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The objective is to transform of school libraries for educational centres in  schools attended by more than 15 pupils from weak socio-</w:t>
            </w:r>
            <w:r>
              <w:rPr>
                <w:rFonts w:ascii="Times New Roman" w:hAnsi="Times New Roman"/>
                <w:noProof/>
                <w:color w:val="006100"/>
                <w:sz w:val="20"/>
                <w:szCs w:val="20"/>
              </w:rPr>
              <w:t>economic background to promote reading literacy is a priority and shall be achieved through the renovation of buildings or building the new ones. For this, there shall be a specific call. This shall ensure access to books for pupils – 87 % of pupils from s</w:t>
            </w:r>
            <w:r>
              <w:rPr>
                <w:rFonts w:ascii="Times New Roman" w:hAnsi="Times New Roman"/>
                <w:noProof/>
                <w:color w:val="006100"/>
                <w:sz w:val="20"/>
                <w:szCs w:val="20"/>
              </w:rPr>
              <w:t xml:space="preserve">ocially disadvantaged backgrounds and a total of 28 % of pupils who do not currently have it. </w:t>
            </w:r>
          </w:p>
          <w:p w:rsidR="00BF6749" w:rsidRDefault="00C87555">
            <w:pPr>
              <w:spacing w:before="120" w:after="120" w:line="240" w:lineRule="auto"/>
              <w:rPr>
                <w:rFonts w:ascii="Times New Roman" w:hAnsi="Times New Roman"/>
                <w:noProof/>
                <w:color w:val="006100"/>
                <w:sz w:val="20"/>
                <w:szCs w:val="20"/>
                <w:lang w:val="en-US"/>
              </w:rPr>
            </w:pPr>
            <w:r>
              <w:rPr>
                <w:rFonts w:ascii="Times New Roman" w:hAnsi="Times New Roman"/>
                <w:noProof/>
                <w:color w:val="006100"/>
                <w:sz w:val="20"/>
                <w:szCs w:val="20"/>
                <w:lang w:val="en-US"/>
              </w:rPr>
              <w:t>Of the overall objective is to establish or renovate 211, at least 200 libraries are built or renovated.</w:t>
            </w:r>
          </w:p>
          <w:p w:rsidR="00BF6749" w:rsidRDefault="00C87555">
            <w:pPr>
              <w:spacing w:before="120" w:after="120" w:line="240" w:lineRule="auto"/>
              <w:rPr>
                <w:rFonts w:ascii="Times New Roman" w:hAnsi="Times New Roman"/>
                <w:noProof/>
                <w:color w:val="006100"/>
                <w:sz w:val="20"/>
                <w:szCs w:val="20"/>
              </w:rPr>
            </w:pPr>
            <w:r>
              <w:rPr>
                <w:rFonts w:ascii="Times New Roman" w:hAnsi="Times New Roman"/>
                <w:noProof/>
                <w:color w:val="006100"/>
                <w:sz w:val="20"/>
                <w:szCs w:val="20"/>
              </w:rPr>
              <w:t>Buildings subjected to renovation shall contribute to th</w:t>
            </w:r>
            <w:r>
              <w:rPr>
                <w:rFonts w:ascii="Times New Roman" w:hAnsi="Times New Roman"/>
                <w:noProof/>
                <w:color w:val="006100"/>
                <w:sz w:val="20"/>
                <w:szCs w:val="20"/>
              </w:rPr>
              <w:t>e green transitions by achieving at least 30% of primary energy savings to be monitored by energy saving certificates.</w:t>
            </w:r>
          </w:p>
        </w:tc>
      </w:tr>
    </w:tbl>
    <w:p w:rsidR="00BF6749" w:rsidRDefault="00BF6749">
      <w:pPr>
        <w:spacing w:before="120" w:after="120" w:line="240" w:lineRule="auto"/>
        <w:jc w:val="both"/>
        <w:rPr>
          <w:rFonts w:ascii="Times New Roman" w:hAnsi="Times New Roman"/>
          <w:b/>
          <w:noProof/>
          <w:sz w:val="24"/>
          <w:u w:val="single"/>
          <w:lang w:val="en-US"/>
        </w:rPr>
        <w:sectPr w:rsidR="00BF6749">
          <w:headerReference w:type="even" r:id="rId96"/>
          <w:headerReference w:type="default" r:id="rId97"/>
          <w:footerReference w:type="even" r:id="rId98"/>
          <w:footerReference w:type="default" r:id="rId99"/>
          <w:headerReference w:type="first" r:id="rId100"/>
          <w:footerReference w:type="first" r:id="rId101"/>
          <w:pgSz w:w="16839" w:h="11907" w:orient="landscape"/>
          <w:pgMar w:top="1418" w:right="1134" w:bottom="1418" w:left="1134" w:header="709" w:footer="709" w:gutter="0"/>
          <w:cols w:space="720"/>
          <w:docGrid w:linePitch="360"/>
        </w:sectPr>
      </w:pPr>
    </w:p>
    <w:p w:rsidR="00BF6749" w:rsidRDefault="00C87555">
      <w:pPr>
        <w:keepNext/>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 8: Improving the performance of Slovak universities</w:t>
      </w:r>
    </w:p>
    <w:p w:rsidR="00BF6749" w:rsidRDefault="00C87555">
      <w:pPr>
        <w:spacing w:before="120" w:after="120" w:line="240" w:lineRule="auto"/>
        <w:jc w:val="both"/>
        <w:rPr>
          <w:rFonts w:ascii="Times New Roman" w:hAnsi="Times New Roman"/>
          <w:noProof/>
          <w:sz w:val="24"/>
          <w:lang w:val="en-IE"/>
        </w:rPr>
      </w:pPr>
      <w:r>
        <w:rPr>
          <w:rFonts w:ascii="Times New Roman" w:hAnsi="Times New Roman"/>
          <w:noProof/>
          <w:sz w:val="24"/>
          <w:lang w:val="en-IE"/>
        </w:rPr>
        <w:t xml:space="preserve">The key objective of this component </w:t>
      </w:r>
      <w:r>
        <w:rPr>
          <w:rFonts w:ascii="Times New Roman" w:hAnsi="Times New Roman"/>
          <w:noProof/>
          <w:sz w:val="24"/>
        </w:rPr>
        <w:t xml:space="preserve">of the Slovak recovery and resilience plan </w:t>
      </w:r>
      <w:r>
        <w:rPr>
          <w:rFonts w:ascii="Times New Roman" w:hAnsi="Times New Roman"/>
          <w:noProof/>
          <w:sz w:val="24"/>
          <w:lang w:val="en-IE"/>
        </w:rPr>
        <w:t>is to improve the quality of performance of Slovak higher education institutions (HEIs).The new form of financing of professional bachelor programmes and short tertiary programm</w:t>
      </w:r>
      <w:r>
        <w:rPr>
          <w:rFonts w:ascii="Times New Roman" w:hAnsi="Times New Roman"/>
          <w:noProof/>
          <w:sz w:val="24"/>
          <w:lang w:val="en-IE"/>
        </w:rPr>
        <w:t xml:space="preserve">es shall be introduced to better fit the study programmes to the labour market needs. In order to improve the quality of science, a systemic performance evaluation shall be established that support the new accreditation system. The component shall enhance </w:t>
      </w:r>
      <w:r>
        <w:rPr>
          <w:rFonts w:ascii="Times New Roman" w:hAnsi="Times New Roman"/>
          <w:noProof/>
          <w:sz w:val="24"/>
          <w:lang w:val="en-IE"/>
        </w:rPr>
        <w:t>the reform of the universities management by conferring more power to the rector and the board, as well as setting up a scheme that incentivise the mergers of the HEI to reduce administrative costs and create the effect of the positive spill-over in knowle</w:t>
      </w:r>
      <w:r>
        <w:rPr>
          <w:rFonts w:ascii="Times New Roman" w:hAnsi="Times New Roman"/>
          <w:noProof/>
          <w:sz w:val="24"/>
          <w:lang w:val="en-IE"/>
        </w:rPr>
        <w:t xml:space="preserve">dge diffusion among the entities. </w:t>
      </w:r>
    </w:p>
    <w:p w:rsidR="00BF6749" w:rsidRDefault="00C87555">
      <w:pPr>
        <w:spacing w:before="120" w:after="120" w:line="240" w:lineRule="auto"/>
        <w:jc w:val="both"/>
        <w:rPr>
          <w:rFonts w:ascii="Times New Roman" w:hAnsi="Times New Roman"/>
          <w:noProof/>
          <w:sz w:val="24"/>
          <w:lang w:val="en-IE"/>
        </w:rPr>
      </w:pPr>
      <w:r>
        <w:rPr>
          <w:rFonts w:ascii="Times New Roman" w:hAnsi="Times New Roman"/>
          <w:noProof/>
          <w:sz w:val="24"/>
          <w:lang w:val="en-IE"/>
        </w:rPr>
        <w:t>The component includes five reforms and one investment.</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environmental objectives within the meaning of Article 17 of Regulation (EU) 2020/852, taki</w:t>
      </w:r>
      <w:r>
        <w:rPr>
          <w:rFonts w:ascii="Times New Roman" w:hAnsi="Times New Roman"/>
          <w:noProof/>
          <w:sz w:val="24"/>
          <w:szCs w:val="24"/>
        </w:rPr>
        <w:t xml:space="preserve">ng into account the description of the measures and the mitigating steps set out in the recovery and resilience plan in accordance with the DNSH Technical Guidance (2021/C58/01).  </w:t>
      </w:r>
    </w:p>
    <w:p w:rsidR="00BF6749" w:rsidRDefault="00C87555">
      <w:pPr>
        <w:tabs>
          <w:tab w:val="left" w:pos="993"/>
        </w:tabs>
        <w:spacing w:before="120" w:after="120" w:line="240" w:lineRule="auto"/>
        <w:jc w:val="both"/>
        <w:rPr>
          <w:rFonts w:ascii="Times New Roman" w:hAnsi="Times New Roman"/>
          <w:noProof/>
          <w:sz w:val="24"/>
        </w:rPr>
      </w:pPr>
      <w:r>
        <w:rPr>
          <w:rFonts w:ascii="Times New Roman" w:hAnsi="Times New Roman"/>
          <w:noProof/>
          <w:sz w:val="24"/>
        </w:rPr>
        <w:t>The Component shall contribute to addressing the Country Specific Recommend</w:t>
      </w:r>
      <w:r>
        <w:rPr>
          <w:rFonts w:ascii="Times New Roman" w:hAnsi="Times New Roman"/>
          <w:noProof/>
          <w:sz w:val="24"/>
        </w:rPr>
        <w:t xml:space="preserve">ations addressed to Slovakia </w:t>
      </w:r>
      <w:r>
        <w:rPr>
          <w:rFonts w:ascii="Times New Roman" w:hAnsi="Times New Roman"/>
          <w:noProof/>
          <w:sz w:val="24"/>
          <w:lang w:val="en-IE"/>
        </w:rPr>
        <w:t xml:space="preserve">in the past two years, on the need to </w:t>
      </w:r>
      <w:r>
        <w:rPr>
          <w:rFonts w:ascii="Times New Roman" w:hAnsi="Times New Roman"/>
          <w:i/>
          <w:iCs/>
          <w:noProof/>
          <w:sz w:val="24"/>
          <w:lang w:val="en-US"/>
        </w:rPr>
        <w:t xml:space="preserve">Improve the quality and inclusiveness of education at all levels and foster skills. </w:t>
      </w:r>
      <w:r>
        <w:rPr>
          <w:rFonts w:ascii="Times New Roman" w:hAnsi="Times New Roman"/>
          <w:noProof/>
          <w:sz w:val="24"/>
          <w:lang w:val="en-US"/>
        </w:rPr>
        <w:t xml:space="preserve">(Country Specific Recommendation 2/2019) as well as to </w:t>
      </w:r>
      <w:r>
        <w:rPr>
          <w:rFonts w:ascii="Times New Roman" w:hAnsi="Times New Roman"/>
          <w:i/>
          <w:noProof/>
          <w:sz w:val="24"/>
        </w:rPr>
        <w:t>ensure equal access to quality education</w:t>
      </w:r>
      <w:r>
        <w:rPr>
          <w:rFonts w:ascii="Times New Roman" w:hAnsi="Times New Roman"/>
          <w:noProof/>
          <w:sz w:val="24"/>
        </w:rPr>
        <w:t>. (Country</w:t>
      </w:r>
      <w:r>
        <w:rPr>
          <w:rFonts w:ascii="Times New Roman" w:hAnsi="Times New Roman"/>
          <w:noProof/>
          <w:sz w:val="24"/>
        </w:rPr>
        <w:t xml:space="preserve"> Specific Recommendation 2/2020).</w:t>
      </w:r>
    </w:p>
    <w:p w:rsidR="00BF6749" w:rsidRDefault="00C87555">
      <w:pPr>
        <w:tabs>
          <w:tab w:val="left" w:pos="993"/>
        </w:tabs>
        <w:spacing w:before="120" w:after="120" w:line="240" w:lineRule="auto"/>
        <w:jc w:val="both"/>
        <w:rPr>
          <w:rFonts w:ascii="Times New Roman" w:hAnsi="Times New Roman"/>
          <w:noProof/>
          <w:sz w:val="24"/>
          <w:lang w:val="en-US"/>
        </w:rPr>
      </w:pPr>
      <w:r>
        <w:rPr>
          <w:rFonts w:ascii="Times New Roman" w:hAnsi="Times New Roman"/>
          <w:noProof/>
          <w:sz w:val="24"/>
          <w:lang w:val="en-US"/>
        </w:rPr>
        <w:t>There is some strong connection to other components especially the ones related to research and innovation (Component 9 and 17), re-skilling and meeting the labour market needs (Component 10).</w:t>
      </w:r>
    </w:p>
    <w:p w:rsidR="00BF6749" w:rsidRDefault="00C87555">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Description of the refo</w:t>
      </w:r>
      <w:r>
        <w:rPr>
          <w:rFonts w:ascii="Times New Roman" w:hAnsi="Times New Roman"/>
          <w:b/>
          <w:noProof/>
          <w:sz w:val="24"/>
          <w:u w:val="single"/>
        </w:rPr>
        <w:t>rms and investments for non-repayable financial support</w:t>
      </w:r>
    </w:p>
    <w:p w:rsidR="00BF6749" w:rsidRDefault="00C87555">
      <w:pPr>
        <w:spacing w:before="120" w:after="120" w:line="240" w:lineRule="auto"/>
        <w:jc w:val="both"/>
        <w:rPr>
          <w:rFonts w:ascii="Times New Roman" w:hAnsi="Times New Roman"/>
          <w:iCs/>
          <w:noProof/>
          <w:sz w:val="24"/>
          <w:lang w:val="en"/>
        </w:rPr>
      </w:pPr>
      <w:r>
        <w:rPr>
          <w:rFonts w:ascii="Times New Roman" w:hAnsi="Times New Roman"/>
          <w:b/>
          <w:noProof/>
          <w:sz w:val="24"/>
          <w:lang w:val="en"/>
        </w:rPr>
        <w:t>Reform 1: Change in the funding of universities by introduction of performance contracts.</w:t>
      </w:r>
      <w:r>
        <w:rPr>
          <w:rFonts w:ascii="Times New Roman" w:hAnsi="Times New Roman"/>
          <w:noProof/>
          <w:sz w:val="24"/>
          <w:lang w:val="en"/>
        </w:rPr>
        <w:t xml:space="preserve"> A new instrument – performance contracts – shall be introduced </w:t>
      </w:r>
      <w:r>
        <w:rPr>
          <w:rFonts w:ascii="Times New Roman" w:hAnsi="Times New Roman"/>
          <w:iCs/>
          <w:noProof/>
          <w:sz w:val="24"/>
          <w:lang w:val="en"/>
        </w:rPr>
        <w:t>to the legal system in order to support the profiling and diversification of universities based on their specific strengths and potential for development. Performance contracts are to be signed by the Ministry of Education, Science, Research and Sport of t</w:t>
      </w:r>
      <w:r>
        <w:rPr>
          <w:rFonts w:ascii="Times New Roman" w:hAnsi="Times New Roman"/>
          <w:iCs/>
          <w:noProof/>
          <w:sz w:val="24"/>
          <w:lang w:val="en"/>
        </w:rPr>
        <w:t>he Slovak Republic (MŠVVaŠ SR) with public universities. On the basis of the agreement of with universities, objectives shall be set which shall be monitored using the U-Multirank approach (unified methodology to carry out the performance evaluation) and s</w:t>
      </w:r>
      <w:r>
        <w:rPr>
          <w:rFonts w:ascii="Times New Roman" w:hAnsi="Times New Roman"/>
          <w:iCs/>
          <w:noProof/>
          <w:sz w:val="24"/>
          <w:lang w:val="en"/>
        </w:rPr>
        <w:t xml:space="preserve">hall be based on a long-term objective in the field of universities and country needs. </w:t>
      </w:r>
    </w:p>
    <w:p w:rsidR="00BF6749" w:rsidRDefault="00C87555">
      <w:pPr>
        <w:spacing w:before="120" w:after="120" w:line="240" w:lineRule="auto"/>
        <w:jc w:val="both"/>
        <w:rPr>
          <w:rFonts w:ascii="Times New Roman" w:hAnsi="Times New Roman"/>
          <w:iCs/>
          <w:noProof/>
          <w:sz w:val="24"/>
          <w:lang w:val="en"/>
        </w:rPr>
      </w:pPr>
      <w:r>
        <w:rPr>
          <w:rFonts w:ascii="Times New Roman" w:hAnsi="Times New Roman"/>
          <w:iCs/>
          <w:noProof/>
          <w:sz w:val="24"/>
          <w:lang w:val="en"/>
        </w:rPr>
        <w:t>The implementation of the reform is expected to start by 31 December 2022 and shall be completed by 31 December 2023.</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b/>
          <w:noProof/>
          <w:sz w:val="24"/>
          <w:lang w:val="en"/>
        </w:rPr>
        <w:t>Reform 2: Introduction of a system of periodic sci</w:t>
      </w:r>
      <w:r>
        <w:rPr>
          <w:rFonts w:ascii="Times New Roman" w:hAnsi="Times New Roman"/>
          <w:b/>
          <w:noProof/>
          <w:sz w:val="24"/>
          <w:lang w:val="en"/>
        </w:rPr>
        <w:t>entific performance evaluation.</w:t>
      </w:r>
      <w:r>
        <w:rPr>
          <w:rFonts w:ascii="Times New Roman" w:hAnsi="Times New Roman"/>
          <w:noProof/>
          <w:sz w:val="24"/>
          <w:lang w:val="en"/>
        </w:rPr>
        <w:t xml:space="preserve"> The objective of the reform is to introduce a system of periodic evaluation of the scientific performance of universities. The Ministry prepares, in cooperation with stakeholders, a methodology for assessing scientific perfo</w:t>
      </w:r>
      <w:r>
        <w:rPr>
          <w:rFonts w:ascii="Times New Roman" w:hAnsi="Times New Roman"/>
          <w:noProof/>
          <w:sz w:val="24"/>
          <w:lang w:val="en"/>
        </w:rPr>
        <w:t>rmance and introduces it into the legal system. The performance evaluation shall be organized by the ministry, either directly or through an autonomous institution, so that the assessment is based on the principles of independence and transparency. The ass</w:t>
      </w:r>
      <w:r>
        <w:rPr>
          <w:rFonts w:ascii="Times New Roman" w:hAnsi="Times New Roman"/>
          <w:noProof/>
          <w:sz w:val="24"/>
          <w:lang w:val="en"/>
        </w:rPr>
        <w:t>essment panel shall consist of domestic and foreign excellent researchers. The evaluation shall be based on high quality assessment systems from abroad, with the British Research Excellence Framework (REF) as the main inspiration and using specific paramet</w:t>
      </w:r>
      <w:r>
        <w:rPr>
          <w:rFonts w:ascii="Times New Roman" w:hAnsi="Times New Roman"/>
          <w:noProof/>
          <w:sz w:val="24"/>
          <w:lang w:val="en"/>
        </w:rPr>
        <w:t>ric settings adapted to the situation of the Slovak institutions to assess the quality of output within the field.</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 xml:space="preserve">The implementation of the reform shall be completed by 31 December 2022.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b/>
          <w:noProof/>
          <w:sz w:val="24"/>
          <w:lang w:val="en"/>
        </w:rPr>
        <w:t>Reform 3: A new approach to accreditation of higher education.</w:t>
      </w:r>
      <w:r>
        <w:rPr>
          <w:rFonts w:ascii="Times New Roman" w:hAnsi="Times New Roman"/>
          <w:noProof/>
          <w:sz w:val="24"/>
          <w:lang w:val="en"/>
        </w:rPr>
        <w:t xml:space="preserve"> The </w:t>
      </w:r>
      <w:r>
        <w:rPr>
          <w:rFonts w:ascii="Times New Roman" w:hAnsi="Times New Roman"/>
          <w:noProof/>
          <w:sz w:val="24"/>
          <w:lang w:val="en"/>
        </w:rPr>
        <w:t>objective of the reform is to set out the new standards and criteria for the accreditation of curricula that tighten the conditions for guaranteeing and delivering study programmes, improve their quality and introduce long-term quality monitoring processes</w:t>
      </w:r>
      <w:r>
        <w:rPr>
          <w:rFonts w:ascii="Times New Roman" w:hAnsi="Times New Roman"/>
          <w:noProof/>
          <w:sz w:val="24"/>
          <w:lang w:val="en"/>
        </w:rPr>
        <w:t>. A new system shall require that universities involve students, external stakeholders (in particular employers) in the design, monitoring and adjustment of curricula, and that universities closely monitor student progress and needs, graduate uptake and ov</w:t>
      </w:r>
      <w:r>
        <w:rPr>
          <w:rFonts w:ascii="Times New Roman" w:hAnsi="Times New Roman"/>
          <w:noProof/>
          <w:sz w:val="24"/>
          <w:lang w:val="en"/>
        </w:rPr>
        <w:t>erall student satisfaction.</w:t>
      </w:r>
      <w:r>
        <w:rPr>
          <w:noProof/>
          <w:lang w:val="en-US"/>
        </w:rPr>
        <w:t xml:space="preserve"> </w:t>
      </w:r>
      <w:r>
        <w:rPr>
          <w:rFonts w:ascii="Times New Roman" w:hAnsi="Times New Roman"/>
          <w:noProof/>
          <w:sz w:val="24"/>
          <w:lang w:val="en"/>
        </w:rPr>
        <w:t>The Slovak Accreditation Agency for Higher Education (SAAVŠ) shall have external supervision of the implementation of these rules. By default, the SAAVŠ shall use the foreign assessors and practitioners in the assessment of univ</w:t>
      </w:r>
      <w:r>
        <w:rPr>
          <w:rFonts w:ascii="Times New Roman" w:hAnsi="Times New Roman"/>
          <w:noProof/>
          <w:sz w:val="24"/>
          <w:lang w:val="en"/>
        </w:rPr>
        <w:t xml:space="preserve">ersity programmes. It is expected that at least 90% of universities apply to check the compliance of internal quality systems and study programmes with accreditation standards.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 xml:space="preserve">The implementation of the reform shall be completed by 31 December 2022.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b/>
          <w:noProof/>
          <w:sz w:val="24"/>
          <w:lang w:val="en"/>
        </w:rPr>
        <w:t>Refo</w:t>
      </w:r>
      <w:r>
        <w:rPr>
          <w:rFonts w:ascii="Times New Roman" w:hAnsi="Times New Roman"/>
          <w:b/>
          <w:noProof/>
          <w:sz w:val="24"/>
          <w:lang w:val="en"/>
        </w:rPr>
        <w:t>rm 4: Reform of the governance of universities.</w:t>
      </w:r>
      <w:r>
        <w:rPr>
          <w:rFonts w:ascii="Times New Roman" w:hAnsi="Times New Roman"/>
          <w:noProof/>
          <w:sz w:val="24"/>
          <w:lang w:val="en"/>
        </w:rPr>
        <w:t xml:space="preserve"> The reform via the amendment to the Higher Education Act shall increase the power of rector and the Board of Directors so that it better reflect responsibility and allow greater flexibility within the higher </w:t>
      </w:r>
      <w:r>
        <w:rPr>
          <w:rFonts w:ascii="Times New Roman" w:hAnsi="Times New Roman"/>
          <w:noProof/>
          <w:sz w:val="24"/>
          <w:lang w:val="en"/>
        </w:rPr>
        <w:t>education institution. The reform shall also remove restrictions on the appointment of lecturers and professors (the current requirement for an additional habilitation or inaugural procedure and the degrees of lecturer and professor), thus promoting the op</w:t>
      </w:r>
      <w:r>
        <w:rPr>
          <w:rFonts w:ascii="Times New Roman" w:hAnsi="Times New Roman"/>
          <w:noProof/>
          <w:sz w:val="24"/>
          <w:lang w:val="en"/>
        </w:rPr>
        <w:t>enness of the academic environment to both professional and foreign candidates.</w:t>
      </w:r>
      <w:r>
        <w:rPr>
          <w:rFonts w:ascii="Times New Roman" w:hAnsi="Times New Roman"/>
          <w:noProof/>
          <w:sz w:val="24"/>
        </w:rPr>
        <w:t xml:space="preserve"> </w:t>
      </w:r>
      <w:r>
        <w:rPr>
          <w:rFonts w:ascii="Times New Roman" w:hAnsi="Times New Roman"/>
          <w:noProof/>
          <w:sz w:val="24"/>
          <w:lang w:val="en"/>
        </w:rPr>
        <w:t>The recruitment of university management posts (rector, dean of faculty) shall be professionalized and shall take the form of open competitions or public hearings. In addition,</w:t>
      </w:r>
      <w:r>
        <w:rPr>
          <w:rFonts w:ascii="Times New Roman" w:hAnsi="Times New Roman"/>
          <w:noProof/>
          <w:sz w:val="24"/>
          <w:lang w:val="en"/>
        </w:rPr>
        <w:t xml:space="preserve"> the experts shall be able to participate in open competitions for tenures. The Higher Education Act shall remove the condition that staff in positions of professor and lecturer must have a scientific/pedagogical degree.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 xml:space="preserve">The implementation of the reform </w:t>
      </w:r>
      <w:r>
        <w:rPr>
          <w:rFonts w:ascii="Times New Roman" w:hAnsi="Times New Roman"/>
          <w:noProof/>
          <w:sz w:val="24"/>
          <w:lang w:val="en"/>
        </w:rPr>
        <w:t>shall be completed by 31 December 2021.</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b/>
          <w:noProof/>
          <w:sz w:val="24"/>
          <w:lang w:val="en"/>
        </w:rPr>
        <w:t>Reform 5: Concentration of excellent educational and research capacities.</w:t>
      </w:r>
      <w:r>
        <w:rPr>
          <w:rFonts w:ascii="Times New Roman" w:hAnsi="Times New Roman"/>
          <w:noProof/>
          <w:sz w:val="24"/>
          <w:lang w:val="en"/>
        </w:rPr>
        <w:t xml:space="preserve"> The objective of the reform is to promote the bringing together of universities into larger units. There are over 30 universities in Slovak wi</w:t>
      </w:r>
      <w:r>
        <w:rPr>
          <w:rFonts w:ascii="Times New Roman" w:hAnsi="Times New Roman"/>
          <w:noProof/>
          <w:sz w:val="24"/>
          <w:lang w:val="en"/>
        </w:rPr>
        <w:t>th a fragmented research capacities and insufficient cooperation with business. The Ministry of Education, Science, Research and Sport of the Slovak Republic (MŠVVaŠ SR) shall approve a road map for two large units of higher education institutions and subs</w:t>
      </w:r>
      <w:r>
        <w:rPr>
          <w:rFonts w:ascii="Times New Roman" w:hAnsi="Times New Roman"/>
          <w:noProof/>
          <w:sz w:val="24"/>
          <w:lang w:val="en"/>
        </w:rPr>
        <w:t xml:space="preserve">equently for the next group of universities.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The implementation of the reform is expected to start by 31 December 2021 and shall be completed by 30 June 2026.</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b/>
          <w:noProof/>
          <w:sz w:val="24"/>
          <w:lang w:val="en"/>
        </w:rPr>
        <w:t>Investment 1: Investment support for the strategic development of universities.</w:t>
      </w:r>
      <w:r>
        <w:rPr>
          <w:rFonts w:ascii="Times New Roman" w:hAnsi="Times New Roman"/>
          <w:noProof/>
          <w:sz w:val="24"/>
          <w:u w:val="single"/>
          <w:lang w:val="en"/>
        </w:rPr>
        <w:t xml:space="preserve">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Investments sha</w:t>
      </w:r>
      <w:r>
        <w:rPr>
          <w:rFonts w:ascii="Times New Roman" w:hAnsi="Times New Roman"/>
          <w:noProof/>
          <w:sz w:val="24"/>
          <w:lang w:val="en"/>
        </w:rPr>
        <w:t>ll underpinned primarily reform 5 targeted at mergers of universities’ excellence potential. The investments may be channeled through two different schemes. The first one that support projects for the development of research, education and accommodation in</w:t>
      </w:r>
      <w:r>
        <w:rPr>
          <w:rFonts w:ascii="Times New Roman" w:hAnsi="Times New Roman"/>
          <w:noProof/>
          <w:sz w:val="24"/>
          <w:lang w:val="en"/>
        </w:rPr>
        <w:t xml:space="preserve">frastructure with high added value for excellent research such as: upgrading existing or new spaces for the concentration of excellent research and doctoral studies, including foreign researchers, upgrading existing or new spaces for practical teaching in </w:t>
      </w:r>
      <w:r>
        <w:rPr>
          <w:rFonts w:ascii="Times New Roman" w:hAnsi="Times New Roman"/>
          <w:noProof/>
          <w:sz w:val="24"/>
          <w:lang w:val="en"/>
        </w:rPr>
        <w:t>professional bachelor courses, removing the barriers and digitization. The second scheme shall support project management based on the approved roadmap. The scope of investments shall be determined in the plan linked to the process of bringing together uni</w:t>
      </w:r>
      <w:r>
        <w:rPr>
          <w:rFonts w:ascii="Times New Roman" w:hAnsi="Times New Roman"/>
          <w:noProof/>
          <w:sz w:val="24"/>
          <w:lang w:val="en"/>
        </w:rPr>
        <w:t xml:space="preserve">versity units. </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The implementation of the investment shall be completed by 30 June 2026.</w:t>
      </w:r>
    </w:p>
    <w:p w:rsidR="00BF6749" w:rsidRDefault="00BF6749">
      <w:pPr>
        <w:spacing w:before="120" w:after="120" w:line="240" w:lineRule="auto"/>
        <w:jc w:val="both"/>
        <w:rPr>
          <w:rFonts w:ascii="Times New Roman" w:hAnsi="Times New Roman"/>
          <w:noProof/>
          <w:sz w:val="24"/>
          <w:lang w:val="en"/>
        </w:rPr>
      </w:pPr>
    </w:p>
    <w:p w:rsidR="00BF6749" w:rsidRDefault="00BF6749">
      <w:pPr>
        <w:spacing w:before="120" w:after="120" w:line="240" w:lineRule="auto"/>
        <w:jc w:val="both"/>
        <w:rPr>
          <w:rFonts w:ascii="Times New Roman" w:hAnsi="Times New Roman"/>
          <w:noProof/>
          <w:sz w:val="24"/>
          <w:lang w:val="en"/>
        </w:rPr>
        <w:sectPr w:rsidR="00BF6749">
          <w:headerReference w:type="even" r:id="rId102"/>
          <w:headerReference w:type="default" r:id="rId103"/>
          <w:footerReference w:type="even" r:id="rId104"/>
          <w:footerReference w:type="default" r:id="rId105"/>
          <w:headerReference w:type="first" r:id="rId106"/>
          <w:footerReference w:type="first" r:id="rId107"/>
          <w:pgSz w:w="11907" w:h="16839"/>
          <w:pgMar w:top="1134" w:right="1418" w:bottom="1134" w:left="1418" w:header="709" w:footer="709" w:gutter="0"/>
          <w:cols w:space="720"/>
          <w:docGrid w:linePitch="360"/>
        </w:sectPr>
      </w:pPr>
    </w:p>
    <w:p w:rsidR="00BF6749" w:rsidRDefault="00C87555">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Milestones, targets, indicators, and timetable for monitoring and implementation for non-repayable </w:t>
      </w:r>
      <w:r>
        <w:rPr>
          <w:rFonts w:ascii="Times New Roman" w:hAnsi="Times New Roman"/>
          <w:b/>
          <w:noProof/>
          <w:sz w:val="24"/>
          <w:u w:val="single"/>
        </w:rPr>
        <w:t>financial support</w:t>
      </w:r>
    </w:p>
    <w:p w:rsidR="00BF6749" w:rsidRDefault="00BF6749">
      <w:pPr>
        <w:spacing w:before="120" w:after="120" w:line="240" w:lineRule="auto"/>
        <w:jc w:val="both"/>
        <w:rPr>
          <w:rFonts w:ascii="Times New Roman" w:hAnsi="Times New Roman"/>
          <w:b/>
          <w:noProof/>
          <w:sz w:val="24"/>
          <w:szCs w:val="24"/>
          <w:u w:val="single"/>
        </w:rPr>
      </w:pPr>
    </w:p>
    <w:tbl>
      <w:tblPr>
        <w:tblW w:w="0" w:type="auto"/>
        <w:tblLayout w:type="fixed"/>
        <w:tblLook w:val="04A0" w:firstRow="1" w:lastRow="0" w:firstColumn="1" w:lastColumn="0" w:noHBand="0" w:noVBand="1"/>
      </w:tblPr>
      <w:tblGrid>
        <w:gridCol w:w="817"/>
        <w:gridCol w:w="1404"/>
        <w:gridCol w:w="777"/>
        <w:gridCol w:w="1458"/>
        <w:gridCol w:w="1267"/>
        <w:gridCol w:w="1331"/>
        <w:gridCol w:w="851"/>
        <w:gridCol w:w="708"/>
        <w:gridCol w:w="1134"/>
        <w:gridCol w:w="993"/>
        <w:gridCol w:w="3825"/>
      </w:tblGrid>
      <w:tr w:rsidR="00BF6749">
        <w:trPr>
          <w:trHeight w:val="900"/>
        </w:trPr>
        <w:tc>
          <w:tcPr>
            <w:tcW w:w="81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404"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Related measure (Reform or Investment)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77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458"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26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289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2127"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825"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Description and clear definition of </w:t>
            </w:r>
            <w:r>
              <w:rPr>
                <w:rFonts w:ascii="Times New Roman" w:eastAsia="Times New Roman" w:hAnsi="Times New Roman"/>
                <w:b/>
                <w:bCs/>
                <w:noProof/>
                <w:sz w:val="20"/>
                <w:szCs w:val="20"/>
              </w:rPr>
              <w:t>each milestone and target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r>
      <w:tr w:rsidR="00BF6749">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404"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77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458"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26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unit of measure</w:t>
            </w:r>
          </w:p>
        </w:tc>
        <w:tc>
          <w:tcPr>
            <w:tcW w:w="851"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Baseline</w:t>
            </w:r>
          </w:p>
        </w:tc>
        <w:tc>
          <w:tcPr>
            <w:tcW w:w="708"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Goal </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993" w:type="dxa"/>
            <w:tcBorders>
              <w:top w:val="nil"/>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3825"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r>
      <w:tr w:rsidR="00BF6749">
        <w:trPr>
          <w:trHeight w:val="8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 – Increase in the performance of Slovak higher education institutions – Reform 1:Change in funding for universities, including the introduction of performance contracts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Introduction of performance contracts</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Conclusion of the overarchi</w:t>
            </w:r>
            <w:r>
              <w:rPr>
                <w:rFonts w:ascii="Times New Roman" w:hAnsi="Times New Roman"/>
                <w:noProof/>
                <w:color w:val="006100"/>
                <w:sz w:val="20"/>
                <w:szCs w:val="20"/>
              </w:rPr>
              <w:t>ng agreement of the Ministry of Education, Science, Research and Sport of the Slovak Republic (MŠVVaŠ SR) with universities</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Performance contracts shall support the profiling and diversification of universities based on their strengths, their </w:t>
            </w:r>
            <w:r>
              <w:rPr>
                <w:rFonts w:ascii="Times New Roman" w:hAnsi="Times New Roman"/>
                <w:noProof/>
                <w:color w:val="006100"/>
                <w:sz w:val="20"/>
                <w:szCs w:val="20"/>
              </w:rPr>
              <w:t xml:space="preserve">potential for development, the reduction in the number of curricula, as well as the concentration of resources. Among other things, the aim is to increase the share of professionally oriented bachelor’s programmes of public higher education from 4 % to 10 </w:t>
            </w:r>
            <w:r>
              <w:rPr>
                <w:rFonts w:ascii="Times New Roman" w:hAnsi="Times New Roman"/>
                <w:noProof/>
                <w:color w:val="006100"/>
                <w:sz w:val="20"/>
                <w:szCs w:val="20"/>
              </w:rPr>
              <w:t>% to Q4 2024</w:t>
            </w:r>
          </w:p>
        </w:tc>
      </w:tr>
      <w:tr w:rsidR="00BF6749">
        <w:trPr>
          <w:trHeight w:val="123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 – Increase in the performance of Slovak higher education institutions – Reform 1:Change in funding for universities, including the introduction of performance contracts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Performance contracts signed with public universities (in percentage) </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N/a</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90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At least 90% of performance contracts signed. </w:t>
            </w:r>
          </w:p>
        </w:tc>
      </w:tr>
      <w:tr w:rsidR="00BF6749">
        <w:trPr>
          <w:trHeight w:val="14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3</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8 – Increase in the performance of Slovak higher education institutions – Reform 2:Introduction of a system of </w:t>
            </w:r>
            <w:r>
              <w:rPr>
                <w:rFonts w:ascii="Times New Roman" w:hAnsi="Times New Roman"/>
                <w:noProof/>
                <w:color w:val="006100"/>
                <w:sz w:val="20"/>
                <w:szCs w:val="20"/>
              </w:rPr>
              <w:t>periodic scientific performance evaluation</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Definition of the system of periodic evaluation of scientific performance introduced in the Law No 172/2005</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Law No 172/2005</w:t>
            </w:r>
            <w:r>
              <w:rPr>
                <w:rFonts w:ascii="Times New Roman" w:eastAsia="Times New Roman" w:hAnsi="Times New Roman"/>
                <w:noProof/>
                <w:sz w:val="20"/>
                <w:szCs w:val="20"/>
              </w:rPr>
              <w:t xml:space="preserve"> </w:t>
            </w:r>
            <w:r>
              <w:rPr>
                <w:rFonts w:ascii="Times New Roman" w:hAnsi="Times New Roman"/>
                <w:noProof/>
                <w:color w:val="006100"/>
                <w:sz w:val="20"/>
                <w:szCs w:val="20"/>
              </w:rPr>
              <w:t>for the evaluation of scientific performance and method</w:t>
            </w:r>
            <w:r>
              <w:rPr>
                <w:rFonts w:ascii="Times New Roman" w:hAnsi="Times New Roman"/>
                <w:noProof/>
                <w:color w:val="006100"/>
                <w:sz w:val="20"/>
                <w:szCs w:val="20"/>
              </w:rPr>
              <w:t>ology for periodic scientific performance evaluation</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 system of periodic evaluation of the scientific performance of universities, with the participation of international evaluators, shall be set up to ensure the diversification of universit</w:t>
            </w:r>
            <w:r>
              <w:rPr>
                <w:rFonts w:ascii="Times New Roman" w:hAnsi="Times New Roman"/>
                <w:noProof/>
                <w:color w:val="006100"/>
                <w:sz w:val="20"/>
                <w:szCs w:val="20"/>
              </w:rPr>
              <w:t xml:space="preserve">ies with regard to the quality of their scientific performance in individual fields and the identification of excellent research teams in individual universities. </w:t>
            </w:r>
          </w:p>
          <w:p w:rsidR="00BF6749" w:rsidRDefault="00C87555">
            <w:pPr>
              <w:rPr>
                <w:rFonts w:ascii="Times New Roman" w:hAnsi="Times New Roman"/>
                <w:noProof/>
                <w:sz w:val="20"/>
                <w:szCs w:val="20"/>
              </w:rPr>
            </w:pPr>
            <w:r>
              <w:rPr>
                <w:rFonts w:ascii="Times New Roman" w:hAnsi="Times New Roman"/>
                <w:noProof/>
                <w:color w:val="006100"/>
                <w:sz w:val="20"/>
                <w:szCs w:val="20"/>
              </w:rPr>
              <w:t>The evaluation shall thus be one-size-fits-all for universities, but also for other research</w:t>
            </w:r>
            <w:r>
              <w:rPr>
                <w:rFonts w:ascii="Times New Roman" w:hAnsi="Times New Roman"/>
                <w:noProof/>
                <w:color w:val="006100"/>
                <w:sz w:val="20"/>
                <w:szCs w:val="20"/>
              </w:rPr>
              <w:t xml:space="preserve"> institutions (SAV, other non-business and private research institutions).</w:t>
            </w:r>
          </w:p>
        </w:tc>
      </w:tr>
      <w:tr w:rsidR="00BF6749">
        <w:trPr>
          <w:trHeight w:val="5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4</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 – Increase in the performance of Slovak higher education institutions – Reform 2:Introduction of a system of periodic scientific performance evaluation</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Target</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Number of  Performed evaluations </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Number</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20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target refers to the all public universities. </w:t>
            </w:r>
          </w:p>
        </w:tc>
      </w:tr>
      <w:tr w:rsidR="00BF6749">
        <w:trPr>
          <w:trHeight w:val="9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5</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 – Increase in the performance of Slovak higher education institutions – Reform 3:A new approach to accreditation of higher education</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Percentage of universities apply to check the compliance of internal quality systems and study programmes with standards</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90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At least 90% of universities have applied for a verification of the compliance of their internal quality systems and s</w:t>
            </w:r>
            <w:r>
              <w:rPr>
                <w:rFonts w:ascii="Times New Roman" w:hAnsi="Times New Roman"/>
                <w:noProof/>
                <w:color w:val="006100"/>
                <w:sz w:val="20"/>
                <w:szCs w:val="20"/>
              </w:rPr>
              <w:t xml:space="preserve">tudy programmes with new accreditation standards.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new accreditation standards shall tighten standards and conditions for the guarantee and delivery of study programmes. Five academics with high-quality scientific outputs are needed for accreditation, </w:t>
            </w:r>
            <w:r>
              <w:rPr>
                <w:rFonts w:ascii="Times New Roman" w:hAnsi="Times New Roman"/>
                <w:noProof/>
                <w:color w:val="006100"/>
                <w:sz w:val="20"/>
                <w:szCs w:val="20"/>
              </w:rPr>
              <w:t xml:space="preserve">as well as the implementation of a student-centred quality education system.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Foreign assessors shall also be routinely involved in assessing compliance with accreditation standards for quality of education. Stricter rules shall lead to a reduction in the </w:t>
            </w:r>
            <w:r>
              <w:rPr>
                <w:rFonts w:ascii="Times New Roman" w:hAnsi="Times New Roman"/>
                <w:noProof/>
                <w:color w:val="006100"/>
                <w:sz w:val="20"/>
                <w:szCs w:val="20"/>
              </w:rPr>
              <w:t>number of study programmes, greater diversification and profiling and greater student orientation, as universities shall concentrate on programmes where they may deliver the highest quality of education.</w:t>
            </w:r>
          </w:p>
        </w:tc>
      </w:tr>
      <w:tr w:rsidR="00BF6749">
        <w:trPr>
          <w:trHeight w:val="17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6</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8 – Increase in the performance of Slovak higher </w:t>
            </w:r>
            <w:r>
              <w:rPr>
                <w:rFonts w:ascii="Times New Roman" w:hAnsi="Times New Roman"/>
                <w:noProof/>
                <w:color w:val="006100"/>
                <w:sz w:val="20"/>
                <w:szCs w:val="20"/>
              </w:rPr>
              <w:t>education institutions – Reform 4:Reform of the management of universities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reform of the management system of higher education institutions</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Entry into force of the amendment to Act No 131/2002 on higher education,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2021</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amendment</w:t>
            </w:r>
            <w:r>
              <w:rPr>
                <w:rFonts w:ascii="Times New Roman" w:hAnsi="Times New Roman"/>
                <w:noProof/>
                <w:color w:val="006100"/>
                <w:sz w:val="20"/>
                <w:szCs w:val="20"/>
              </w:rPr>
              <w:t xml:space="preserve"> to Act No 131/2002 on higher education shall reform the management system of universities. The amendment to the Law on Higher Education shall strengthen the competences of the Rector and the Board of Directors, the composition of which shall be reformed, </w:t>
            </w:r>
            <w:r>
              <w:rPr>
                <w:rFonts w:ascii="Times New Roman" w:hAnsi="Times New Roman"/>
                <w:noProof/>
                <w:color w:val="006100"/>
                <w:sz w:val="20"/>
                <w:szCs w:val="20"/>
              </w:rPr>
              <w:t xml:space="preserve">the method of electing the rector shall be changed, the mechanism of functional posts shall be opened up and the requirements for the internal organisation of academia shall be simplified, ensuring school autonomy and freedom of science.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The strengtheni</w:t>
            </w:r>
            <w:r>
              <w:rPr>
                <w:rFonts w:ascii="Times New Roman" w:hAnsi="Times New Roman"/>
                <w:noProof/>
                <w:color w:val="006100"/>
                <w:sz w:val="20"/>
                <w:szCs w:val="20"/>
              </w:rPr>
              <w:t>ng of the competences of the Board of Directors shall address issues of strategic governance of the University, while the participation of State representatives shall be limited in such a way that the central government shall not be able to take control of</w:t>
            </w:r>
            <w:r>
              <w:rPr>
                <w:rFonts w:ascii="Times New Roman" w:hAnsi="Times New Roman"/>
                <w:noProof/>
                <w:color w:val="006100"/>
                <w:sz w:val="20"/>
                <w:szCs w:val="20"/>
              </w:rPr>
              <w:t xml:space="preserve"> the Board of Directors. Academic freedom shall in no way be affected.</w:t>
            </w:r>
          </w:p>
        </w:tc>
      </w:tr>
      <w:tr w:rsidR="00BF6749">
        <w:trPr>
          <w:trHeight w:val="7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7</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 – Increase in the performance of Slovak higher education institutions – Reform 5:Concentration of excellent educational and research capacities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Start</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bringing together </w:t>
            </w:r>
            <w:r>
              <w:rPr>
                <w:rFonts w:ascii="Times New Roman" w:hAnsi="Times New Roman"/>
                <w:noProof/>
                <w:color w:val="006100"/>
                <w:sz w:val="20"/>
                <w:szCs w:val="20"/>
              </w:rPr>
              <w:t>of universities into larger units</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An approved by the Ministry of Education, Science, Research and Sport of the Slovak Republic (MŠVVaŠ SR) bundling road map for at least 2 university units.</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2021</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highlight w:val="yellow"/>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An approved bundling road map for at least 2 </w:t>
            </w:r>
            <w:r>
              <w:rPr>
                <w:rFonts w:ascii="Times New Roman" w:hAnsi="Times New Roman"/>
                <w:noProof/>
                <w:color w:val="006100"/>
                <w:sz w:val="20"/>
                <w:szCs w:val="20"/>
              </w:rPr>
              <w:t>university units. The Road Map shall develop the timetable and the various steps leading to the linkage of higher education institutions.</w:t>
            </w:r>
            <w:r>
              <w:rPr>
                <w:rFonts w:ascii="Times New Roman" w:eastAsia="Times New Roman" w:hAnsi="Times New Roman"/>
                <w:noProof/>
                <w:sz w:val="20"/>
                <w:szCs w:val="20"/>
              </w:rPr>
              <w:t xml:space="preserve"> </w:t>
            </w:r>
            <w:r>
              <w:rPr>
                <w:rFonts w:ascii="Times New Roman" w:hAnsi="Times New Roman"/>
                <w:noProof/>
                <w:color w:val="006100"/>
                <w:sz w:val="20"/>
                <w:szCs w:val="20"/>
              </w:rPr>
              <w:t xml:space="preserve">The blending process itself shall be supported by investments from the Recovery Fund Facility, as well as performance </w:t>
            </w:r>
            <w:r>
              <w:rPr>
                <w:rFonts w:ascii="Times New Roman" w:hAnsi="Times New Roman"/>
                <w:noProof/>
                <w:color w:val="006100"/>
                <w:sz w:val="20"/>
                <w:szCs w:val="20"/>
              </w:rPr>
              <w:t>contracts due to direct transaction costs (such us the unification of IT systems), also to build new infrastructure capacities (such as removing duplications and unifying the sites concerned shall not simply be able to relocate workplaces and new capacitie</w:t>
            </w:r>
            <w:r>
              <w:rPr>
                <w:rFonts w:ascii="Times New Roman" w:hAnsi="Times New Roman"/>
                <w:noProof/>
                <w:color w:val="006100"/>
                <w:sz w:val="20"/>
                <w:szCs w:val="20"/>
              </w:rPr>
              <w:t>s shall need to be built).</w:t>
            </w:r>
          </w:p>
        </w:tc>
      </w:tr>
      <w:tr w:rsidR="00BF6749">
        <w:trPr>
          <w:trHeight w:val="118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8</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 – Increase in the performance of Slovak higher education institutions – Reform 5:Concentration of excellent educational and research capacities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The completion of the process of merging research units</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Formal connection process completed for at least 2 units of higher education. [COM: SK to provide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Formal connection process completed for at least 2 units of higher education confirmed by the new statute for joint universities. </w:t>
            </w:r>
          </w:p>
        </w:tc>
      </w:tr>
      <w:tr w:rsidR="00BF6749">
        <w:trPr>
          <w:trHeight w:val="17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9</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8 – </w:t>
            </w:r>
            <w:r>
              <w:rPr>
                <w:rFonts w:ascii="Times New Roman" w:hAnsi="Times New Roman"/>
                <w:noProof/>
                <w:color w:val="006100"/>
                <w:sz w:val="20"/>
                <w:szCs w:val="20"/>
              </w:rPr>
              <w:t>Increase in the performance of Slovak higher education institutions –Investment1: support for the strategic development of universities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at least 2 calls concluded for supporting  the strategic development of universities</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Award of the contract</w:t>
            </w:r>
            <w:r>
              <w:rPr>
                <w:rFonts w:ascii="Times New Roman" w:hAnsi="Times New Roman"/>
                <w:noProof/>
                <w:color w:val="006100"/>
                <w:sz w:val="20"/>
                <w:szCs w:val="20"/>
              </w:rPr>
              <w:t xml:space="preserve">s following the calls </w:t>
            </w: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Q3</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 calls to support the strategic development of universities as described in the reform 5 shall provide :</w:t>
            </w:r>
          </w:p>
          <w:p w:rsidR="00BF6749" w:rsidRDefault="00C87555">
            <w:pPr>
              <w:rPr>
                <w:rFonts w:ascii="Times New Roman" w:hAnsi="Times New Roman"/>
                <w:noProof/>
                <w:sz w:val="20"/>
                <w:szCs w:val="20"/>
              </w:rPr>
            </w:pPr>
            <w:r>
              <w:rPr>
                <w:rFonts w:ascii="Times New Roman" w:hAnsi="Times New Roman"/>
                <w:noProof/>
                <w:color w:val="006100"/>
                <w:sz w:val="20"/>
                <w:szCs w:val="20"/>
              </w:rPr>
              <w:t>a) The sub-programme for university development shall support infrastructure projects for the development of rese</w:t>
            </w:r>
            <w:r>
              <w:rPr>
                <w:rFonts w:ascii="Times New Roman" w:hAnsi="Times New Roman"/>
                <w:noProof/>
                <w:color w:val="006100"/>
                <w:sz w:val="20"/>
                <w:szCs w:val="20"/>
              </w:rPr>
              <w:t>arch, education and accommodation infrastructure with high added value for excellent research and internationalisation: for example, upgrading existing or new spaces for the concentration of excellent research and doctoral studies, including foreign resear</w:t>
            </w:r>
            <w:r>
              <w:rPr>
                <w:rFonts w:ascii="Times New Roman" w:hAnsi="Times New Roman"/>
                <w:noProof/>
                <w:color w:val="006100"/>
                <w:sz w:val="20"/>
                <w:szCs w:val="20"/>
              </w:rPr>
              <w:t>chers, upgrading existing or new spaces for practical teaching in professional bachelor courses, upgrading existing or new premises for indoor facilities, debarrierisation and modern digitisation of buildings</w:t>
            </w:r>
          </w:p>
          <w:p w:rsidR="00BF6749" w:rsidRDefault="00C87555">
            <w:pPr>
              <w:rPr>
                <w:rFonts w:ascii="Times New Roman" w:hAnsi="Times New Roman"/>
                <w:noProof/>
                <w:sz w:val="20"/>
                <w:szCs w:val="20"/>
              </w:rPr>
            </w:pPr>
            <w:r>
              <w:rPr>
                <w:rFonts w:ascii="Times New Roman" w:hAnsi="Times New Roman"/>
                <w:noProof/>
                <w:color w:val="006100"/>
                <w:sz w:val="20"/>
                <w:szCs w:val="20"/>
              </w:rPr>
              <w:t>b) The programme for university development sha</w:t>
            </w:r>
            <w:r>
              <w:rPr>
                <w:rFonts w:ascii="Times New Roman" w:hAnsi="Times New Roman"/>
                <w:noProof/>
                <w:color w:val="006100"/>
                <w:sz w:val="20"/>
                <w:szCs w:val="20"/>
              </w:rPr>
              <w:t>ll support project management and induced investment by bringing together universities. Once the Roadmap has been approved, and depending on its feasibility and ambition, as well as justifying the necessary investments and ensuring their continued sustaina</w:t>
            </w:r>
            <w:r>
              <w:rPr>
                <w:rFonts w:ascii="Times New Roman" w:hAnsi="Times New Roman"/>
                <w:noProof/>
                <w:color w:val="006100"/>
                <w:sz w:val="20"/>
                <w:szCs w:val="20"/>
              </w:rPr>
              <w:t>bility, it shall include an investment plan linked to the process of bringing together university units.</w:t>
            </w:r>
          </w:p>
        </w:tc>
      </w:tr>
      <w:tr w:rsidR="00BF6749">
        <w:trPr>
          <w:trHeight w:val="18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10</w:t>
            </w:r>
          </w:p>
        </w:tc>
        <w:tc>
          <w:tcPr>
            <w:tcW w:w="140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 – Increase in the performance of Slovak higher education institutions – Investment1: support for the strategic development of universities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45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reconstructed university area and dormitory  with primary energy savings of more than 30 % (in m2)</w:t>
            </w:r>
          </w:p>
        </w:tc>
        <w:tc>
          <w:tcPr>
            <w:tcW w:w="126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33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262647</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993"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82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objective is 291830m2 but at least 262647 m2 university area shall be reconstructed including dormitories in universities, with</w:t>
            </w:r>
            <w:r>
              <w:rPr>
                <w:rFonts w:ascii="Times New Roman" w:hAnsi="Times New Roman"/>
                <w:noProof/>
                <w:color w:val="006100"/>
                <w:sz w:val="20"/>
                <w:szCs w:val="20"/>
              </w:rPr>
              <w:t xml:space="preserve"> primary energy savings of more than 30 % to be monitored by energy saving certificates.</w:t>
            </w:r>
          </w:p>
        </w:tc>
      </w:tr>
    </w:tbl>
    <w:p w:rsidR="00BF6749" w:rsidRDefault="00BF6749">
      <w:pPr>
        <w:spacing w:after="0" w:line="240" w:lineRule="auto"/>
        <w:jc w:val="both"/>
        <w:rPr>
          <w:rFonts w:eastAsia="Times New Roman" w:cs="Calibri"/>
          <w:noProof/>
          <w:color w:val="006100"/>
          <w:sz w:val="15"/>
          <w:szCs w:val="15"/>
          <w:lang w:val="en-US"/>
        </w:rPr>
      </w:pPr>
    </w:p>
    <w:p w:rsidR="00BF6749" w:rsidRDefault="00BF6749">
      <w:pPr>
        <w:spacing w:after="0" w:line="240" w:lineRule="auto"/>
        <w:jc w:val="both"/>
        <w:rPr>
          <w:rFonts w:eastAsia="Times New Roman" w:cs="Calibri"/>
          <w:noProof/>
          <w:color w:val="006100"/>
          <w:sz w:val="15"/>
          <w:szCs w:val="15"/>
          <w:lang w:val="en-US"/>
        </w:rPr>
        <w:sectPr w:rsidR="00BF6749">
          <w:headerReference w:type="even" r:id="rId108"/>
          <w:headerReference w:type="default" r:id="rId109"/>
          <w:footerReference w:type="even" r:id="rId110"/>
          <w:footerReference w:type="default" r:id="rId111"/>
          <w:headerReference w:type="first" r:id="rId112"/>
          <w:footerReference w:type="first" r:id="rId113"/>
          <w:pgSz w:w="16839" w:h="11907" w:orient="landscape"/>
          <w:pgMar w:top="1417" w:right="1134" w:bottom="1417" w:left="1134" w:header="709" w:footer="709" w:gutter="0"/>
          <w:cols w:space="720"/>
          <w:docGrid w:linePitch="360"/>
        </w:sectPr>
      </w:pPr>
    </w:p>
    <w:p w:rsidR="00BF6749" w:rsidRDefault="00C87555">
      <w:pPr>
        <w:keepNext/>
        <w:tabs>
          <w:tab w:val="left" w:pos="156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 9: More efficient management and strengthening of R &amp; D &amp; I funding</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This component of the Slovak recovery and resilient plan addresses important structural bottlenecks in the Slovak research, development and innovation (RDI) ecosystem, such as fragmentation of the RDI governance, insufficient private-academia cooperation, </w:t>
      </w:r>
      <w:r>
        <w:rPr>
          <w:rFonts w:ascii="Times New Roman" w:eastAsia="Times New Roman" w:hAnsi="Times New Roman"/>
          <w:noProof/>
          <w:sz w:val="24"/>
          <w:szCs w:val="24"/>
        </w:rPr>
        <w:t xml:space="preserve">internationalisation and RDI funding. The longer term objective is to stimulate private participation in RDI through an increase in private RD expenditure.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component aims at strengthening RDI performance and innovation potential, which are a necessar</w:t>
      </w:r>
      <w:r>
        <w:rPr>
          <w:rFonts w:ascii="Times New Roman" w:eastAsia="Times New Roman" w:hAnsi="Times New Roman"/>
          <w:noProof/>
          <w:sz w:val="24"/>
          <w:szCs w:val="24"/>
        </w:rPr>
        <w:t>y prerequisite for competitive and sustainable economic growth. The proposed measures are focused on enhancing the RDI governance, overarching coordination, impact and effectiveness of RDI investment as well as fostering public-private cooperation and priv</w:t>
      </w:r>
      <w:r>
        <w:rPr>
          <w:rFonts w:ascii="Times New Roman" w:eastAsia="Times New Roman" w:hAnsi="Times New Roman"/>
          <w:noProof/>
          <w:sz w:val="24"/>
          <w:szCs w:val="24"/>
        </w:rPr>
        <w:t>ate investment. The measures support research excellence and internationalisation, as well as the attraction and retention of talent in science and innovation. The objective of investment schemes is to generate new RDI projects in key sector of the economy</w:t>
      </w:r>
      <w:r>
        <w:rPr>
          <w:rFonts w:ascii="Times New Roman" w:eastAsia="Times New Roman" w:hAnsi="Times New Roman"/>
          <w:noProof/>
          <w:sz w:val="24"/>
          <w:szCs w:val="24"/>
        </w:rPr>
        <w:t xml:space="preserve"> with transformative potential to support the creation of higher added value jobs and to stimulate the growth of the innovation ecosystem at the national and regional level. </w:t>
      </w:r>
    </w:p>
    <w:p w:rsidR="00BF6749" w:rsidRDefault="00C87555">
      <w:pPr>
        <w:spacing w:before="120" w:after="120" w:line="240" w:lineRule="auto"/>
        <w:jc w:val="both"/>
        <w:rPr>
          <w:rFonts w:ascii="Times New Roman" w:hAnsi="Times New Roman"/>
          <w:noProof/>
          <w:sz w:val="24"/>
          <w:szCs w:val="24"/>
          <w:lang w:val="en-IE"/>
        </w:rPr>
      </w:pPr>
      <w:r>
        <w:rPr>
          <w:rFonts w:ascii="Times New Roman" w:hAnsi="Times New Roman"/>
          <w:noProof/>
          <w:sz w:val="24"/>
          <w:szCs w:val="24"/>
          <w:lang w:val="en-IE"/>
        </w:rPr>
        <w:t>It is expected that no measure in this component does significant harm to environ</w:t>
      </w:r>
      <w:r>
        <w:rPr>
          <w:rFonts w:ascii="Times New Roman" w:hAnsi="Times New Roman"/>
          <w:noProof/>
          <w:sz w:val="24"/>
          <w:szCs w:val="24"/>
          <w:lang w:val="en-IE"/>
        </w:rPr>
        <w:t>mental objectives within the meaning of Article 17 of Regulation (EU) 2020/852, taking into account the description of the measures and the mitigating steps set out in the recovery and resilience plan in accordance with the DNSH Technical Guidance (2021/C5</w:t>
      </w:r>
      <w:r>
        <w:rPr>
          <w:rFonts w:ascii="Times New Roman" w:hAnsi="Times New Roman"/>
          <w:noProof/>
          <w:sz w:val="24"/>
          <w:szCs w:val="24"/>
          <w:lang w:val="en-IE"/>
        </w:rPr>
        <w:t xml:space="preserve">8/01).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component is composed of 2 reforms and 7 investments, which are closely interlinked. The RDI reforms are designed to be a prerequisite for efficient and effective absorption of investment.</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All investment schemes shall comply with DNSH principl</w:t>
      </w:r>
      <w:r>
        <w:rPr>
          <w:rFonts w:ascii="Times New Roman" w:eastAsia="Times New Roman" w:hAnsi="Times New Roman"/>
          <w:noProof/>
          <w:sz w:val="24"/>
          <w:szCs w:val="24"/>
        </w:rPr>
        <w:t>es requiring technology neutral investment at the level of applications and excluding potentially damaging areas such as fossil fuels, including downstream use. Launch of all competitive calls for proposals shall include eligibility criteria that ensure th</w:t>
      </w:r>
      <w:r>
        <w:rPr>
          <w:rFonts w:ascii="Times New Roman" w:eastAsia="Times New Roman" w:hAnsi="Times New Roman"/>
          <w:noProof/>
          <w:sz w:val="24"/>
          <w:szCs w:val="24"/>
        </w:rPr>
        <w:t xml:space="preserve">at selected projects comply with the DNSH principles through the use of an exclusion list and the requirement of compliance with the relevant EU and national environmental legislation.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color w:val="000000"/>
          <w:sz w:val="24"/>
          <w:szCs w:val="24"/>
          <w:lang w:val="en-IE"/>
        </w:rPr>
        <w:t>The investments and reforms shall contribute to the Country Specific R</w:t>
      </w:r>
      <w:r>
        <w:rPr>
          <w:rFonts w:ascii="Times New Roman" w:eastAsia="Times New Roman" w:hAnsi="Times New Roman"/>
          <w:noProof/>
          <w:color w:val="000000"/>
          <w:sz w:val="24"/>
          <w:szCs w:val="24"/>
          <w:lang w:val="en-IE"/>
        </w:rPr>
        <w:t>ecommendations addressed to Slovakia in the past two years, on the need to “focus investment-related policy on research and innovation” (Country Specific Recommendations 2/2019), to “focus investment on the green and digital transition” (Country Specific R</w:t>
      </w:r>
      <w:r>
        <w:rPr>
          <w:rFonts w:ascii="Times New Roman" w:eastAsia="Times New Roman" w:hAnsi="Times New Roman"/>
          <w:noProof/>
          <w:color w:val="000000"/>
          <w:sz w:val="24"/>
          <w:szCs w:val="24"/>
          <w:lang w:val="en-IE"/>
        </w:rPr>
        <w:t>ecommendation3/2020) and to “enhance coordination and policy making” (Country Specific Recommendations 4/2020).</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color w:val="000000"/>
          <w:sz w:val="24"/>
          <w:szCs w:val="24"/>
        </w:rPr>
        <w:t xml:space="preserve"> </w:t>
      </w:r>
      <w:r>
        <w:rPr>
          <w:rFonts w:ascii="Times New Roman" w:eastAsia="Times New Roman" w:hAnsi="Times New Roman"/>
          <w:b/>
          <w:noProof/>
          <w:sz w:val="24"/>
          <w:szCs w:val="24"/>
          <w:u w:val="single"/>
        </w:rPr>
        <w:t xml:space="preserve">A.1. </w:t>
      </w:r>
      <w:r>
        <w:rPr>
          <w:rFonts w:ascii="Times New Roman" w:hAnsi="Times New Roman"/>
          <w:noProof/>
          <w:sz w:val="24"/>
          <w:szCs w:val="24"/>
        </w:rPr>
        <w:tab/>
      </w:r>
      <w:r>
        <w:rPr>
          <w:rFonts w:ascii="Times New Roman" w:eastAsia="Times New Roman" w:hAnsi="Times New Roman"/>
          <w:b/>
          <w:noProof/>
          <w:sz w:val="24"/>
          <w:szCs w:val="24"/>
          <w:u w:val="single"/>
        </w:rPr>
        <w:t>Description of the reforms and investments for non-repayable financial support</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 xml:space="preserve">Reform 1: Reform of governance, evaluation and support in </w:t>
      </w:r>
      <w:r>
        <w:rPr>
          <w:rFonts w:ascii="Times New Roman" w:eastAsia="Times New Roman" w:hAnsi="Times New Roman"/>
          <w:b/>
          <w:noProof/>
          <w:sz w:val="24"/>
          <w:szCs w:val="24"/>
        </w:rPr>
        <w:t>science, research and innovation.</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reform focuses on the amendment of the RDI relevant legislation, which shall enhance the RDI governance structure, strengthen and professionalise inter-ministerial coordination of RDI policies. The new governance struc</w:t>
      </w:r>
      <w:r>
        <w:rPr>
          <w:rFonts w:ascii="Times New Roman" w:eastAsia="Times New Roman" w:hAnsi="Times New Roman"/>
          <w:noProof/>
          <w:sz w:val="24"/>
          <w:szCs w:val="24"/>
        </w:rPr>
        <w:t>ture shall be made up of the Slovak Government, the Government Council for Science, Technology and Innovation and the Secretariat created under the Government Office. The reform shall be based on 5 pillars: i) strong over-government strategy and coordinati</w:t>
      </w:r>
      <w:r>
        <w:rPr>
          <w:rFonts w:ascii="Times New Roman" w:eastAsia="Times New Roman" w:hAnsi="Times New Roman"/>
          <w:noProof/>
          <w:sz w:val="24"/>
          <w:szCs w:val="24"/>
        </w:rPr>
        <w:t>on, ii) effective cross-cutting standards for support instruments, iii) consolidation of grant agencies and building up their expertise, iv) application of principles of good governance and efficiency and v) unified system of institutional assessment and i</w:t>
      </w:r>
      <w:r>
        <w:rPr>
          <w:rFonts w:ascii="Times New Roman" w:eastAsia="Times New Roman" w:hAnsi="Times New Roman"/>
          <w:noProof/>
          <w:sz w:val="24"/>
          <w:szCs w:val="24"/>
        </w:rPr>
        <w:t>nstitutional RDI funding. The revision of the legislation (Act No 172/2005) shall be proposed by the Ministry of Education, Science, Research and Sport and shall enter into force by 31 March 2022. The reform includes the adoption of a new National Strategy</w:t>
      </w:r>
      <w:r>
        <w:rPr>
          <w:rFonts w:ascii="Times New Roman" w:eastAsia="Times New Roman" w:hAnsi="Times New Roman"/>
          <w:noProof/>
          <w:sz w:val="24"/>
          <w:szCs w:val="24"/>
        </w:rPr>
        <w:t xml:space="preserve"> for RDI to provide a strategic policy direction, objectives and tools to apply to all types of public support, including national and EU funds in a consistent and complementary way. The government shall adopt the Strategy by 30 September 2022. In order to</w:t>
      </w:r>
      <w:r>
        <w:rPr>
          <w:rFonts w:ascii="Times New Roman" w:eastAsia="Times New Roman" w:hAnsi="Times New Roman"/>
          <w:noProof/>
          <w:sz w:val="24"/>
          <w:szCs w:val="24"/>
        </w:rPr>
        <w:t xml:space="preserve"> minimise inefficiencies, the principles of good governance and efficient funding shall be translated into a methodology to apply ex-ante into RDI investments. The new RDI strategy and measures shall take into account the revised Smart Specialisation Strat</w:t>
      </w:r>
      <w:r>
        <w:rPr>
          <w:rFonts w:ascii="Times New Roman" w:eastAsia="Times New Roman" w:hAnsi="Times New Roman"/>
          <w:noProof/>
          <w:sz w:val="24"/>
          <w:szCs w:val="24"/>
        </w:rPr>
        <w:t xml:space="preserve">egy to foster thematic concentration as well as recommendations of recent studies such as OECD to improve RDI investment implementation and “lessons learnt” from the Cohesion policy programming periods. The evaluation process shall be reformed to increase </w:t>
      </w:r>
      <w:r>
        <w:rPr>
          <w:rFonts w:ascii="Times New Roman" w:eastAsia="Times New Roman" w:hAnsi="Times New Roman"/>
          <w:noProof/>
          <w:sz w:val="24"/>
          <w:szCs w:val="24"/>
        </w:rPr>
        <w:t>the use of panel and foreign evaluators and administrative processes shall be streamlined.</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 The implementation of the reform shall be completed by 30 September 2022.</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b/>
          <w:noProof/>
          <w:sz w:val="24"/>
          <w:szCs w:val="24"/>
        </w:rPr>
        <w:t xml:space="preserve">Reform 2: Reform of the organisation and funding of research institutions, in particular </w:t>
      </w:r>
      <w:r>
        <w:rPr>
          <w:rFonts w:ascii="Times New Roman" w:eastAsia="Times New Roman" w:hAnsi="Times New Roman"/>
          <w:b/>
          <w:noProof/>
          <w:sz w:val="24"/>
          <w:szCs w:val="24"/>
        </w:rPr>
        <w:t xml:space="preserve">the Slovak Academy of Science.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reform aims at completing the transformation of the Slovak Academy of Science (SAS) into a public organisation to enable stimulating multi-source funding and cooperation with the private sector. The reform shall be enab</w:t>
      </w:r>
      <w:r>
        <w:rPr>
          <w:rFonts w:ascii="Times New Roman" w:eastAsia="Times New Roman" w:hAnsi="Times New Roman"/>
          <w:noProof/>
          <w:sz w:val="24"/>
          <w:szCs w:val="24"/>
        </w:rPr>
        <w:t>led by a revision of the two legislative acts (Act No 133/2002 on SAS and Act No 243/2017 on the public research institutions) proposed by the Ministry of Education, Science, Research and Sport. It shall allow the SAS entering into business and property re</w:t>
      </w:r>
      <w:r>
        <w:rPr>
          <w:rFonts w:ascii="Times New Roman" w:eastAsia="Times New Roman" w:hAnsi="Times New Roman"/>
          <w:noProof/>
          <w:sz w:val="24"/>
          <w:szCs w:val="24"/>
        </w:rPr>
        <w:t xml:space="preserve">lations related to RDI with full protection of intellectual property rights and financial gains.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implementation of the reform shall be completed by 31 December 2021.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Investment 1: Promoting international cooperation and participation in Horizon Europ</w:t>
      </w:r>
      <w:r>
        <w:rPr>
          <w:rFonts w:ascii="Times New Roman" w:eastAsia="Times New Roman" w:hAnsi="Times New Roman"/>
          <w:b/>
          <w:noProof/>
          <w:sz w:val="24"/>
          <w:szCs w:val="24"/>
        </w:rPr>
        <w:t xml:space="preserve">e and EIT projects.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Participation in international cooperation, such as EU RI framework programmes is very low and Slovakia is currently on the 24</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place in the EU regarding EU funding received from Horizon 2020. The objective of the investment is to ena</w:t>
      </w:r>
      <w:r>
        <w:rPr>
          <w:rFonts w:ascii="Times New Roman" w:eastAsia="Times New Roman" w:hAnsi="Times New Roman"/>
          <w:noProof/>
          <w:sz w:val="24"/>
          <w:szCs w:val="24"/>
        </w:rPr>
        <w:t xml:space="preserve">ble greater participation of Slovak institutions, researchers and companies in cutting-edge projects of the European Research Area (ERA). At least three calls for projects shall be launched for the following schemes: </w:t>
      </w:r>
    </w:p>
    <w:p w:rsidR="00BF6749" w:rsidRDefault="00C87555">
      <w:pPr>
        <w:numPr>
          <w:ilvl w:val="0"/>
          <w:numId w:val="44"/>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Projects awarded by the “Seal of Excel</w:t>
      </w:r>
      <w:r>
        <w:rPr>
          <w:rFonts w:ascii="Times New Roman" w:eastAsia="Times New Roman" w:hAnsi="Times New Roman"/>
          <w:noProof/>
          <w:sz w:val="24"/>
          <w:szCs w:val="24"/>
          <w:lang w:val="en-US"/>
        </w:rPr>
        <w:t xml:space="preserve">lence”/threshold projects (such as Marie Sklodowska-Curie Actions Postdoctoral Fellowships, Teaming, European Research Council scheme with evaluation A in the second round). </w:t>
      </w:r>
    </w:p>
    <w:p w:rsidR="00BF6749" w:rsidRDefault="00C87555">
      <w:pPr>
        <w:numPr>
          <w:ilvl w:val="0"/>
          <w:numId w:val="44"/>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Projects participating in the European Innovation Council scheme with the “Seal of Excellence” award from the Bratislava region. </w:t>
      </w:r>
    </w:p>
    <w:p w:rsidR="00BF6749" w:rsidRDefault="00C87555">
      <w:pPr>
        <w:numPr>
          <w:ilvl w:val="0"/>
          <w:numId w:val="44"/>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“Matching grants to research institutions or companies to resources generated under Horizon 2020/Horizon Europe. </w:t>
      </w:r>
    </w:p>
    <w:p w:rsidR="00BF6749" w:rsidRDefault="00C87555">
      <w:pPr>
        <w:numPr>
          <w:ilvl w:val="0"/>
          <w:numId w:val="44"/>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Grant suppor</w:t>
      </w:r>
      <w:r>
        <w:rPr>
          <w:rFonts w:ascii="Times New Roman" w:eastAsia="Times New Roman" w:hAnsi="Times New Roman"/>
          <w:noProof/>
          <w:sz w:val="24"/>
          <w:szCs w:val="24"/>
          <w:lang w:val="en-US"/>
        </w:rPr>
        <w:t xml:space="preserve">t for the preparation of Horizon 2020/Horizon Europe applications.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overall approach is to support high quality projects, which receive a very high score in ERA programmes, but are left with no funding. The investment is expected to result in at least 48 applications and participating projects in Horizon Europe program</w:t>
      </w:r>
      <w:r>
        <w:rPr>
          <w:rFonts w:ascii="Times New Roman" w:eastAsia="Times New Roman" w:hAnsi="Times New Roman"/>
          <w:noProof/>
          <w:sz w:val="24"/>
          <w:szCs w:val="24"/>
        </w:rPr>
        <w:t xml:space="preserve">mes.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implementation of the investment  shall be completed by 30 June 2026.</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 xml:space="preserve">Investment 2: Supporting cooperation between companies, academia and </w:t>
      </w:r>
      <w:r>
        <w:rPr>
          <w:rFonts w:ascii="Times New Roman" w:eastAsia="Times New Roman" w:hAnsi="Times New Roman"/>
          <w:b/>
          <w:bCs/>
          <w:noProof/>
          <w:sz w:val="24"/>
          <w:szCs w:val="24"/>
        </w:rPr>
        <w:t>R</w:t>
      </w:r>
      <w:r>
        <w:rPr>
          <w:rFonts w:ascii="Times New Roman" w:hAnsi="Times New Roman"/>
          <w:b/>
          <w:bCs/>
          <w:smallCaps/>
          <w:noProof/>
          <w:sz w:val="24"/>
          <w:szCs w:val="24"/>
        </w:rPr>
        <w:t xml:space="preserve"> &amp;</w:t>
      </w:r>
      <w:r>
        <w:rPr>
          <w:rFonts w:ascii="Times New Roman" w:eastAsia="Times New Roman" w:hAnsi="Times New Roman"/>
          <w:b/>
          <w:bCs/>
          <w:noProof/>
          <w:sz w:val="24"/>
          <w:szCs w:val="24"/>
        </w:rPr>
        <w:t xml:space="preserve"> D</w:t>
      </w:r>
      <w:r>
        <w:rPr>
          <w:rFonts w:ascii="Times New Roman" w:eastAsia="Times New Roman" w:hAnsi="Times New Roman"/>
          <w:b/>
          <w:noProof/>
          <w:sz w:val="24"/>
          <w:szCs w:val="24"/>
        </w:rPr>
        <w:t xml:space="preserve"> organisations.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investment aims to mobilise private participation in RDI and increase the share o</w:t>
      </w:r>
      <w:r>
        <w:rPr>
          <w:rFonts w:ascii="Times New Roman" w:eastAsia="Times New Roman" w:hAnsi="Times New Roman"/>
          <w:noProof/>
          <w:sz w:val="24"/>
          <w:szCs w:val="24"/>
        </w:rPr>
        <w:t>f innovative businesses, especially in the area of digital innovation. It shall support a wider role of the private sector, capacity building as well as networking with research organisations. At least five calls shall be launched for the following schemes</w:t>
      </w:r>
      <w:r>
        <w:rPr>
          <w:rFonts w:ascii="Times New Roman" w:eastAsia="Times New Roman" w:hAnsi="Times New Roman"/>
          <w:noProof/>
          <w:sz w:val="24"/>
          <w:szCs w:val="24"/>
        </w:rPr>
        <w:t xml:space="preserve">:  </w:t>
      </w:r>
    </w:p>
    <w:p w:rsidR="00BF6749" w:rsidRDefault="00C87555">
      <w:pPr>
        <w:numPr>
          <w:ilvl w:val="0"/>
          <w:numId w:val="43"/>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“Matching grants” to research institutions to leverage resources raised from the private sector in the framework of research collaboration. This scheme shall encourage academic and research organisations to seek more private partnerships. </w:t>
      </w:r>
    </w:p>
    <w:p w:rsidR="00BF6749" w:rsidRDefault="00C87555">
      <w:pPr>
        <w:numPr>
          <w:ilvl w:val="0"/>
          <w:numId w:val="43"/>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Traineeships</w:t>
      </w:r>
      <w:r>
        <w:rPr>
          <w:rFonts w:ascii="Times New Roman" w:eastAsia="Times New Roman" w:hAnsi="Times New Roman"/>
          <w:noProof/>
          <w:sz w:val="24"/>
          <w:szCs w:val="24"/>
          <w:lang w:val="en-US"/>
        </w:rPr>
        <w:t xml:space="preserve"> of doctoral students and staff between enterprises and academic research organisations, including joint leadership of doctoral candidates. </w:t>
      </w:r>
    </w:p>
    <w:p w:rsidR="00BF6749" w:rsidRDefault="00C87555">
      <w:pPr>
        <w:numPr>
          <w:ilvl w:val="0"/>
          <w:numId w:val="43"/>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”Voucher” support schemes – to facilitate the transfer of knowledge, technologies and innovation and to enhance the</w:t>
      </w:r>
      <w:r>
        <w:rPr>
          <w:rFonts w:ascii="Times New Roman" w:eastAsia="Times New Roman" w:hAnsi="Times New Roman"/>
          <w:noProof/>
          <w:sz w:val="24"/>
          <w:szCs w:val="24"/>
          <w:lang w:val="en-US"/>
        </w:rPr>
        <w:t xml:space="preserve"> cooperation with business sector. Three types of the voucher schemes are proposed: i) innovation voucher – to stimulate SMEs cooperation with research organisations, or with municipalities, ii) digital voucher – to stimulate the digitalisation of services</w:t>
      </w:r>
      <w:r>
        <w:rPr>
          <w:rFonts w:ascii="Times New Roman" w:eastAsia="Times New Roman" w:hAnsi="Times New Roman"/>
          <w:noProof/>
          <w:sz w:val="24"/>
          <w:szCs w:val="24"/>
          <w:lang w:val="en-US"/>
        </w:rPr>
        <w:t xml:space="preserve"> and processes for SMEs and enterprises and iii) patent voucher – to promote the protection of intellectual property rights. </w:t>
      </w:r>
    </w:p>
    <w:p w:rsidR="00BF6749" w:rsidRDefault="00C87555">
      <w:pPr>
        <w:numPr>
          <w:ilvl w:val="0"/>
          <w:numId w:val="43"/>
        </w:numPr>
        <w:spacing w:before="120" w:after="120" w:line="240" w:lineRule="auto"/>
        <w:jc w:val="both"/>
        <w:rPr>
          <w:noProof/>
          <w:sz w:val="24"/>
          <w:szCs w:val="24"/>
        </w:rPr>
      </w:pPr>
      <w:r>
        <w:rPr>
          <w:rFonts w:ascii="Times New Roman" w:eastAsia="Times New Roman" w:hAnsi="Times New Roman"/>
          <w:noProof/>
          <w:sz w:val="24"/>
          <w:szCs w:val="24"/>
        </w:rPr>
        <w:t>The measure of creating at least two “transformative and innovative consortia” shall aim to generate new RDI projects in key secto</w:t>
      </w:r>
      <w:r>
        <w:rPr>
          <w:rFonts w:ascii="Times New Roman" w:eastAsia="Times New Roman" w:hAnsi="Times New Roman"/>
          <w:noProof/>
          <w:sz w:val="24"/>
          <w:szCs w:val="24"/>
        </w:rPr>
        <w:t xml:space="preserve">rs of the economy with the greatest innovation potential (such as smart mobility, green technologies), primarily in Košice and Bratislava regions.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Of the overall objective is to support 5 900 projects, at least 5 500 cooperation projects between companies</w:t>
      </w:r>
      <w:r>
        <w:rPr>
          <w:rFonts w:ascii="Times New Roman" w:eastAsia="Times New Roman" w:hAnsi="Times New Roman"/>
          <w:noProof/>
          <w:sz w:val="24"/>
          <w:szCs w:val="24"/>
        </w:rPr>
        <w:t xml:space="preserve">, academia and RD organisation as well as vouchers are supported.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implementation of the investment shall be completed by 30 June 2026.</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 xml:space="preserve">Investment 3: Excellent science.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rate of internationalisation of the research environment is very low, only 2% </w:t>
      </w:r>
      <w:r>
        <w:rPr>
          <w:rFonts w:ascii="Times New Roman" w:eastAsia="Times New Roman" w:hAnsi="Times New Roman"/>
          <w:noProof/>
          <w:sz w:val="24"/>
          <w:szCs w:val="24"/>
        </w:rPr>
        <w:t>of university academic staff come from abroad. The investment aims to create an internationally competitive environment for the best scientists, both in terms of salaries and the availability of attractive research schemes. At least 6 calls shall be launch</w:t>
      </w:r>
      <w:r>
        <w:rPr>
          <w:rFonts w:ascii="Times New Roman" w:eastAsia="Times New Roman" w:hAnsi="Times New Roman"/>
          <w:noProof/>
          <w:sz w:val="24"/>
          <w:szCs w:val="24"/>
        </w:rPr>
        <w:t>ed for the following schemes:</w:t>
      </w:r>
    </w:p>
    <w:p w:rsidR="00BF6749" w:rsidRDefault="00C87555">
      <w:pPr>
        <w:numPr>
          <w:ilvl w:val="0"/>
          <w:numId w:val="42"/>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Scholarships for excellent researchers at different career stages R1 – R4 (First stage researchers, Recognised researchers, Established researchers, Leading researchers). </w:t>
      </w:r>
    </w:p>
    <w:p w:rsidR="00BF6749" w:rsidRDefault="00C87555">
      <w:pPr>
        <w:numPr>
          <w:ilvl w:val="0"/>
          <w:numId w:val="42"/>
        </w:num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“Early stage” research grants. The scheme is designed </w:t>
      </w:r>
      <w:r>
        <w:rPr>
          <w:rFonts w:ascii="Times New Roman" w:eastAsia="Times New Roman" w:hAnsi="Times New Roman"/>
          <w:noProof/>
          <w:sz w:val="24"/>
          <w:szCs w:val="24"/>
          <w:lang w:val="en-US"/>
        </w:rPr>
        <w:t xml:space="preserve">to give the opportunity to young researchers to kick-start research in their own field.  </w:t>
      </w:r>
    </w:p>
    <w:p w:rsidR="00BF6749" w:rsidRDefault="00C87555">
      <w:pPr>
        <w:numPr>
          <w:ilvl w:val="0"/>
          <w:numId w:val="42"/>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val="en-US"/>
        </w:rPr>
        <w:t xml:space="preserve">Capital “booster” shall complement the existing schemes to finance capital expenditure of research projects. </w:t>
      </w:r>
    </w:p>
    <w:p w:rsidR="00BF6749" w:rsidRDefault="00C87555">
      <w:pPr>
        <w:numPr>
          <w:ilvl w:val="0"/>
          <w:numId w:val="42"/>
        </w:numPr>
        <w:spacing w:before="120" w:after="120" w:line="240" w:lineRule="auto"/>
        <w:jc w:val="both"/>
        <w:rPr>
          <w:noProof/>
          <w:sz w:val="24"/>
          <w:szCs w:val="24"/>
        </w:rPr>
      </w:pPr>
      <w:r>
        <w:rPr>
          <w:rFonts w:ascii="Times New Roman" w:eastAsia="Times New Roman" w:hAnsi="Times New Roman"/>
          <w:noProof/>
          <w:sz w:val="24"/>
          <w:szCs w:val="24"/>
          <w:lang w:val="en-US"/>
        </w:rPr>
        <w:t>Dedicated</w:t>
      </w:r>
      <w:r>
        <w:rPr>
          <w:rFonts w:ascii="Times New Roman" w:eastAsia="Times New Roman" w:hAnsi="Times New Roman"/>
          <w:noProof/>
          <w:sz w:val="24"/>
          <w:szCs w:val="24"/>
        </w:rPr>
        <w:t xml:space="preserve"> calls for large research projects shall suppor</w:t>
      </w:r>
      <w:r>
        <w:rPr>
          <w:rFonts w:ascii="Times New Roman" w:eastAsia="Times New Roman" w:hAnsi="Times New Roman"/>
          <w:noProof/>
          <w:sz w:val="24"/>
          <w:szCs w:val="24"/>
        </w:rPr>
        <w:t xml:space="preserve">t excellent teams in strategically defined RDI areas and enhance RDI human capital. It is expected that at least 15 high-quality research projects are selected and completed.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Of the overall objective is to support 1060 excellent researchers, at least 1000</w:t>
      </w:r>
      <w:r>
        <w:rPr>
          <w:rFonts w:ascii="Times New Roman" w:eastAsia="Times New Roman" w:hAnsi="Times New Roman"/>
          <w:noProof/>
          <w:sz w:val="24"/>
          <w:szCs w:val="24"/>
        </w:rPr>
        <w:t xml:space="preserve"> excellent researchers are supported under different schemes.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implementation of the investment shall be completed by 31 March 2026.</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Investment 4: Research and innovation to decarbonise the economy.</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investment scheme aims at improving synergies in</w:t>
      </w:r>
      <w:r>
        <w:rPr>
          <w:rFonts w:ascii="Times New Roman" w:eastAsia="Times New Roman" w:hAnsi="Times New Roman"/>
          <w:noProof/>
          <w:sz w:val="24"/>
          <w:szCs w:val="24"/>
        </w:rPr>
        <w:t xml:space="preserve"> RDI topics between national and EU level.  Thematic calls shall be launched to support the green transition as well as resilience and adaptation to climate change in line with topics expected in the thematic priorities of Horizon Europe, such as carbon fr</w:t>
      </w:r>
      <w:r>
        <w:rPr>
          <w:rFonts w:ascii="Times New Roman" w:eastAsia="Times New Roman" w:hAnsi="Times New Roman"/>
          <w:noProof/>
          <w:sz w:val="24"/>
          <w:szCs w:val="24"/>
        </w:rPr>
        <w:t>ee energy, electrification, hydrogen, battery technologies and alternative fuels, low emission industrial processes  and materials and bio-economy. The focus shall be on entire research and innovation cycle (Technology readiness level 1-9) with highest all</w:t>
      </w:r>
      <w:r>
        <w:rPr>
          <w:rFonts w:ascii="Times New Roman" w:eastAsia="Times New Roman" w:hAnsi="Times New Roman"/>
          <w:noProof/>
          <w:sz w:val="24"/>
          <w:szCs w:val="24"/>
        </w:rPr>
        <w:t>ocation directed to demonstration projects and more advanced technology readiness levels (TRL).</w:t>
      </w:r>
      <w:r>
        <w:rPr>
          <w:rFonts w:ascii="Times New Roman" w:eastAsia="Times New Roman" w:hAnsi="Times New Roman"/>
          <w:b/>
          <w:bCs/>
          <w:noProof/>
          <w:sz w:val="24"/>
          <w:szCs w:val="24"/>
        </w:rPr>
        <w:t xml:space="preserve"> </w:t>
      </w:r>
      <w:r>
        <w:rPr>
          <w:rFonts w:ascii="Times New Roman" w:eastAsia="Times New Roman" w:hAnsi="Times New Roman"/>
          <w:noProof/>
          <w:sz w:val="24"/>
          <w:szCs w:val="24"/>
        </w:rPr>
        <w:t>Of the overall objective is to complete 30 projects, at least 27 projects are completed under the calls by 30 June 2026.</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implementation of the investment shall be completed by 30 June 2026.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 xml:space="preserve">Investment 5: Research and innovation for the digitalisation of the economy.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investment aims at supporting the transition to the digital economy. Thematic calls to be launched i</w:t>
      </w:r>
      <w:r>
        <w:rPr>
          <w:rFonts w:ascii="Times New Roman" w:eastAsia="Times New Roman" w:hAnsi="Times New Roman"/>
          <w:noProof/>
          <w:sz w:val="24"/>
          <w:szCs w:val="24"/>
        </w:rPr>
        <w:t xml:space="preserve">n 2022 shall be channelled towards topics that are expected in the thematic priorities of Horizon Europe, such as key digital and industrial technologies, internet of things, artificial intelligence and robotics and cover the whole research and innovation </w:t>
      </w:r>
      <w:r>
        <w:rPr>
          <w:rFonts w:ascii="Times New Roman" w:eastAsia="Times New Roman" w:hAnsi="Times New Roman"/>
          <w:noProof/>
          <w:sz w:val="24"/>
          <w:szCs w:val="24"/>
        </w:rPr>
        <w:t>cycle (Technology readiness levels 1-9). Of the overall objective is to complete 155 projects, at least 140 projects are completed under the calls by 30 June 2026.</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 The implementation of the investment shall be completed by 30 June 2026.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Investment 6: Fin</w:t>
      </w:r>
      <w:r>
        <w:rPr>
          <w:rFonts w:ascii="Times New Roman" w:eastAsia="Times New Roman" w:hAnsi="Times New Roman"/>
          <w:b/>
          <w:noProof/>
          <w:sz w:val="24"/>
          <w:szCs w:val="24"/>
        </w:rPr>
        <w:t xml:space="preserve">ancial instruments to support innovation.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investment intends to considerably increase the share of innovative businesses especially for digital and green innovations and invest in companies with significant technological and innovative potential. The </w:t>
      </w:r>
      <w:r>
        <w:rPr>
          <w:rFonts w:ascii="Times New Roman" w:eastAsia="Times New Roman" w:hAnsi="Times New Roman"/>
          <w:noProof/>
          <w:sz w:val="24"/>
          <w:szCs w:val="24"/>
        </w:rPr>
        <w:t>capital investment shall cover an early stage (seed phase) as well as the growth phase (such as venture capital funds) of the companies´ life cycle and shall be implemented through financial intermediaries. To increase the incentives for SMEs to enter gree</w:t>
      </w:r>
      <w:r>
        <w:rPr>
          <w:rFonts w:ascii="Times New Roman" w:eastAsia="Times New Roman" w:hAnsi="Times New Roman"/>
          <w:noProof/>
          <w:sz w:val="24"/>
          <w:szCs w:val="24"/>
        </w:rPr>
        <w:t xml:space="preserve">n and digital projects, it is proposed to set up a repayable form of financing using loan products. Green and digital loans shall allow the loan/credit product to be combined with grant funding.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comply with the “Do no significant harm” Technical Guidan</w:t>
      </w:r>
      <w:r>
        <w:rPr>
          <w:rFonts w:ascii="Times New Roman" w:eastAsia="Times New Roman" w:hAnsi="Times New Roman"/>
          <w:noProof/>
          <w:sz w:val="24"/>
          <w:szCs w:val="24"/>
        </w:rPr>
        <w:t>ce (2021/C58/01)), investment strategies outlining the use of financial instruments shall require the application of the Commission technical guidance on sustainability proofing for the InvestEU, and/or apply the exclusion list  and require compliance with</w:t>
      </w:r>
      <w:r>
        <w:rPr>
          <w:rFonts w:ascii="Times New Roman" w:eastAsia="Times New Roman" w:hAnsi="Times New Roman"/>
          <w:noProof/>
          <w:sz w:val="24"/>
          <w:szCs w:val="24"/>
        </w:rPr>
        <w:t xml:space="preserve"> the relevant EU and national environmental legislation. The investment strategy, including “Do no significant harm” requirements shall be properly reflected in a contractual agreement between Slovak authorities and the implementing partners/financial inte</w:t>
      </w:r>
      <w:r>
        <w:rPr>
          <w:rFonts w:ascii="Times New Roman" w:eastAsia="Times New Roman" w:hAnsi="Times New Roman"/>
          <w:noProof/>
          <w:sz w:val="24"/>
          <w:szCs w:val="24"/>
        </w:rPr>
        <w:t xml:space="preserve">rmediaries.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Of the overall objective is to support 165 companies, at least 150 companies are supported by financial instruments in the form of capital inputs and micro-loans by 30 June 2026.</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implementation of the investment shall be completed by 30 Ju</w:t>
      </w:r>
      <w:r>
        <w:rPr>
          <w:rFonts w:ascii="Times New Roman" w:eastAsia="Times New Roman" w:hAnsi="Times New Roman"/>
          <w:noProof/>
          <w:sz w:val="24"/>
          <w:szCs w:val="24"/>
        </w:rPr>
        <w:t>ne 2026.</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Investment 7: RD grant IT system.</w:t>
      </w:r>
      <w:r>
        <w:rPr>
          <w:rFonts w:ascii="Times New Roman" w:eastAsia="Times New Roman" w:hAnsi="Times New Roman"/>
          <w:noProof/>
          <w:sz w:val="24"/>
          <w:szCs w:val="24"/>
          <w:u w:val="single"/>
        </w:rPr>
        <w:t xml:space="preserve">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objective of the investment closely linked to the Reform 1 - is to create a unified IT system to speed up the evaluation of grant calls. The IT system shall have the following features: i) a module linking th</w:t>
      </w:r>
      <w:r>
        <w:rPr>
          <w:rFonts w:ascii="Times New Roman" w:eastAsia="Times New Roman" w:hAnsi="Times New Roman"/>
          <w:noProof/>
          <w:sz w:val="24"/>
          <w:szCs w:val="24"/>
        </w:rPr>
        <w:t>e register of higher education staff with staff in RDI and other sectors, ii) a module registering RD organisations, iii) modularity of the system for flexible use of different evaluation systems, iv) a module to link the publication output register for bo</w:t>
      </w:r>
      <w:r>
        <w:rPr>
          <w:rFonts w:ascii="Times New Roman" w:eastAsia="Times New Roman" w:hAnsi="Times New Roman"/>
          <w:noProof/>
          <w:sz w:val="24"/>
          <w:szCs w:val="24"/>
        </w:rPr>
        <w:t xml:space="preserve">th project evaluation and project results´ reporting, and v) interactions with the Cohesion Policy system – “ESIF ITMS” module and vi) modularity allowing variable call setting (such as  VEGA projects).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of the investment shall be comple</w:t>
      </w:r>
      <w:r>
        <w:rPr>
          <w:rFonts w:ascii="Times New Roman" w:eastAsia="Times New Roman" w:hAnsi="Times New Roman"/>
          <w:noProof/>
          <w:sz w:val="24"/>
          <w:szCs w:val="24"/>
        </w:rPr>
        <w:t>ted by 31 March 2023.</w:t>
      </w:r>
    </w:p>
    <w:p w:rsidR="00BF6749" w:rsidRDefault="00C87555">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  </w:t>
      </w:r>
    </w:p>
    <w:p w:rsidR="00BF6749" w:rsidRDefault="00BF6749">
      <w:pPr>
        <w:tabs>
          <w:tab w:val="left" w:pos="1560"/>
        </w:tabs>
        <w:spacing w:before="120" w:after="120" w:line="240" w:lineRule="auto"/>
        <w:jc w:val="both"/>
        <w:rPr>
          <w:rFonts w:ascii="Times New Roman" w:hAnsi="Times New Roman"/>
          <w:noProof/>
          <w:sz w:val="24"/>
          <w:highlight w:val="yellow"/>
        </w:rPr>
        <w:sectPr w:rsidR="00BF6749">
          <w:headerReference w:type="even" r:id="rId114"/>
          <w:headerReference w:type="default" r:id="rId115"/>
          <w:footerReference w:type="even" r:id="rId116"/>
          <w:footerReference w:type="default" r:id="rId117"/>
          <w:headerReference w:type="first" r:id="rId118"/>
          <w:footerReference w:type="first" r:id="rId119"/>
          <w:pgSz w:w="11907" w:h="16839"/>
          <w:pgMar w:top="1134" w:right="1417" w:bottom="1134" w:left="1417" w:header="709" w:footer="709" w:gutter="0"/>
          <w:cols w:space="720"/>
          <w:docGrid w:linePitch="360"/>
        </w:sectPr>
      </w:pPr>
    </w:p>
    <w:p w:rsidR="00BF6749" w:rsidRDefault="00C87555">
      <w:pPr>
        <w:tabs>
          <w:tab w:val="left" w:pos="1560"/>
        </w:tabs>
        <w:spacing w:before="120" w:after="120" w:line="240" w:lineRule="auto"/>
        <w:ind w:left="1276"/>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Milestones, targets, indicators, and timetable for monitoring and implementation for non-repayable financial support</w:t>
      </w:r>
    </w:p>
    <w:p w:rsidR="00BF6749" w:rsidRDefault="00BF6749">
      <w:pPr>
        <w:tabs>
          <w:tab w:val="left" w:pos="1560"/>
          <w:tab w:val="left" w:pos="14601"/>
        </w:tabs>
        <w:spacing w:before="120" w:after="120" w:line="240" w:lineRule="auto"/>
        <w:ind w:left="1276" w:right="-455"/>
        <w:jc w:val="both"/>
        <w:rPr>
          <w:rFonts w:ascii="Times New Roman" w:hAnsi="Times New Roman"/>
          <w:noProof/>
          <w:sz w:val="24"/>
          <w:highlight w:val="yellow"/>
        </w:rPr>
      </w:pPr>
    </w:p>
    <w:tbl>
      <w:tblPr>
        <w:tblW w:w="15559" w:type="dxa"/>
        <w:tblLayout w:type="fixed"/>
        <w:tblLook w:val="04A0" w:firstRow="1" w:lastRow="0" w:firstColumn="1" w:lastColumn="0" w:noHBand="0" w:noVBand="1"/>
      </w:tblPr>
      <w:tblGrid>
        <w:gridCol w:w="817"/>
        <w:gridCol w:w="1630"/>
        <w:gridCol w:w="1205"/>
        <w:gridCol w:w="1559"/>
        <w:gridCol w:w="1418"/>
        <w:gridCol w:w="814"/>
        <w:gridCol w:w="777"/>
        <w:gridCol w:w="615"/>
        <w:gridCol w:w="821"/>
        <w:gridCol w:w="498"/>
        <w:gridCol w:w="5405"/>
      </w:tblGrid>
      <w:tr w:rsidR="00BF6749">
        <w:trPr>
          <w:trHeight w:val="735"/>
        </w:trPr>
        <w:tc>
          <w:tcPr>
            <w:tcW w:w="81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630"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Related measure (Reform or Investment)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205"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559"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418"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2206"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1319"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5405"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Description and clear definition of each milestone and target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r>
      <w:tr w:rsidR="00BF6749">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630"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205"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559"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418"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814"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Unit of measure</w:t>
            </w:r>
          </w:p>
        </w:tc>
        <w:tc>
          <w:tcPr>
            <w:tcW w:w="777" w:type="dxa"/>
            <w:tcBorders>
              <w:top w:val="nil"/>
              <w:left w:val="single" w:sz="8" w:space="0" w:color="000000"/>
              <w:bottom w:val="single" w:sz="8" w:space="0" w:color="auto"/>
              <w:right w:val="single" w:sz="8" w:space="0" w:color="auto"/>
            </w:tcBorders>
            <w:shd w:val="clear" w:color="auto" w:fill="BDD7EE"/>
            <w:vAlign w:val="center"/>
          </w:tcPr>
          <w:p w:rsidR="00BF6749" w:rsidRDefault="00C87555">
            <w:pPr>
              <w:jc w:val="both"/>
              <w:rPr>
                <w:rFonts w:ascii="Times New Roman" w:hAnsi="Times New Roman"/>
                <w:noProof/>
                <w:sz w:val="20"/>
                <w:szCs w:val="20"/>
              </w:rPr>
            </w:pPr>
            <w:r>
              <w:rPr>
                <w:rFonts w:ascii="Times New Roman" w:eastAsia="Times New Roman" w:hAnsi="Times New Roman"/>
                <w:b/>
                <w:bCs/>
                <w:noProof/>
                <w:sz w:val="20"/>
                <w:szCs w:val="20"/>
              </w:rPr>
              <w:t xml:space="preserve"> </w:t>
            </w:r>
          </w:p>
          <w:p w:rsidR="00BF6749" w:rsidRDefault="00C87555">
            <w:pPr>
              <w:jc w:val="both"/>
              <w:rPr>
                <w:rFonts w:ascii="Times New Roman" w:hAnsi="Times New Roman"/>
                <w:noProof/>
                <w:sz w:val="20"/>
                <w:szCs w:val="20"/>
              </w:rPr>
            </w:pPr>
            <w:r>
              <w:rPr>
                <w:rFonts w:ascii="Times New Roman" w:eastAsia="Times New Roman" w:hAnsi="Times New Roman"/>
                <w:b/>
                <w:bCs/>
                <w:noProof/>
                <w:sz w:val="20"/>
                <w:szCs w:val="20"/>
              </w:rPr>
              <w:t>Baseline</w:t>
            </w:r>
          </w:p>
        </w:tc>
        <w:tc>
          <w:tcPr>
            <w:tcW w:w="615"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Goal</w:t>
            </w:r>
          </w:p>
        </w:tc>
        <w:tc>
          <w:tcPr>
            <w:tcW w:w="821" w:type="dxa"/>
            <w:tcBorders>
              <w:top w:val="single" w:sz="8" w:space="0" w:color="auto"/>
              <w:left w:val="single" w:sz="8" w:space="0" w:color="000000"/>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498" w:type="dxa"/>
            <w:tcBorders>
              <w:top w:val="nil"/>
              <w:left w:val="single" w:sz="8" w:space="0" w:color="000000"/>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5405" w:type="dxa"/>
            <w:vMerge/>
            <w:tcBorders>
              <w:left w:val="single" w:sz="8" w:space="0" w:color="000000"/>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9 – More efficient governance and strengthening RDI  funding – Reform 1: Reform of governance, evaluation and support in science, research and innovation</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Reform of the governance and support for </w:t>
            </w:r>
            <w:r>
              <w:rPr>
                <w:rFonts w:ascii="Times New Roman" w:hAnsi="Times New Roman"/>
                <w:noProof/>
                <w:color w:val="006100"/>
                <w:sz w:val="20"/>
                <w:szCs w:val="20"/>
              </w:rPr>
              <w:t>research, development and innovation.</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Amendment to Law 172/2005</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amendment to the Act shall strengthen the coordinating role of the new governance structure for research, development and innovation (such as defini</w:t>
            </w:r>
            <w:r>
              <w:rPr>
                <w:rFonts w:ascii="Times New Roman" w:hAnsi="Times New Roman"/>
                <w:noProof/>
                <w:color w:val="006100"/>
                <w:sz w:val="20"/>
                <w:szCs w:val="20"/>
              </w:rPr>
              <w:t>ng the role of the Slovak Government’s Council for Science, Technology and Innovation and its Secretariat placed under the Government Office). The law shall regulate different types of public support to ensure coordination and consistency of public interve</w:t>
            </w:r>
            <w:r>
              <w:rPr>
                <w:rFonts w:ascii="Times New Roman" w:hAnsi="Times New Roman"/>
                <w:noProof/>
                <w:color w:val="006100"/>
                <w:sz w:val="20"/>
                <w:szCs w:val="20"/>
              </w:rPr>
              <w:t>ntions. It shall allow the gradual integration of processes and expert evaluation of RD projects, the simplification and standardisation of RD project evaluation processes by agencies</w:t>
            </w:r>
          </w:p>
        </w:tc>
      </w:tr>
      <w:tr w:rsidR="00BF6749">
        <w:trPr>
          <w:trHeight w:val="117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9 – More efficient governance and strengthening RDI funding – Reform </w:t>
            </w:r>
            <w:r>
              <w:rPr>
                <w:rFonts w:ascii="Times New Roman" w:hAnsi="Times New Roman"/>
                <w:noProof/>
                <w:color w:val="006100"/>
                <w:sz w:val="20"/>
                <w:szCs w:val="20"/>
              </w:rPr>
              <w:t>1: Reform of governance, evaluation and support in science, research and innovation</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Design of the National overarching RDI Strategy</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Adoption of the National RDI Strategy by the government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Q3</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Government shall approve the National </w:t>
            </w:r>
            <w:r>
              <w:rPr>
                <w:rFonts w:ascii="Times New Roman" w:hAnsi="Times New Roman"/>
                <w:noProof/>
                <w:color w:val="006100"/>
                <w:sz w:val="20"/>
                <w:szCs w:val="20"/>
              </w:rPr>
              <w:t>Strategy for the Research, Development and Innovation (RDI) to become an overarching document for all public funding of RDI by 2030. It shall reflect on past experiences and offer the horizontal framework to integrate existing strategies (such as Smart Spe</w:t>
            </w:r>
            <w:r>
              <w:rPr>
                <w:rFonts w:ascii="Times New Roman" w:hAnsi="Times New Roman"/>
                <w:noProof/>
                <w:color w:val="006100"/>
                <w:sz w:val="20"/>
                <w:szCs w:val="20"/>
              </w:rPr>
              <w:t>cialisation Strategy). It shall provide a strategic framework and direction for RDI policy, define objectives and measures to achieve them.</w:t>
            </w:r>
          </w:p>
        </w:tc>
      </w:tr>
      <w:tr w:rsidR="00BF6749">
        <w:trPr>
          <w:trHeight w:val="69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3</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9 – More efficient governance and strengthening RDI  funding – Reform 2: Reform of the organisation and funding </w:t>
            </w:r>
            <w:r>
              <w:rPr>
                <w:rFonts w:ascii="Times New Roman" w:hAnsi="Times New Roman"/>
                <w:noProof/>
                <w:color w:val="006100"/>
                <w:sz w:val="20"/>
                <w:szCs w:val="20"/>
              </w:rPr>
              <w:t>of non-business research institutions, in particular the Slovak Academy of Sciences</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Reform of the Slovak Academy of Science (SaS)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an amendment to Act No 133/2002 on SAS  and an amendment to Act No 243/2017 on the public res</w:t>
            </w:r>
            <w:r>
              <w:rPr>
                <w:rFonts w:ascii="Times New Roman" w:hAnsi="Times New Roman"/>
                <w:noProof/>
                <w:color w:val="006100"/>
                <w:sz w:val="20"/>
                <w:szCs w:val="20"/>
              </w:rPr>
              <w:t xml:space="preserve">earch institution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2021</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amendments to the Acts, which shall transform the Slovak Academy of Science (SAS) into a public institution allowing multi-source financing, including from the private sector while ensuring full protecti</w:t>
            </w:r>
            <w:r>
              <w:rPr>
                <w:rFonts w:ascii="Times New Roman" w:hAnsi="Times New Roman"/>
                <w:noProof/>
                <w:color w:val="006100"/>
                <w:sz w:val="20"/>
                <w:szCs w:val="20"/>
              </w:rPr>
              <w:t xml:space="preserve">on of intellectual property and financial profitability. </w:t>
            </w:r>
          </w:p>
        </w:tc>
      </w:tr>
      <w:tr w:rsidR="00BF6749">
        <w:trPr>
          <w:trHeight w:val="27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4</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19– More efficient governance and strengthening RDI funding – Investment 1: Promoting international cooperation and participation in Horizon Europe and EIT projects</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for projects to support the participation of Slovak actors in Horizon Europe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for projects to support the participation of Slovak actors in Horizon Europe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3</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At  least  three  calls for projects shall be launched to support the participation of Slovak actors in Horizon Europe programmes under the following schemes: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Scheme to support the preparation of applications for Horizon Europe</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Scheme to support proje</w:t>
            </w:r>
            <w:r>
              <w:rPr>
                <w:rFonts w:ascii="Times New Roman" w:hAnsi="Times New Roman"/>
                <w:noProof/>
                <w:color w:val="006100"/>
                <w:sz w:val="20"/>
                <w:szCs w:val="20"/>
              </w:rPr>
              <w:t>cts that have obtained a Seal of excellence or a high score</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"Matching grants" for successful projects in H2020/Horizon Europe</w:t>
            </w:r>
          </w:p>
        </w:tc>
      </w:tr>
      <w:tr w:rsidR="00BF6749">
        <w:trPr>
          <w:trHeight w:val="66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5</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9 – More efficient governance and strengthening RDI  funding – Investment 1: Promoting international cooperation and </w:t>
            </w:r>
            <w:r>
              <w:rPr>
                <w:rFonts w:ascii="Times New Roman" w:hAnsi="Times New Roman"/>
                <w:noProof/>
                <w:color w:val="006100"/>
                <w:sz w:val="20"/>
                <w:szCs w:val="20"/>
              </w:rPr>
              <w:t>participation in Horizon Europe and EIT projects</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Financial support for applications and participating projects in Horizon Europe programmes,  under calls funded by the RRF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Amounts (EUR millions)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43</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Of the overall objective  is to paid </w:t>
            </w:r>
            <w:r>
              <w:rPr>
                <w:rFonts w:ascii="Times New Roman" w:hAnsi="Times New Roman"/>
                <w:noProof/>
                <w:color w:val="006100"/>
                <w:sz w:val="20"/>
                <w:szCs w:val="20"/>
              </w:rPr>
              <w:t>EUR 46 300 000,  at least EUR 43 000 000 , is paid to projects selected under the calls aiming at increasing participation in the Horizon Europe programmes.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The investment is expected to result in:</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at least 48 applications and participating projects in H</w:t>
            </w:r>
            <w:r>
              <w:rPr>
                <w:rFonts w:ascii="Times New Roman" w:hAnsi="Times New Roman"/>
                <w:noProof/>
                <w:color w:val="006100"/>
                <w:sz w:val="20"/>
                <w:szCs w:val="20"/>
              </w:rPr>
              <w:t xml:space="preserve">orizon Europe programmes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at least </w:t>
            </w:r>
            <w:r>
              <w:rPr>
                <w:rFonts w:ascii="Times New Roman" w:hAnsi="Times New Roman"/>
                <w:noProof/>
                <w:color w:val="4F6228"/>
                <w:sz w:val="20"/>
                <w:szCs w:val="20"/>
              </w:rPr>
              <w:t xml:space="preserve">1600 grants  to support  preparation of project applications  </w:t>
            </w:r>
          </w:p>
        </w:tc>
      </w:tr>
      <w:tr w:rsidR="00BF6749">
        <w:trPr>
          <w:trHeight w:val="2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6</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2: Support for cooperation between firms, academia and RD organisations</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for projects to support cooperation between companies, academia and R &amp; D organisations and vouchers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for projects support cooperation between firms, academia and R &amp; D organisations and vouchers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5</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At least five  calls for projects shall be launched in compliance with the DNSH principle to support cooperation between companies, academia and RD organisations and to support vouchers schemes: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“Matching” grants to research institutions to leverage reso</w:t>
            </w:r>
            <w:r>
              <w:rPr>
                <w:rFonts w:ascii="Times New Roman" w:hAnsi="Times New Roman"/>
                <w:noProof/>
                <w:color w:val="006100"/>
                <w:sz w:val="20"/>
                <w:szCs w:val="20"/>
              </w:rPr>
              <w:t>urces from the private sector in the framework of research collaboration.</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PhD students’ traineeships and staff between businesses and academic research organisations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establishing "transformative and innovative" consortia</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Voucher support schemes, whic</w:t>
            </w:r>
            <w:r>
              <w:rPr>
                <w:rFonts w:ascii="Times New Roman" w:hAnsi="Times New Roman"/>
                <w:noProof/>
                <w:color w:val="006100"/>
                <w:sz w:val="20"/>
                <w:szCs w:val="20"/>
              </w:rPr>
              <w:t>h include innovation vouchers, digital vouchers and patent vouchers</w:t>
            </w:r>
          </w:p>
          <w:p w:rsidR="00BF6749" w:rsidRDefault="00BF6749">
            <w:pPr>
              <w:spacing w:after="0"/>
              <w:rPr>
                <w:rFonts w:ascii="Times New Roman" w:hAnsi="Times New Roman"/>
                <w:noProof/>
                <w:sz w:val="20"/>
                <w:szCs w:val="20"/>
              </w:rPr>
            </w:pPr>
          </w:p>
        </w:tc>
      </w:tr>
      <w:tr w:rsidR="00BF6749">
        <w:trPr>
          <w:trHeight w:val="90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7</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9  More efficient governance and strengthening RDI  funding – Investment 2: Support for cooperation between firms, academia and RD organisations</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Number of  collaborative projects  and vouchers supported</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projects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2660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Of the overall objective is to support 2950 projects, at least 2 660 cooperation projects between companies, academia and RD organisations and vouchers, are supp</w:t>
            </w:r>
            <w:r>
              <w:rPr>
                <w:rFonts w:ascii="Times New Roman" w:hAnsi="Times New Roman"/>
                <w:noProof/>
                <w:color w:val="006100"/>
                <w:sz w:val="20"/>
                <w:szCs w:val="20"/>
              </w:rPr>
              <w:t>orted.</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The investment is expected to result in :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Establishing at least 2 “transformative and innovative” consortia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2 000 collaborative projects supported under matching grants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50 supported (temporary) traineeships between enterprises and academic</w:t>
            </w:r>
            <w:r>
              <w:rPr>
                <w:rFonts w:ascii="Times New Roman" w:hAnsi="Times New Roman"/>
                <w:noProof/>
                <w:color w:val="006100"/>
                <w:sz w:val="20"/>
                <w:szCs w:val="20"/>
              </w:rPr>
              <w:t xml:space="preserve"> research organisations </w:t>
            </w:r>
          </w:p>
          <w:p w:rsidR="00BF6749" w:rsidRDefault="00C87555">
            <w:pPr>
              <w:spacing w:after="0"/>
              <w:rPr>
                <w:rFonts w:ascii="Times New Roman" w:hAnsi="Times New Roman"/>
                <w:noProof/>
                <w:color w:val="006100"/>
                <w:sz w:val="20"/>
                <w:szCs w:val="20"/>
                <w:lang w:val="en-IE"/>
              </w:rPr>
            </w:pPr>
            <w:r>
              <w:rPr>
                <w:rFonts w:ascii="Times New Roman" w:hAnsi="Times New Roman"/>
                <w:noProof/>
                <w:color w:val="006100"/>
                <w:sz w:val="20"/>
                <w:szCs w:val="20"/>
                <w:lang w:val="en-IE"/>
              </w:rPr>
              <w:t xml:space="preserve">•  500 innovative and patent vouches and 400 digital vouches are delivered </w:t>
            </w:r>
          </w:p>
          <w:p w:rsidR="00BF6749" w:rsidRDefault="00BF6749">
            <w:pPr>
              <w:spacing w:after="0"/>
              <w:rPr>
                <w:rFonts w:ascii="Times New Roman" w:hAnsi="Times New Roman"/>
                <w:noProof/>
                <w:sz w:val="20"/>
                <w:szCs w:val="20"/>
              </w:rPr>
            </w:pP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8</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2: Support for cooperation between firms, academia and RD organisations</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collaborative projects and vouchers  supported</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Number of projects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2600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5500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Of  the overall objective is to support  5 900 projects, at  least 5 500 cooperation projects between companies, academia and RD organisations and </w:t>
            </w:r>
            <w:r>
              <w:rPr>
                <w:rFonts w:ascii="Times New Roman" w:hAnsi="Times New Roman"/>
                <w:noProof/>
                <w:color w:val="006100"/>
                <w:sz w:val="20"/>
                <w:szCs w:val="20"/>
              </w:rPr>
              <w:t>vouchers, are supported:</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The investment is expected to result in :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at least 2 “transformative and innovative” consortia are operational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4 000 collaborative projects supported under matching grants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100 supported traineeships between enterprises </w:t>
            </w:r>
            <w:r>
              <w:rPr>
                <w:rFonts w:ascii="Times New Roman" w:hAnsi="Times New Roman"/>
                <w:noProof/>
                <w:color w:val="006100"/>
                <w:sz w:val="20"/>
                <w:szCs w:val="20"/>
              </w:rPr>
              <w:t xml:space="preserve">and academic research organisations </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xml:space="preserve">• 500 innovative, 500 patent and 800 digital vouches are delivered and completed  </w:t>
            </w:r>
          </w:p>
          <w:p w:rsidR="00BF6749" w:rsidRDefault="00BF6749">
            <w:pPr>
              <w:spacing w:after="0"/>
              <w:rPr>
                <w:rFonts w:ascii="Times New Roman" w:hAnsi="Times New Roman"/>
                <w:noProof/>
                <w:sz w:val="20"/>
                <w:szCs w:val="20"/>
              </w:rPr>
            </w:pP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9</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3: Excellent science</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to support </w:t>
            </w:r>
            <w:r>
              <w:rPr>
                <w:rFonts w:ascii="Times New Roman" w:hAnsi="Times New Roman"/>
                <w:noProof/>
                <w:color w:val="006100"/>
                <w:sz w:val="20"/>
                <w:szCs w:val="20"/>
              </w:rPr>
              <w:t xml:space="preserve"> excellent researchers</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for projects to support excellent researchers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6</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A t least six calls for projects shall be launched to support excellent researchers in compliance with the DNSH principle under the following  schemes: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s</w:t>
            </w:r>
            <w:r>
              <w:rPr>
                <w:rFonts w:ascii="Times New Roman" w:hAnsi="Times New Roman"/>
                <w:noProof/>
                <w:color w:val="006100"/>
                <w:sz w:val="20"/>
                <w:szCs w:val="20"/>
              </w:rPr>
              <w:t>cholarships for excellent PhD programmes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Post-doctoral scholarships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Senior research fellowship</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Large projects for excellent researchers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“Early stage” research grants</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Capital booster for existing RD  support schemes</w:t>
            </w:r>
          </w:p>
          <w:p w:rsidR="00BF6749" w:rsidRDefault="00BF6749">
            <w:pPr>
              <w:spacing w:after="0"/>
              <w:rPr>
                <w:rFonts w:ascii="Times New Roman" w:hAnsi="Times New Roman"/>
                <w:noProof/>
                <w:sz w:val="20"/>
                <w:szCs w:val="20"/>
              </w:rPr>
            </w:pPr>
          </w:p>
        </w:tc>
      </w:tr>
      <w:tr w:rsidR="00BF6749">
        <w:trPr>
          <w:trHeight w:val="3312"/>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10</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9More efficient </w:t>
            </w:r>
            <w:r>
              <w:rPr>
                <w:rFonts w:ascii="Times New Roman" w:hAnsi="Times New Roman"/>
                <w:noProof/>
                <w:color w:val="006100"/>
                <w:sz w:val="20"/>
                <w:szCs w:val="20"/>
              </w:rPr>
              <w:t>governance and strengthening RDI  funding – Investment 3: Excellent science</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Number of excellent researchers supported</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researchers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650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Of the overall objective is to support 715 researchers, at least 650 excellent researchers, are supported under the calls.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The investment is expected to result in: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Selection of 15 large grants to excellent researcher teams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Support of: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425 fellowsh</w:t>
            </w:r>
            <w:r>
              <w:rPr>
                <w:rFonts w:ascii="Times New Roman" w:hAnsi="Times New Roman"/>
                <w:noProof/>
                <w:color w:val="006100"/>
                <w:sz w:val="20"/>
                <w:szCs w:val="20"/>
              </w:rPr>
              <w:t>ips for researchers at different career stages (R1-R4)</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200 “Early stage” research grants for young researchers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90 projects under capital booster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115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11</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9More efficient governance and strengthening RDI  funding – Investment 3: Excellent science</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Number of excellent researchers supported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Number of researchers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650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1000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Of the overall objective is to support  1060 researchers,  at least 1000 excellent researchers, are supported under the calls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The investment is expected to result in: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w:t>
            </w:r>
            <w:r>
              <w:rPr>
                <w:rFonts w:ascii="Times New Roman" w:hAnsi="Times New Roman"/>
                <w:noProof/>
                <w:color w:val="006100"/>
                <w:sz w:val="20"/>
                <w:szCs w:val="20"/>
              </w:rPr>
              <w:t xml:space="preserve"> 425 fellowships for researchers at different career stages (R1-R4)</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500 “Early stage” research grants for young researchers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120 projects under capital booster</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xml:space="preserve">• 15 large grants to excellent researchers are implemented  </w:t>
            </w:r>
          </w:p>
          <w:p w:rsidR="00BF6749" w:rsidRDefault="00BF6749">
            <w:pPr>
              <w:spacing w:after="0"/>
              <w:rPr>
                <w:rFonts w:ascii="Times New Roman" w:hAnsi="Times New Roman"/>
                <w:noProof/>
                <w:sz w:val="20"/>
                <w:szCs w:val="20"/>
              </w:rPr>
            </w:pPr>
          </w:p>
        </w:tc>
      </w:tr>
      <w:tr w:rsidR="00BF6749">
        <w:trPr>
          <w:trHeight w:val="9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12</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9More efficient governance</w:t>
            </w:r>
            <w:r>
              <w:rPr>
                <w:rFonts w:ascii="Times New Roman" w:hAnsi="Times New Roman"/>
                <w:noProof/>
                <w:color w:val="006100"/>
                <w:sz w:val="20"/>
                <w:szCs w:val="20"/>
              </w:rPr>
              <w:t xml:space="preserve"> and strengthening RDI  funding – Investment 4: Research and innovation to decarbonise the economy</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Launch of calls for thematic demand-driven projects addressing the challenges of green transition</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for thematic demand-driven projects addressing the challenges of green transition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At least two calls for thematic demand-driven projects shall be launched in compliance with the DNSH principle addressing the challenges of green transition, de-carbonisation as well as resilience and adaptation to climate change.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Support shall be  direc</w:t>
            </w:r>
            <w:r>
              <w:rPr>
                <w:rFonts w:ascii="Times New Roman" w:hAnsi="Times New Roman"/>
                <w:noProof/>
                <w:color w:val="006100"/>
                <w:sz w:val="20"/>
                <w:szCs w:val="20"/>
              </w:rPr>
              <w:t>ted towards topics that are foreseen in the thematic priorities of Horizon Europe, such as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Carbon-free energy</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electrification</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Hydrogen, battery technologies and alternative fuels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Low-emission industrial processes and materials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Bio-economy, sustai</w:t>
            </w:r>
            <w:r>
              <w:rPr>
                <w:rFonts w:ascii="Times New Roman" w:hAnsi="Times New Roman"/>
                <w:noProof/>
                <w:color w:val="006100"/>
                <w:sz w:val="20"/>
                <w:szCs w:val="20"/>
              </w:rPr>
              <w:t>nable agriculture and forestry.</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Calls for projects shall cover the whole research and innovation cycle (technology readiness levels1-9)</w:t>
            </w:r>
          </w:p>
          <w:p w:rsidR="00BF6749" w:rsidRDefault="00BF6749">
            <w:pPr>
              <w:spacing w:after="0"/>
              <w:rPr>
                <w:rFonts w:ascii="Times New Roman" w:hAnsi="Times New Roman"/>
                <w:noProof/>
                <w:sz w:val="20"/>
                <w:szCs w:val="20"/>
              </w:rPr>
            </w:pP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13</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4: Research and innovation to decarbonise</w:t>
            </w:r>
            <w:r>
              <w:rPr>
                <w:rFonts w:ascii="Times New Roman" w:hAnsi="Times New Roman"/>
                <w:noProof/>
                <w:color w:val="006100"/>
                <w:sz w:val="20"/>
                <w:szCs w:val="20"/>
              </w:rPr>
              <w:t xml:space="preserve"> the economy</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Number of selected projects addressing the challenges of the green transition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projects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27</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Of the overall objective is to select 30 projects, at least 27 projects, are selected under the calls  addressing the </w:t>
            </w:r>
            <w:r>
              <w:rPr>
                <w:rFonts w:ascii="Times New Roman" w:hAnsi="Times New Roman"/>
                <w:noProof/>
                <w:color w:val="006100"/>
                <w:sz w:val="20"/>
                <w:szCs w:val="20"/>
              </w:rPr>
              <w:t>challenges of the green transition and de-carbonisation</w:t>
            </w:r>
          </w:p>
          <w:p w:rsidR="00BF6749" w:rsidRDefault="00C87555">
            <w:pPr>
              <w:rPr>
                <w:rFonts w:ascii="Times New Roman" w:hAnsi="Times New Roman"/>
                <w:noProof/>
                <w:sz w:val="20"/>
                <w:szCs w:val="20"/>
              </w:rPr>
            </w:pPr>
            <w:r>
              <w:rPr>
                <w:rFonts w:ascii="Times New Roman" w:hAnsi="Times New Roman"/>
                <w:noProof/>
                <w:color w:val="006100"/>
                <w:sz w:val="20"/>
                <w:szCs w:val="20"/>
              </w:rPr>
              <w:t>Projects shall be approved in different phases of technology readiness levels (TRL -1-9)</w:t>
            </w: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14</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xml:space="preserve">9More efficient governance and strengthening RDI  funding – Investment 4: Research and innovation to </w:t>
            </w:r>
            <w:r>
              <w:rPr>
                <w:rFonts w:ascii="Times New Roman" w:hAnsi="Times New Roman"/>
                <w:noProof/>
                <w:color w:val="006100"/>
                <w:sz w:val="20"/>
                <w:szCs w:val="20"/>
              </w:rPr>
              <w:t>decarbonise the economy</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projects addressing the challenges of the green transition, which are completed</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projects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27</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Of the overall objective is to complete 30 projects, at least 27 projects, selected under the calls, </w:t>
            </w:r>
            <w:r>
              <w:rPr>
                <w:rFonts w:ascii="Times New Roman" w:hAnsi="Times New Roman"/>
                <w:noProof/>
                <w:color w:val="006100"/>
                <w:sz w:val="20"/>
                <w:szCs w:val="20"/>
              </w:rPr>
              <w:t>are completed.</w:t>
            </w: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15</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5: Research and innovation for the digitalisation of the economy</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Launch of calls for thematic demand-driven projects addressing the challenges of digital</w:t>
            </w:r>
            <w:r>
              <w:rPr>
                <w:rFonts w:ascii="Times New Roman" w:hAnsi="Times New Roman"/>
                <w:noProof/>
                <w:color w:val="006100"/>
                <w:sz w:val="20"/>
                <w:szCs w:val="20"/>
              </w:rPr>
              <w:t xml:space="preserve"> transition</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calls for thematic demand-driven  projects addressing the challenges of digital transition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At least two calls for thematic demand-driven projects shall be launched in compliance with the DNSH principle addressing the c</w:t>
            </w:r>
            <w:r>
              <w:rPr>
                <w:rFonts w:ascii="Times New Roman" w:hAnsi="Times New Roman"/>
                <w:noProof/>
                <w:color w:val="006100"/>
                <w:sz w:val="20"/>
                <w:szCs w:val="20"/>
              </w:rPr>
              <w:t>hallenges of digital transformation and helping meet the EC’s ambitions for digital autonomy.</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Support shall be directed towards topics in line with the thematic priorities of Horizon Europe, such as: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Key digital technologies (such as cybersecurity; quan</w:t>
            </w:r>
            <w:r>
              <w:rPr>
                <w:rFonts w:ascii="Times New Roman" w:hAnsi="Times New Roman"/>
                <w:noProof/>
                <w:color w:val="006100"/>
                <w:sz w:val="20"/>
                <w:szCs w:val="20"/>
              </w:rPr>
              <w:t>tum technologies for cybersecurity, sensors and the Internet of Things; microelectronics and electronic components and cloud solutions)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Artificial intelligence and robotics </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Calls for projects shall cover the whole research and innovation cycle (technolo</w:t>
            </w:r>
            <w:r>
              <w:rPr>
                <w:rFonts w:ascii="Times New Roman" w:hAnsi="Times New Roman"/>
                <w:noProof/>
                <w:color w:val="006100"/>
                <w:sz w:val="20"/>
                <w:szCs w:val="20"/>
              </w:rPr>
              <w:t xml:space="preserve">gy readiness level 1-9). </w:t>
            </w:r>
          </w:p>
          <w:p w:rsidR="00BF6749" w:rsidRDefault="00BF6749">
            <w:pPr>
              <w:spacing w:after="0"/>
              <w:rPr>
                <w:rFonts w:ascii="Times New Roman" w:hAnsi="Times New Roman"/>
                <w:noProof/>
                <w:sz w:val="20"/>
                <w:szCs w:val="20"/>
              </w:rPr>
            </w:pPr>
          </w:p>
        </w:tc>
      </w:tr>
      <w:tr w:rsidR="00BF6749">
        <w:trPr>
          <w:trHeight w:val="150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16</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9  More efficient governance and strengthening RDI  funding – Investment 5: Research and innovation for the digitalisation of the economy</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Number of RDI projects selected under the calls addressing the challenges of </w:t>
            </w:r>
            <w:r>
              <w:rPr>
                <w:rFonts w:ascii="Times New Roman" w:hAnsi="Times New Roman"/>
                <w:noProof/>
                <w:color w:val="006100"/>
                <w:sz w:val="20"/>
                <w:szCs w:val="20"/>
              </w:rPr>
              <w:t>digital transformation.</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projects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140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Of the overall objective is to select 155 projects, at least 140 projects are selected under the calls  for thematic demand-driven projects addressing digital transformation challenges  in differen</w:t>
            </w:r>
            <w:r>
              <w:rPr>
                <w:rFonts w:ascii="Times New Roman" w:hAnsi="Times New Roman"/>
                <w:noProof/>
                <w:color w:val="006100"/>
                <w:sz w:val="20"/>
                <w:szCs w:val="20"/>
              </w:rPr>
              <w:t>t technology readiness  levels (TRL -1-9)</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17</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5: Research and innovation for the digitalisation of the economy</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Number of RDI projects addressing the challenges of digital </w:t>
            </w:r>
            <w:r>
              <w:rPr>
                <w:rFonts w:ascii="Times New Roman" w:hAnsi="Times New Roman"/>
                <w:noProof/>
                <w:color w:val="006100"/>
                <w:sz w:val="20"/>
                <w:szCs w:val="20"/>
              </w:rPr>
              <w:t>transformation, which are completed</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projects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140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Of the overall objective is to complete 155 projects, at least 140 projects, selected under the calls , are  completed</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18</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9  More efficient governance and strengthening RDI  funding</w:t>
            </w:r>
            <w:r>
              <w:rPr>
                <w:rFonts w:ascii="Times New Roman" w:hAnsi="Times New Roman"/>
                <w:noProof/>
                <w:color w:val="006100"/>
                <w:sz w:val="20"/>
                <w:szCs w:val="20"/>
              </w:rPr>
              <w:t xml:space="preserve"> – Investment 6: Financial instruments to support innovation</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Launch and implementation of financial instruments to support innovation</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Launch of the investment phase of financial instruments to support innovation in line with the investment strategy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2</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xml:space="preserve">At least two financial instruments shall be launched in the investment phase in line with an investment strategy/contractual </w:t>
            </w:r>
            <w:r>
              <w:rPr>
                <w:rFonts w:ascii="Times New Roman" w:hAnsi="Times New Roman"/>
                <w:noProof/>
                <w:color w:val="006100"/>
                <w:sz w:val="20"/>
                <w:szCs w:val="20"/>
              </w:rPr>
              <w:t xml:space="preserve">agreement, which comply with “Do no significant harm” Technical Guidance (2021/C58/01) principles requiring sustainability proofing,  exclusion criteria of the investment and compliance with the relevant EU and national environmental legislation..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DNSH as</w:t>
            </w:r>
            <w:r>
              <w:rPr>
                <w:rFonts w:ascii="Times New Roman" w:hAnsi="Times New Roman"/>
                <w:noProof/>
                <w:color w:val="006100"/>
                <w:sz w:val="20"/>
                <w:szCs w:val="20"/>
              </w:rPr>
              <w:t>pects shall be properly reflected in the contractual agreement between Slovak authorities and the implementing partners/financial intermediaries.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The financial instruments shall support innovation in enterprises and include the following schemes: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•Capital</w:t>
            </w:r>
            <w:r>
              <w:rPr>
                <w:rFonts w:ascii="Times New Roman" w:hAnsi="Times New Roman"/>
                <w:noProof/>
                <w:color w:val="006100"/>
                <w:sz w:val="20"/>
                <w:szCs w:val="20"/>
              </w:rPr>
              <w:t xml:space="preserve"> input early in business lifecycle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Capital input to growth stage companies</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micro-loans covering “green” and “digital” loans</w:t>
            </w:r>
          </w:p>
          <w:p w:rsidR="00BF6749" w:rsidRDefault="00BF6749">
            <w:pPr>
              <w:spacing w:after="0"/>
              <w:rPr>
                <w:rFonts w:ascii="Times New Roman" w:hAnsi="Times New Roman"/>
                <w:noProof/>
                <w:sz w:val="20"/>
                <w:szCs w:val="20"/>
              </w:rPr>
            </w:pPr>
          </w:p>
        </w:tc>
      </w:tr>
      <w:tr w:rsidR="00BF6749">
        <w:trPr>
          <w:trHeight w:val="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19</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6: Financial instruments to support innovation</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Number of companies supported through financial instruments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 of companies</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150</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Of the overall objective is to support 165 companies, at least 150 companies, are supported by financial instruments in the form of capital inputs and </w:t>
            </w:r>
            <w:r>
              <w:rPr>
                <w:rFonts w:ascii="Times New Roman" w:hAnsi="Times New Roman"/>
                <w:noProof/>
                <w:color w:val="006100"/>
                <w:sz w:val="20"/>
                <w:szCs w:val="20"/>
              </w:rPr>
              <w:t>micro-loans</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It is estimated that 40 companies benefit from a capital injection and 125 companies from  ‘green’ or ‘digital’ loans</w:t>
            </w:r>
          </w:p>
        </w:tc>
      </w:tr>
      <w:tr w:rsidR="00BF6749">
        <w:trPr>
          <w:trHeight w:val="37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w:t>
            </w:r>
          </w:p>
        </w:tc>
        <w:tc>
          <w:tcPr>
            <w:tcW w:w="163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spacing w:after="0"/>
              <w:rPr>
                <w:rFonts w:ascii="Times New Roman" w:hAnsi="Times New Roman"/>
                <w:noProof/>
                <w:color w:val="006100"/>
                <w:sz w:val="20"/>
                <w:szCs w:val="20"/>
              </w:rPr>
            </w:pP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9 More efficient governance and strengthening RDI  funding – Investment 7: It support a single RD grant system</w:t>
            </w:r>
          </w:p>
        </w:tc>
        <w:tc>
          <w:tcPr>
            <w:tcW w:w="12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Design of the new RD  information system to evaluate grant schemes</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First grant calls  implemented in the new RD grant evaluation information system </w:t>
            </w:r>
          </w:p>
        </w:tc>
        <w:tc>
          <w:tcPr>
            <w:tcW w:w="8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7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61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1</w:t>
            </w:r>
          </w:p>
        </w:tc>
        <w:tc>
          <w:tcPr>
            <w:tcW w:w="82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49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540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A new information system for the evaluation of RD grants is operational and shall be tested by the first calls.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The IT system is expected to have the following specific features: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a module linking  the register of higher education staff with staff in R</w:t>
            </w:r>
            <w:r>
              <w:rPr>
                <w:rFonts w:ascii="Times New Roman" w:hAnsi="Times New Roman"/>
                <w:noProof/>
                <w:color w:val="006100"/>
                <w:sz w:val="20"/>
                <w:szCs w:val="20"/>
              </w:rPr>
              <w:t>DI and other sectors,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xml:space="preserve">• a module registering RD organisations, </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modularity of the system for flexible use of the different evaluation systems,</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a module linking the publication output register for both project evaluation and project results´ reporting,</w:t>
            </w:r>
          </w:p>
          <w:p w:rsidR="00BF6749" w:rsidRDefault="00C87555">
            <w:pPr>
              <w:spacing w:after="0"/>
              <w:rPr>
                <w:rFonts w:ascii="Times New Roman" w:hAnsi="Times New Roman"/>
                <w:noProof/>
                <w:sz w:val="20"/>
                <w:szCs w:val="20"/>
              </w:rPr>
            </w:pPr>
            <w:r>
              <w:rPr>
                <w:rFonts w:ascii="Times New Roman" w:hAnsi="Times New Roman"/>
                <w:noProof/>
                <w:color w:val="006100"/>
                <w:sz w:val="20"/>
                <w:szCs w:val="20"/>
              </w:rPr>
              <w:t>• interactions with the Cohesion Policy IT system  and</w:t>
            </w:r>
          </w:p>
          <w:p w:rsidR="00BF6749" w:rsidRDefault="00C87555">
            <w:pPr>
              <w:spacing w:after="0"/>
              <w:rPr>
                <w:rFonts w:ascii="Times New Roman" w:hAnsi="Times New Roman"/>
                <w:noProof/>
                <w:color w:val="006100"/>
                <w:sz w:val="20"/>
                <w:szCs w:val="20"/>
              </w:rPr>
            </w:pPr>
            <w:r>
              <w:rPr>
                <w:rFonts w:ascii="Times New Roman" w:hAnsi="Times New Roman"/>
                <w:noProof/>
                <w:color w:val="006100"/>
                <w:sz w:val="20"/>
                <w:szCs w:val="20"/>
              </w:rPr>
              <w:t>•  modularity allowing variable call  settings</w:t>
            </w:r>
          </w:p>
          <w:p w:rsidR="00BF6749" w:rsidRDefault="00BF6749">
            <w:pPr>
              <w:spacing w:after="0"/>
              <w:rPr>
                <w:rFonts w:ascii="Times New Roman" w:hAnsi="Times New Roman"/>
                <w:noProof/>
                <w:color w:val="006100"/>
                <w:sz w:val="20"/>
                <w:szCs w:val="20"/>
              </w:rPr>
            </w:pPr>
          </w:p>
        </w:tc>
      </w:tr>
    </w:tbl>
    <w:p w:rsidR="00BF6749" w:rsidRDefault="00BF6749">
      <w:pPr>
        <w:tabs>
          <w:tab w:val="left" w:pos="1560"/>
        </w:tabs>
        <w:spacing w:before="120" w:after="120" w:line="240" w:lineRule="auto"/>
        <w:ind w:left="1276"/>
        <w:jc w:val="both"/>
        <w:rPr>
          <w:rFonts w:ascii="Times New Roman" w:hAnsi="Times New Roman"/>
          <w:i/>
          <w:iCs/>
          <w:noProof/>
          <w:highlight w:val="yellow"/>
        </w:rPr>
      </w:pPr>
    </w:p>
    <w:p w:rsidR="00BF6749" w:rsidRDefault="00BF6749">
      <w:pPr>
        <w:spacing w:before="120" w:after="120" w:line="240" w:lineRule="auto"/>
        <w:ind w:left="850"/>
        <w:jc w:val="both"/>
        <w:rPr>
          <w:rFonts w:ascii="Times New Roman" w:hAnsi="Times New Roman"/>
          <w:i/>
          <w:iCs/>
          <w:noProof/>
          <w:color w:val="4F81BD"/>
          <w:sz w:val="24"/>
        </w:rPr>
        <w:sectPr w:rsidR="00BF6749">
          <w:headerReference w:type="even" r:id="rId120"/>
          <w:headerReference w:type="default" r:id="rId121"/>
          <w:footerReference w:type="even" r:id="rId122"/>
          <w:footerReference w:type="default" r:id="rId123"/>
          <w:headerReference w:type="first" r:id="rId124"/>
          <w:footerReference w:type="first" r:id="rId125"/>
          <w:pgSz w:w="16839" w:h="11907" w:orient="landscape"/>
          <w:pgMar w:top="1417" w:right="1134" w:bottom="1417" w:left="709" w:header="709" w:footer="709" w:gutter="0"/>
          <w:cols w:space="720"/>
          <w:docGrid w:linePitch="360"/>
        </w:sectPr>
      </w:pPr>
    </w:p>
    <w:p w:rsidR="00BF6749" w:rsidRDefault="00C87555">
      <w:pPr>
        <w:keepNext/>
        <w:tabs>
          <w:tab w:val="left" w:pos="850"/>
        </w:tabs>
        <w:spacing w:before="360" w:after="120" w:line="240" w:lineRule="auto"/>
        <w:ind w:left="1700" w:hanging="850"/>
        <w:jc w:val="both"/>
        <w:outlineLvl w:val="0"/>
        <w:rPr>
          <w:rFonts w:ascii="Times New Roman" w:hAnsi="Times New Roman"/>
          <w:b/>
          <w:smallCaps/>
          <w:noProof/>
          <w:sz w:val="24"/>
        </w:rPr>
      </w:pPr>
      <w:r>
        <w:rPr>
          <w:rFonts w:ascii="Times New Roman" w:hAnsi="Times New Roman"/>
          <w:b/>
          <w:smallCaps/>
          <w:noProof/>
          <w:sz w:val="24"/>
        </w:rPr>
        <w:t>COMPONENT 10: Attracting and retaining talents</w:t>
      </w:r>
    </w:p>
    <w:p w:rsidR="00BF6749" w:rsidRDefault="00C87555">
      <w:pPr>
        <w:spacing w:before="120" w:after="120" w:line="240" w:lineRule="auto"/>
        <w:ind w:left="850"/>
        <w:jc w:val="both"/>
        <w:rPr>
          <w:rFonts w:ascii="Times New Roman" w:hAnsi="Times New Roman"/>
          <w:noProof/>
          <w:sz w:val="24"/>
        </w:rPr>
      </w:pPr>
      <w:r>
        <w:rPr>
          <w:rFonts w:ascii="Times New Roman" w:hAnsi="Times New Roman"/>
          <w:noProof/>
          <w:sz w:val="24"/>
        </w:rPr>
        <w:t xml:space="preserve">The objective of this component of the Slovak </w:t>
      </w:r>
      <w:r>
        <w:rPr>
          <w:rFonts w:ascii="Times New Roman" w:hAnsi="Times New Roman"/>
          <w:noProof/>
          <w:sz w:val="24"/>
        </w:rPr>
        <w:t>recovery and resilience plan is to develop effective policies to promote student and labour mobility, actively motivate highly qualified foreign experts (including Slovak nationals), students and entrepreneurs to establish themselves in Slovakia. The aim o</w:t>
      </w:r>
      <w:r>
        <w:rPr>
          <w:rFonts w:ascii="Times New Roman" w:hAnsi="Times New Roman"/>
          <w:noProof/>
          <w:sz w:val="24"/>
        </w:rPr>
        <w:t xml:space="preserve">f these measures is the need to attract and retain human capital essential for Slovakia’s economic development. The authorities’ ambition is to increase, over a five-year horizon, the share of highly skilled foreign nationals in the workforce from 0.5% to </w:t>
      </w:r>
      <w:r>
        <w:rPr>
          <w:rFonts w:ascii="Times New Roman" w:hAnsi="Times New Roman"/>
          <w:noProof/>
          <w:sz w:val="24"/>
        </w:rPr>
        <w:t>1% and to level the balance of outgoing and incoming students to Slovak higher education institutions.</w:t>
      </w:r>
    </w:p>
    <w:p w:rsidR="00BF6749" w:rsidRDefault="00C87555">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environmental objectives within the meaning of Article 17 of Regulation (EU) 2020/852, taking into account the description of the measures and the mitigating steps set out in the rec</w:t>
      </w:r>
      <w:r>
        <w:rPr>
          <w:rFonts w:ascii="Times New Roman" w:hAnsi="Times New Roman"/>
          <w:noProof/>
          <w:sz w:val="24"/>
          <w:szCs w:val="24"/>
        </w:rPr>
        <w:t xml:space="preserve">overy and resilience plan in accordance with the DNSH Technical Guidance (2021/C58/01).  </w:t>
      </w:r>
    </w:p>
    <w:p w:rsidR="00BF6749" w:rsidRDefault="00C87555">
      <w:pPr>
        <w:spacing w:before="120" w:after="120" w:line="240" w:lineRule="auto"/>
        <w:ind w:left="850"/>
        <w:jc w:val="both"/>
        <w:rPr>
          <w:rFonts w:ascii="Times New Roman" w:hAnsi="Times New Roman"/>
          <w:noProof/>
          <w:sz w:val="24"/>
          <w:lang w:val="en"/>
        </w:rPr>
      </w:pPr>
      <w:r>
        <w:rPr>
          <w:rFonts w:ascii="Times New Roman" w:hAnsi="Times New Roman"/>
          <w:noProof/>
          <w:sz w:val="24"/>
        </w:rPr>
        <w:t>Measures in this component shall contribute to addressing Country-Specific Recommendations to Slovakia, in particular as</w:t>
      </w:r>
      <w:r>
        <w:rPr>
          <w:rFonts w:ascii="Times New Roman" w:hAnsi="Times New Roman"/>
          <w:noProof/>
          <w:sz w:val="24"/>
          <w:lang w:val="en"/>
        </w:rPr>
        <w:t xml:space="preserve"> regards “improving the quality and inclusiven</w:t>
      </w:r>
      <w:r>
        <w:rPr>
          <w:rFonts w:ascii="Times New Roman" w:hAnsi="Times New Roman"/>
          <w:noProof/>
          <w:sz w:val="24"/>
          <w:lang w:val="en"/>
        </w:rPr>
        <w:t>ess of education at all levels and promoting skills”</w:t>
      </w:r>
      <w:r>
        <w:rPr>
          <w:rFonts w:ascii="Times New Roman" w:hAnsi="Times New Roman"/>
          <w:noProof/>
          <w:sz w:val="24"/>
        </w:rPr>
        <w:t xml:space="preserve"> and “promoting the integration of disadvantaged groups” (Country-Specific Recommendation</w:t>
      </w:r>
      <w:r>
        <w:rPr>
          <w:rFonts w:ascii="Times New Roman" w:hAnsi="Times New Roman"/>
          <w:noProof/>
          <w:sz w:val="24"/>
          <w:lang w:val="en"/>
        </w:rPr>
        <w:t xml:space="preserve"> 2, 2019), as well as “resilience of the health system in the areas of health workforce” (</w:t>
      </w:r>
      <w:r>
        <w:rPr>
          <w:rFonts w:ascii="Times New Roman" w:hAnsi="Times New Roman"/>
          <w:noProof/>
          <w:sz w:val="24"/>
        </w:rPr>
        <w:t>Country-Specific Recommen</w:t>
      </w:r>
      <w:r>
        <w:rPr>
          <w:rFonts w:ascii="Times New Roman" w:hAnsi="Times New Roman"/>
          <w:noProof/>
          <w:sz w:val="24"/>
        </w:rPr>
        <w:t>dation</w:t>
      </w:r>
      <w:r>
        <w:rPr>
          <w:rFonts w:ascii="Times New Roman" w:hAnsi="Times New Roman"/>
          <w:noProof/>
          <w:sz w:val="24"/>
          <w:lang w:val="en"/>
        </w:rPr>
        <w:t xml:space="preserve"> 1, 2020). </w:t>
      </w:r>
    </w:p>
    <w:p w:rsidR="00BF6749" w:rsidRDefault="00BF6749">
      <w:pPr>
        <w:spacing w:before="120" w:after="120" w:line="240" w:lineRule="auto"/>
        <w:ind w:left="850"/>
        <w:jc w:val="both"/>
        <w:rPr>
          <w:rFonts w:ascii="Times New Roman" w:hAnsi="Times New Roman"/>
          <w:noProof/>
          <w:sz w:val="24"/>
        </w:rPr>
      </w:pPr>
    </w:p>
    <w:p w:rsidR="00BF6749" w:rsidRDefault="00C87555">
      <w:pPr>
        <w:spacing w:before="120" w:after="120" w:line="240" w:lineRule="auto"/>
        <w:ind w:left="850"/>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Description of the reforms and investments for non-repayable financial support</w:t>
      </w:r>
    </w:p>
    <w:p w:rsidR="00BF6749" w:rsidRDefault="00BF6749">
      <w:pPr>
        <w:spacing w:before="120" w:after="120" w:line="240" w:lineRule="auto"/>
        <w:ind w:left="850"/>
        <w:jc w:val="both"/>
        <w:rPr>
          <w:rFonts w:ascii="Times New Roman" w:hAnsi="Times New Roman"/>
          <w:noProof/>
          <w:sz w:val="24"/>
        </w:rPr>
      </w:pPr>
    </w:p>
    <w:p w:rsidR="00BF6749" w:rsidRDefault="00C87555">
      <w:pPr>
        <w:spacing w:before="120" w:after="120" w:line="240" w:lineRule="auto"/>
        <w:ind w:left="260" w:firstLine="590"/>
        <w:jc w:val="both"/>
        <w:rPr>
          <w:rFonts w:ascii="Times New Roman" w:hAnsi="Times New Roman"/>
          <w:b/>
          <w:noProof/>
          <w:sz w:val="24"/>
          <w:lang w:val="en-US"/>
        </w:rPr>
      </w:pPr>
      <w:r>
        <w:rPr>
          <w:rFonts w:ascii="Times New Roman" w:hAnsi="Times New Roman"/>
          <w:b/>
          <w:noProof/>
          <w:sz w:val="24"/>
          <w:lang w:val="en-US"/>
        </w:rPr>
        <w:t>Reform 1: Reform of residence and labour legislation</w:t>
      </w:r>
    </w:p>
    <w:p w:rsidR="00BF6749" w:rsidRDefault="00C87555">
      <w:pPr>
        <w:spacing w:before="120" w:after="120" w:line="240" w:lineRule="auto"/>
        <w:ind w:left="850"/>
        <w:jc w:val="both"/>
        <w:rPr>
          <w:rFonts w:ascii="Times New Roman" w:hAnsi="Times New Roman"/>
          <w:noProof/>
          <w:sz w:val="24"/>
          <w:lang w:val="en"/>
        </w:rPr>
      </w:pPr>
      <w:r>
        <w:rPr>
          <w:rFonts w:ascii="Times New Roman" w:hAnsi="Times New Roman"/>
          <w:noProof/>
          <w:sz w:val="24"/>
        </w:rPr>
        <w:t xml:space="preserve">Applicable work and residence permit procedures in Slovakia are in general demanding for both the </w:t>
      </w:r>
      <w:r>
        <w:rPr>
          <w:rFonts w:ascii="Times New Roman" w:hAnsi="Times New Roman"/>
          <w:noProof/>
          <w:sz w:val="24"/>
        </w:rPr>
        <w:t xml:space="preserve">worker and the company and tend to be lengthy. </w:t>
      </w:r>
      <w:r>
        <w:rPr>
          <w:rFonts w:ascii="Times New Roman" w:hAnsi="Times New Roman"/>
          <w:noProof/>
          <w:sz w:val="24"/>
          <w:lang w:val="en"/>
        </w:rPr>
        <w:t xml:space="preserve">The aim of this reform is to shorten and significantly simplify these procedures for highly qualified third-country nationals, including their family members. </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reform shall use the existing fast-track sche</w:t>
      </w:r>
      <w:r>
        <w:rPr>
          <w:rFonts w:ascii="Times New Roman" w:hAnsi="Times New Roman"/>
          <w:noProof/>
          <w:sz w:val="24"/>
          <w:lang w:val="en-US"/>
        </w:rPr>
        <w:t>me for national visa (D) in the interest of the country, opening it up to a new category of highly qualified third-country nationals seeking employment. This category of workers shall be exempted from the need to prove having a guaranteed job before enteri</w:t>
      </w:r>
      <w:r>
        <w:rPr>
          <w:rFonts w:ascii="Times New Roman" w:hAnsi="Times New Roman"/>
          <w:noProof/>
          <w:sz w:val="24"/>
          <w:lang w:val="en-US"/>
        </w:rPr>
        <w:t xml:space="preserve">ng the country and shall be allowed to start working on a national visa (D) immediately after finding a job. Compatibility with the revision of the Blue Card Directive shall be ensured. </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implementation of the reform shall be completed by 31 March 2022.</w:t>
      </w:r>
    </w:p>
    <w:p w:rsidR="00BF6749" w:rsidRDefault="00C87555">
      <w:pPr>
        <w:spacing w:before="120" w:after="120" w:line="240" w:lineRule="auto"/>
        <w:ind w:left="850"/>
        <w:jc w:val="both"/>
        <w:rPr>
          <w:rFonts w:ascii="Times New Roman" w:hAnsi="Times New Roman"/>
          <w:b/>
          <w:noProof/>
          <w:sz w:val="24"/>
          <w:lang w:val="en-US"/>
        </w:rPr>
      </w:pPr>
      <w:r>
        <w:rPr>
          <w:rFonts w:ascii="Times New Roman" w:hAnsi="Times New Roman"/>
          <w:b/>
          <w:noProof/>
          <w:sz w:val="24"/>
          <w:lang w:val="en-US"/>
        </w:rPr>
        <w:t>Reform 2: Simplification of the regime for the recognition of qualifications and professional qualifications for the exercise of regulated professions</w:t>
      </w:r>
    </w:p>
    <w:p w:rsidR="00BF6749" w:rsidRDefault="00C87555">
      <w:pPr>
        <w:spacing w:before="120" w:after="120" w:line="240" w:lineRule="auto"/>
        <w:ind w:left="850"/>
        <w:jc w:val="both"/>
        <w:rPr>
          <w:rFonts w:ascii="Times New Roman" w:hAnsi="Times New Roman"/>
          <w:noProof/>
          <w:sz w:val="24"/>
          <w:lang w:val="en"/>
        </w:rPr>
      </w:pPr>
      <w:r>
        <w:rPr>
          <w:rFonts w:ascii="Times New Roman" w:hAnsi="Times New Roman"/>
          <w:noProof/>
          <w:sz w:val="24"/>
          <w:lang w:val="en"/>
        </w:rPr>
        <w:t>This reform shall simplify the recognition of educational qualifications by foreign workers, in order to</w:t>
      </w:r>
      <w:r>
        <w:rPr>
          <w:rFonts w:ascii="Times New Roman" w:hAnsi="Times New Roman"/>
          <w:noProof/>
          <w:sz w:val="24"/>
          <w:lang w:val="en"/>
        </w:rPr>
        <w:t xml:space="preserve"> facilitate their establishment in Slovakia. </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For countries with a bilateral agreement in recognition of qualifications, applicants shall be exempt from providing an attestation of the university’s accreditation to provide the relevant education. In additi</w:t>
      </w:r>
      <w:r>
        <w:rPr>
          <w:rFonts w:ascii="Times New Roman" w:hAnsi="Times New Roman"/>
          <w:noProof/>
          <w:sz w:val="24"/>
          <w:lang w:val="en-US"/>
        </w:rPr>
        <w:t>on, the capacity of the Centre for Recognition of Educational Recognition shall be strengthened to speed up the qualifications recognition process for all countries.</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For qualifications of doctors the reform shall:</w:t>
      </w:r>
    </w:p>
    <w:p w:rsidR="00BF6749" w:rsidRDefault="00C87555">
      <w:pPr>
        <w:numPr>
          <w:ilvl w:val="0"/>
          <w:numId w:val="30"/>
        </w:numPr>
        <w:spacing w:before="120" w:after="120" w:line="240" w:lineRule="auto"/>
        <w:jc w:val="both"/>
        <w:rPr>
          <w:rFonts w:ascii="Times New Roman" w:hAnsi="Times New Roman"/>
          <w:noProof/>
          <w:sz w:val="24"/>
          <w:lang w:val="en-US"/>
        </w:rPr>
      </w:pPr>
      <w:r>
        <w:rPr>
          <w:rFonts w:ascii="Times New Roman" w:hAnsi="Times New Roman"/>
          <w:noProof/>
          <w:sz w:val="24"/>
          <w:lang w:val="en-US"/>
        </w:rPr>
        <w:t>reduce the time limits for the recognition</w:t>
      </w:r>
      <w:r>
        <w:rPr>
          <w:rFonts w:ascii="Times New Roman" w:hAnsi="Times New Roman"/>
          <w:noProof/>
          <w:sz w:val="24"/>
          <w:lang w:val="en-US"/>
        </w:rPr>
        <w:t xml:space="preserve"> of diplomas listed in Annex 3 to the Healthcare Providers Act from three months to one month. Automatic recognition of coordinated specialisations at EU level of doctors and dentists;</w:t>
      </w:r>
    </w:p>
    <w:p w:rsidR="00BF6749" w:rsidRDefault="00C87555">
      <w:pPr>
        <w:numPr>
          <w:ilvl w:val="0"/>
          <w:numId w:val="30"/>
        </w:numPr>
        <w:spacing w:before="120" w:after="120" w:line="240" w:lineRule="auto"/>
        <w:jc w:val="both"/>
        <w:rPr>
          <w:rFonts w:ascii="Times New Roman" w:hAnsi="Times New Roman"/>
          <w:noProof/>
          <w:sz w:val="24"/>
          <w:lang w:val="en-US"/>
        </w:rPr>
      </w:pPr>
      <w:r>
        <w:rPr>
          <w:rFonts w:ascii="Times New Roman" w:hAnsi="Times New Roman"/>
          <w:noProof/>
          <w:sz w:val="24"/>
          <w:lang w:val="en-US"/>
        </w:rPr>
        <w:t>reduce the time limits for the recognition of diplomas not listed in An</w:t>
      </w:r>
      <w:r>
        <w:rPr>
          <w:rFonts w:ascii="Times New Roman" w:hAnsi="Times New Roman"/>
          <w:noProof/>
          <w:sz w:val="24"/>
          <w:lang w:val="en-US"/>
        </w:rPr>
        <w:t>nex 3 to the Act on healthcare providers issued by competent authorities under the legislation of the Member States from three months to two months;</w:t>
      </w:r>
    </w:p>
    <w:p w:rsidR="00BF6749" w:rsidRDefault="00C87555">
      <w:pPr>
        <w:numPr>
          <w:ilvl w:val="0"/>
          <w:numId w:val="30"/>
        </w:num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reduce the time limits for the recognition of diplomas issued by competent authorities under the laws of </w:t>
      </w:r>
      <w:r>
        <w:rPr>
          <w:rFonts w:ascii="Times New Roman" w:hAnsi="Times New Roman"/>
          <w:noProof/>
          <w:sz w:val="24"/>
          <w:lang w:val="en-US"/>
        </w:rPr>
        <w:t>third countries from three months to two months. Adjust the time limits for the recognition of diplomas issued in another country from four months to two months;</w:t>
      </w:r>
    </w:p>
    <w:p w:rsidR="00BF6749" w:rsidRDefault="00C87555">
      <w:pPr>
        <w:numPr>
          <w:ilvl w:val="0"/>
          <w:numId w:val="30"/>
        </w:numPr>
        <w:spacing w:before="120" w:after="120" w:line="240" w:lineRule="auto"/>
        <w:jc w:val="both"/>
        <w:rPr>
          <w:rFonts w:ascii="Times New Roman" w:hAnsi="Times New Roman"/>
          <w:noProof/>
          <w:sz w:val="24"/>
          <w:lang w:val="en-US"/>
        </w:rPr>
      </w:pPr>
      <w:r>
        <w:rPr>
          <w:rFonts w:ascii="Times New Roman" w:hAnsi="Times New Roman"/>
          <w:noProof/>
          <w:sz w:val="24"/>
          <w:lang w:val="en-US"/>
        </w:rPr>
        <w:t>extend the institution of temporary traineeships beyond the current crisis period, by amending</w:t>
      </w:r>
      <w:r>
        <w:rPr>
          <w:rFonts w:ascii="Times New Roman" w:hAnsi="Times New Roman"/>
          <w:noProof/>
          <w:sz w:val="24"/>
          <w:lang w:val="en-US"/>
        </w:rPr>
        <w:t xml:space="preserve"> Article 30a of the Healthcare Providers Act.</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implementation of the reform shall be completed by 31 March 2022.</w:t>
      </w:r>
    </w:p>
    <w:p w:rsidR="00BF6749" w:rsidRDefault="00C87555">
      <w:pPr>
        <w:spacing w:before="120" w:after="120" w:line="240" w:lineRule="auto"/>
        <w:ind w:left="850"/>
        <w:jc w:val="both"/>
        <w:rPr>
          <w:rFonts w:ascii="Times New Roman" w:hAnsi="Times New Roman"/>
          <w:b/>
          <w:noProof/>
          <w:sz w:val="24"/>
          <w:lang w:val="en-US"/>
        </w:rPr>
      </w:pPr>
      <w:r>
        <w:rPr>
          <w:rFonts w:ascii="Times New Roman" w:hAnsi="Times New Roman"/>
          <w:b/>
          <w:noProof/>
          <w:sz w:val="24"/>
          <w:lang w:val="en-US"/>
        </w:rPr>
        <w:t>Investment 1: Support tools and assistance for returnees, highly qualified third-country workers and their family members and foreign higher</w:t>
      </w:r>
      <w:r>
        <w:rPr>
          <w:rFonts w:ascii="Times New Roman" w:hAnsi="Times New Roman"/>
          <w:b/>
          <w:noProof/>
          <w:sz w:val="24"/>
          <w:lang w:val="en-US"/>
        </w:rPr>
        <w:t xml:space="preserve"> education students studying in Slovakia</w:t>
      </w:r>
    </w:p>
    <w:p w:rsidR="00BF6749" w:rsidRDefault="00C87555">
      <w:pPr>
        <w:spacing w:before="120" w:after="120" w:line="240" w:lineRule="auto"/>
        <w:ind w:left="850"/>
        <w:jc w:val="both"/>
        <w:rPr>
          <w:rFonts w:ascii="Times New Roman" w:hAnsi="Times New Roman"/>
          <w:noProof/>
          <w:sz w:val="24"/>
        </w:rPr>
      </w:pPr>
      <w:r>
        <w:rPr>
          <w:rFonts w:ascii="Times New Roman" w:hAnsi="Times New Roman"/>
          <w:noProof/>
          <w:sz w:val="24"/>
        </w:rPr>
        <w:t xml:space="preserve">This investment aims at helping integration of highly skilled workers, returnees from abroad and their family members. </w:t>
      </w:r>
    </w:p>
    <w:p w:rsidR="00BF6749" w:rsidRDefault="00C87555">
      <w:pPr>
        <w:spacing w:before="120" w:after="120" w:line="240" w:lineRule="auto"/>
        <w:ind w:left="850"/>
        <w:jc w:val="both"/>
        <w:rPr>
          <w:rFonts w:ascii="Times New Roman" w:hAnsi="Times New Roman"/>
          <w:noProof/>
          <w:sz w:val="24"/>
          <w:lang w:val="en"/>
        </w:rPr>
      </w:pPr>
      <w:r>
        <w:rPr>
          <w:rFonts w:ascii="Times New Roman" w:hAnsi="Times New Roman"/>
          <w:noProof/>
          <w:sz w:val="24"/>
        </w:rPr>
        <w:t>The investment shall support integration programmes for target groups of foreign students, high</w:t>
      </w:r>
      <w:r>
        <w:rPr>
          <w:rFonts w:ascii="Times New Roman" w:hAnsi="Times New Roman"/>
          <w:noProof/>
          <w:sz w:val="24"/>
        </w:rPr>
        <w:t>ly skilled workers and their family members and returnees from abroad, including through project funding. A legal framework shall be created for “one-stop shops” (centres providing comprehensive advice and services facilitating establishment in Slovakia an</w:t>
      </w:r>
      <w:r>
        <w:rPr>
          <w:rFonts w:ascii="Times New Roman" w:hAnsi="Times New Roman"/>
          <w:noProof/>
          <w:sz w:val="24"/>
        </w:rPr>
        <w:t xml:space="preserve">d starting a career), followed by the establishment of three such centres. </w:t>
      </w:r>
      <w:r>
        <w:rPr>
          <w:rFonts w:ascii="Times New Roman" w:hAnsi="Times New Roman"/>
          <w:noProof/>
          <w:sz w:val="24"/>
          <w:lang w:val="en"/>
        </w:rPr>
        <w:t>The language skills of public sector staff (in particular first contact personnel) and their capacity building in integration counselling for foreigners shall be strengthened throug</w:t>
      </w:r>
      <w:r>
        <w:rPr>
          <w:rFonts w:ascii="Times New Roman" w:hAnsi="Times New Roman"/>
          <w:noProof/>
          <w:sz w:val="24"/>
          <w:lang w:val="en"/>
        </w:rPr>
        <w:t>h training.</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March 2025.</w:t>
      </w:r>
    </w:p>
    <w:p w:rsidR="00BF6749" w:rsidRDefault="00C87555">
      <w:pPr>
        <w:spacing w:before="120" w:after="120" w:line="240" w:lineRule="auto"/>
        <w:ind w:left="850"/>
        <w:jc w:val="both"/>
        <w:rPr>
          <w:rFonts w:ascii="Times New Roman" w:hAnsi="Times New Roman"/>
          <w:b/>
          <w:noProof/>
          <w:sz w:val="24"/>
          <w:lang w:val="en-US"/>
        </w:rPr>
      </w:pPr>
      <w:r>
        <w:rPr>
          <w:rFonts w:ascii="Times New Roman" w:hAnsi="Times New Roman"/>
          <w:b/>
          <w:noProof/>
          <w:sz w:val="24"/>
          <w:lang w:val="en-US"/>
        </w:rPr>
        <w:t>Investment 2: Strengthening relations with the diaspora, supporting citizens’ initiatives</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aim of this measure is to strengthen relations with Slovaks abroad, includin</w:t>
      </w:r>
      <w:r>
        <w:rPr>
          <w:rFonts w:ascii="Times New Roman" w:hAnsi="Times New Roman"/>
          <w:noProof/>
          <w:sz w:val="24"/>
          <w:lang w:val="en-US"/>
        </w:rPr>
        <w:t>g members of the new diaspora, to increase the likelihood of their return home, and to use their know-how to modernise Slovakia. The objective is not to hinder the movement of highly skilled workers, but rather to promote “brain circulation”.</w:t>
      </w:r>
    </w:p>
    <w:p w:rsidR="00BF6749" w:rsidRDefault="00C87555">
      <w:pPr>
        <w:spacing w:before="120" w:after="120" w:line="240" w:lineRule="auto"/>
        <w:ind w:left="850"/>
        <w:jc w:val="both"/>
        <w:rPr>
          <w:rFonts w:ascii="Times New Roman" w:hAnsi="Times New Roman"/>
          <w:noProof/>
          <w:sz w:val="24"/>
        </w:rPr>
      </w:pPr>
      <w:r>
        <w:rPr>
          <w:rFonts w:ascii="Times New Roman" w:hAnsi="Times New Roman"/>
          <w:noProof/>
          <w:sz w:val="24"/>
        </w:rPr>
        <w:t>The investmen</w:t>
      </w:r>
      <w:r>
        <w:rPr>
          <w:rFonts w:ascii="Times New Roman" w:hAnsi="Times New Roman"/>
          <w:noProof/>
          <w:sz w:val="24"/>
        </w:rPr>
        <w:t>t shall support the promotion of career opportunities in Slovakia, including through digital platforms containing information relevant for returning home. It shall also support the activities of non-governmental initiatives with experience in this field an</w:t>
      </w:r>
      <w:r>
        <w:rPr>
          <w:rFonts w:ascii="Times New Roman" w:hAnsi="Times New Roman"/>
          <w:noProof/>
          <w:sz w:val="24"/>
        </w:rPr>
        <w:t>d partnerships between governmental and non-governmental initiatives.</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March 2026.</w:t>
      </w:r>
    </w:p>
    <w:p w:rsidR="00BF6749" w:rsidRDefault="00C87555">
      <w:pPr>
        <w:spacing w:before="120" w:after="120" w:line="240" w:lineRule="auto"/>
        <w:ind w:left="850"/>
        <w:jc w:val="both"/>
        <w:rPr>
          <w:rFonts w:ascii="Times New Roman" w:hAnsi="Times New Roman"/>
          <w:b/>
          <w:noProof/>
          <w:sz w:val="24"/>
          <w:lang w:val="en-US"/>
        </w:rPr>
      </w:pPr>
      <w:r>
        <w:rPr>
          <w:rFonts w:ascii="Times New Roman" w:hAnsi="Times New Roman"/>
          <w:b/>
          <w:noProof/>
          <w:sz w:val="24"/>
          <w:lang w:val="en-US"/>
        </w:rPr>
        <w:t>Investment 3: Scholarships for domestic and foreign talented students</w:t>
      </w:r>
    </w:p>
    <w:p w:rsidR="00BF6749" w:rsidRDefault="00C87555">
      <w:pPr>
        <w:spacing w:before="120" w:after="120" w:line="240" w:lineRule="auto"/>
        <w:ind w:left="850"/>
        <w:jc w:val="both"/>
        <w:rPr>
          <w:rFonts w:ascii="Times New Roman" w:hAnsi="Times New Roman"/>
          <w:noProof/>
          <w:sz w:val="24"/>
        </w:rPr>
      </w:pPr>
      <w:r>
        <w:rPr>
          <w:rFonts w:ascii="Times New Roman" w:hAnsi="Times New Roman"/>
          <w:noProof/>
          <w:sz w:val="24"/>
        </w:rPr>
        <w:t>The scholarship scheme shall financially s</w:t>
      </w:r>
      <w:r>
        <w:rPr>
          <w:rFonts w:ascii="Times New Roman" w:hAnsi="Times New Roman"/>
          <w:noProof/>
          <w:sz w:val="24"/>
        </w:rPr>
        <w:t>upport talented students in three groups:</w:t>
      </w:r>
    </w:p>
    <w:p w:rsidR="00BF6749" w:rsidRDefault="00C87555">
      <w:pPr>
        <w:numPr>
          <w:ilvl w:val="4"/>
          <w:numId w:val="5"/>
        </w:numPr>
        <w:spacing w:before="120" w:after="120" w:line="240" w:lineRule="auto"/>
        <w:ind w:left="1701"/>
        <w:jc w:val="both"/>
        <w:rPr>
          <w:rFonts w:ascii="Times New Roman" w:hAnsi="Times New Roman"/>
          <w:noProof/>
          <w:sz w:val="24"/>
        </w:rPr>
      </w:pPr>
      <w:r>
        <w:rPr>
          <w:rFonts w:ascii="Times New Roman" w:hAnsi="Times New Roman"/>
          <w:noProof/>
          <w:sz w:val="24"/>
        </w:rPr>
        <w:t>the most talented Slovak high school graduates – measured by their high-school graduation grade, emphasising specialisations with higher proportion to leave Slovakia (mathematics, foreign languages);</w:t>
      </w:r>
    </w:p>
    <w:p w:rsidR="00BF6749" w:rsidRDefault="00C87555">
      <w:pPr>
        <w:numPr>
          <w:ilvl w:val="4"/>
          <w:numId w:val="5"/>
        </w:numPr>
        <w:spacing w:before="120" w:after="120" w:line="240" w:lineRule="auto"/>
        <w:ind w:left="1701"/>
        <w:jc w:val="both"/>
        <w:rPr>
          <w:rFonts w:ascii="Times New Roman" w:hAnsi="Times New Roman"/>
          <w:noProof/>
          <w:sz w:val="24"/>
        </w:rPr>
      </w:pPr>
      <w:r>
        <w:rPr>
          <w:rFonts w:ascii="Times New Roman" w:hAnsi="Times New Roman"/>
          <w:noProof/>
          <w:sz w:val="24"/>
        </w:rPr>
        <w:t>the most talen</w:t>
      </w:r>
      <w:r>
        <w:rPr>
          <w:rFonts w:ascii="Times New Roman" w:hAnsi="Times New Roman"/>
          <w:noProof/>
          <w:sz w:val="24"/>
        </w:rPr>
        <w:t>ted students from abroad – measured by standardised international tests;</w:t>
      </w:r>
    </w:p>
    <w:p w:rsidR="00BF6749" w:rsidRDefault="00C87555">
      <w:pPr>
        <w:numPr>
          <w:ilvl w:val="4"/>
          <w:numId w:val="5"/>
        </w:numPr>
        <w:spacing w:before="120" w:after="120" w:line="240" w:lineRule="auto"/>
        <w:ind w:left="1701"/>
        <w:jc w:val="both"/>
        <w:rPr>
          <w:rFonts w:ascii="Times New Roman" w:hAnsi="Times New Roman"/>
          <w:noProof/>
          <w:sz w:val="24"/>
        </w:rPr>
      </w:pPr>
      <w:r>
        <w:rPr>
          <w:rFonts w:ascii="Times New Roman" w:hAnsi="Times New Roman"/>
          <w:noProof/>
          <w:sz w:val="24"/>
        </w:rPr>
        <w:t>above-average students from socially and economically disadvantaged backgrounds or belonging to specific disadvantaged groups (such as orphans, children in centres for children and fa</w:t>
      </w:r>
      <w:r>
        <w:rPr>
          <w:rFonts w:ascii="Times New Roman" w:hAnsi="Times New Roman"/>
          <w:noProof/>
          <w:sz w:val="24"/>
        </w:rPr>
        <w:t>milies, or the so-called first generation university students) – measured by their high-school graduation grade.</w:t>
      </w:r>
    </w:p>
    <w:p w:rsidR="00BF6749" w:rsidRDefault="00C87555">
      <w:pPr>
        <w:spacing w:before="120" w:after="120" w:line="240" w:lineRule="auto"/>
        <w:ind w:left="850"/>
        <w:jc w:val="both"/>
        <w:rPr>
          <w:rFonts w:ascii="Times New Roman" w:hAnsi="Times New Roman"/>
          <w:noProof/>
          <w:sz w:val="24"/>
        </w:rPr>
      </w:pPr>
      <w:r>
        <w:rPr>
          <w:rFonts w:ascii="Times New Roman" w:hAnsi="Times New Roman"/>
          <w:noProof/>
          <w:sz w:val="24"/>
        </w:rPr>
        <w:t>The scheme shall provide scholarship for selected students during the first three years of the bachelor’s degree. A financial incentive for uni</w:t>
      </w:r>
      <w:r>
        <w:rPr>
          <w:rFonts w:ascii="Times New Roman" w:hAnsi="Times New Roman"/>
          <w:noProof/>
          <w:sz w:val="24"/>
        </w:rPr>
        <w:t xml:space="preserve">versities receiving the students shall be paid, which they may use to support excellent students in the second cycle level or for integration and career development programmes for excellent domestic or foreign students. </w:t>
      </w:r>
    </w:p>
    <w:p w:rsidR="00BF6749" w:rsidRDefault="00C87555">
      <w:pPr>
        <w:spacing w:before="120" w:after="120" w:line="240" w:lineRule="auto"/>
        <w:ind w:left="850"/>
        <w:jc w:val="both"/>
        <w:rPr>
          <w:rFonts w:ascii="Times New Roman" w:hAnsi="Times New Roman"/>
          <w:noProof/>
          <w:sz w:val="24"/>
        </w:rPr>
      </w:pPr>
      <w:r>
        <w:rPr>
          <w:rFonts w:ascii="Times New Roman" w:hAnsi="Times New Roman"/>
          <w:noProof/>
          <w:sz w:val="24"/>
        </w:rPr>
        <w:t xml:space="preserve">The scheme shall be operational in </w:t>
      </w:r>
      <w:r>
        <w:rPr>
          <w:rFonts w:ascii="Times New Roman" w:hAnsi="Times New Roman"/>
          <w:noProof/>
          <w:sz w:val="24"/>
        </w:rPr>
        <w:t>the period 2022 to 2027 (i.e. scholarships running until 2029). The recovery and resilience plan shall support students entering between 2022 and 2024, while other financial sources shall be used to extent the provision of such support at least until the e</w:t>
      </w:r>
      <w:r>
        <w:rPr>
          <w:rFonts w:ascii="Times New Roman" w:hAnsi="Times New Roman"/>
          <w:noProof/>
          <w:sz w:val="24"/>
        </w:rPr>
        <w:t xml:space="preserve">nd of 2027. </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December 2024.</w:t>
      </w:r>
    </w:p>
    <w:p w:rsidR="00BF6749" w:rsidRDefault="00C87555">
      <w:pPr>
        <w:spacing w:before="120" w:after="120" w:line="240" w:lineRule="auto"/>
        <w:ind w:left="850"/>
        <w:jc w:val="both"/>
        <w:rPr>
          <w:rFonts w:ascii="Times New Roman" w:hAnsi="Times New Roman"/>
          <w:b/>
          <w:noProof/>
          <w:sz w:val="24"/>
          <w:lang w:val="en-US"/>
        </w:rPr>
      </w:pPr>
      <w:r>
        <w:rPr>
          <w:rFonts w:ascii="Times New Roman" w:hAnsi="Times New Roman"/>
          <w:b/>
          <w:noProof/>
          <w:sz w:val="24"/>
          <w:lang w:val="en-US"/>
        </w:rPr>
        <w:t>Investment 4: Promoting internationalisation in the academic environment</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objective of this investment is to support the internationalisation of universities and r</w:t>
      </w:r>
      <w:r>
        <w:rPr>
          <w:rFonts w:ascii="Times New Roman" w:hAnsi="Times New Roman"/>
          <w:noProof/>
          <w:sz w:val="24"/>
          <w:lang w:val="en-US"/>
        </w:rPr>
        <w:t xml:space="preserve">esearch institutions in Slovakia. </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The Government shall adopt a strategy for the internationalisation of universities, which shall include support to joint university programs, measures to attract foreign students and academics and implement the principles</w:t>
      </w:r>
      <w:r>
        <w:rPr>
          <w:rFonts w:ascii="Times New Roman" w:hAnsi="Times New Roman"/>
          <w:noProof/>
          <w:sz w:val="24"/>
          <w:lang w:val="en-US"/>
        </w:rPr>
        <w:t xml:space="preserve"> of the Human Resources Strategy for Research (HRS4R). </w:t>
      </w:r>
    </w:p>
    <w:p w:rsidR="00BF6749" w:rsidRDefault="00C87555">
      <w:pPr>
        <w:spacing w:before="120" w:after="120" w:line="240" w:lineRule="auto"/>
        <w:ind w:left="850"/>
        <w:jc w:val="both"/>
        <w:rPr>
          <w:rFonts w:ascii="Times New Roman" w:hAnsi="Times New Roman"/>
          <w:noProof/>
          <w:sz w:val="24"/>
          <w:lang w:val="en-US"/>
        </w:rPr>
      </w:pPr>
      <w:r>
        <w:rPr>
          <w:rFonts w:ascii="Times New Roman" w:hAnsi="Times New Roman"/>
          <w:noProof/>
          <w:sz w:val="24"/>
          <w:lang w:val="en-US"/>
        </w:rPr>
        <w:t xml:space="preserve">The investment shall support: </w:t>
      </w:r>
    </w:p>
    <w:p w:rsidR="00BF6749" w:rsidRDefault="00C87555">
      <w:pPr>
        <w:numPr>
          <w:ilvl w:val="0"/>
          <w:numId w:val="30"/>
        </w:numPr>
        <w:spacing w:before="120" w:after="120" w:line="240" w:lineRule="auto"/>
        <w:jc w:val="both"/>
        <w:rPr>
          <w:rFonts w:ascii="Times New Roman" w:hAnsi="Times New Roman"/>
          <w:noProof/>
          <w:sz w:val="24"/>
          <w:lang w:val="en-US"/>
        </w:rPr>
      </w:pPr>
      <w:r>
        <w:rPr>
          <w:rFonts w:ascii="Times New Roman" w:hAnsi="Times New Roman"/>
          <w:noProof/>
          <w:sz w:val="24"/>
          <w:lang w:val="en-US"/>
        </w:rPr>
        <w:t>systemic measures such as quality audits and support schemes for university development based on audit results;</w:t>
      </w:r>
    </w:p>
    <w:p w:rsidR="00BF6749" w:rsidRDefault="00C87555">
      <w:pPr>
        <w:numPr>
          <w:ilvl w:val="0"/>
          <w:numId w:val="30"/>
        </w:num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support to student mobility programs (CEEPUS fellowships, scholarships on the basis of bilateral agreements, Slovak National Fellowship Programme); </w:t>
      </w:r>
    </w:p>
    <w:p w:rsidR="00BF6749" w:rsidRDefault="00C87555">
      <w:pPr>
        <w:numPr>
          <w:ilvl w:val="0"/>
          <w:numId w:val="30"/>
        </w:numPr>
        <w:spacing w:before="120" w:after="120" w:line="240" w:lineRule="auto"/>
        <w:jc w:val="both"/>
        <w:rPr>
          <w:rFonts w:ascii="Times New Roman" w:hAnsi="Times New Roman"/>
          <w:noProof/>
          <w:sz w:val="24"/>
          <w:lang w:val="en-US"/>
        </w:rPr>
      </w:pPr>
      <w:r>
        <w:rPr>
          <w:rFonts w:ascii="Times New Roman" w:hAnsi="Times New Roman"/>
          <w:noProof/>
          <w:sz w:val="24"/>
          <w:lang w:val="en-US"/>
        </w:rPr>
        <w:t>promotion of Slovak higher education and science abroad and supporting international networking of Slovak u</w:t>
      </w:r>
      <w:r>
        <w:rPr>
          <w:rFonts w:ascii="Times New Roman" w:hAnsi="Times New Roman"/>
          <w:noProof/>
          <w:sz w:val="24"/>
          <w:lang w:val="en-US"/>
        </w:rPr>
        <w:t>niversities.</w:t>
      </w: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noProof/>
          <w:sz w:val="24"/>
          <w:lang w:val="en-US"/>
        </w:rPr>
        <w:t>The implementation of the investment shall be completed by 31 March 2026.</w:t>
      </w:r>
    </w:p>
    <w:p w:rsidR="00BF6749" w:rsidRDefault="00BF6749">
      <w:pPr>
        <w:spacing w:before="120" w:after="120" w:line="240" w:lineRule="auto"/>
        <w:ind w:left="850"/>
        <w:jc w:val="both"/>
        <w:rPr>
          <w:rFonts w:ascii="Times New Roman" w:hAnsi="Times New Roman"/>
          <w:b/>
          <w:noProof/>
          <w:sz w:val="24"/>
          <w:u w:val="single"/>
        </w:rPr>
      </w:pPr>
    </w:p>
    <w:p w:rsidR="00BF6749" w:rsidRDefault="00BF6749">
      <w:pPr>
        <w:spacing w:before="120" w:after="120" w:line="240" w:lineRule="auto"/>
        <w:ind w:left="850"/>
        <w:jc w:val="both"/>
        <w:rPr>
          <w:rFonts w:ascii="Times New Roman" w:hAnsi="Times New Roman"/>
          <w:b/>
          <w:noProof/>
          <w:sz w:val="24"/>
          <w:u w:val="single"/>
        </w:rPr>
      </w:pPr>
    </w:p>
    <w:p w:rsidR="00BF6749" w:rsidRDefault="00BF6749">
      <w:pPr>
        <w:spacing w:before="120" w:after="120" w:line="240" w:lineRule="auto"/>
        <w:ind w:left="850"/>
        <w:jc w:val="both"/>
        <w:rPr>
          <w:rFonts w:ascii="Times New Roman" w:hAnsi="Times New Roman"/>
          <w:b/>
          <w:noProof/>
          <w:sz w:val="24"/>
          <w:u w:val="single"/>
        </w:rPr>
        <w:sectPr w:rsidR="00BF6749">
          <w:headerReference w:type="even" r:id="rId126"/>
          <w:headerReference w:type="default" r:id="rId127"/>
          <w:footerReference w:type="even" r:id="rId128"/>
          <w:footerReference w:type="default" r:id="rId129"/>
          <w:headerReference w:type="first" r:id="rId130"/>
          <w:footerReference w:type="first" r:id="rId131"/>
          <w:pgSz w:w="11907" w:h="16839"/>
          <w:pgMar w:top="1134" w:right="1418" w:bottom="1134" w:left="568" w:header="709" w:footer="709" w:gutter="0"/>
          <w:cols w:space="720"/>
          <w:docGrid w:linePitch="360"/>
        </w:sectPr>
      </w:pP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Milestones, targets, indicators, and timetable for monitoring and implementation for non-repayable </w:t>
      </w:r>
      <w:r>
        <w:rPr>
          <w:rFonts w:ascii="Times New Roman" w:hAnsi="Times New Roman"/>
          <w:b/>
          <w:noProof/>
          <w:sz w:val="24"/>
          <w:u w:val="single"/>
        </w:rPr>
        <w:t>financial support</w:t>
      </w:r>
    </w:p>
    <w:tbl>
      <w:tblPr>
        <w:tblW w:w="16018" w:type="dxa"/>
        <w:tblInd w:w="-601" w:type="dxa"/>
        <w:tblLayout w:type="fixed"/>
        <w:tblLook w:val="04A0" w:firstRow="1" w:lastRow="0" w:firstColumn="1" w:lastColumn="0" w:noHBand="0" w:noVBand="1"/>
      </w:tblPr>
      <w:tblGrid>
        <w:gridCol w:w="709"/>
        <w:gridCol w:w="1674"/>
        <w:gridCol w:w="1161"/>
        <w:gridCol w:w="1390"/>
        <w:gridCol w:w="1729"/>
        <w:gridCol w:w="967"/>
        <w:gridCol w:w="1017"/>
        <w:gridCol w:w="851"/>
        <w:gridCol w:w="1134"/>
        <w:gridCol w:w="992"/>
        <w:gridCol w:w="4394"/>
      </w:tblGrid>
      <w:tr w:rsidR="00BF6749">
        <w:trPr>
          <w:trHeight w:val="742"/>
        </w:trPr>
        <w:tc>
          <w:tcPr>
            <w:tcW w:w="709" w:type="dxa"/>
            <w:vMerge w:val="restart"/>
            <w:tcBorders>
              <w:top w:val="single" w:sz="4" w:space="0" w:color="auto"/>
              <w:left w:val="single" w:sz="4" w:space="0" w:color="auto"/>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Seq. Num.</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674"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Related measure (Reform or Investment)</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161"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Milestone / Target</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390"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Name</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729"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Qualitative indicators  (for milestones)</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2835" w:type="dxa"/>
            <w:gridSpan w:val="3"/>
            <w:tcBorders>
              <w:top w:val="single" w:sz="4" w:space="0" w:color="auto"/>
              <w:left w:val="nil"/>
              <w:bottom w:val="single" w:sz="4" w:space="0" w:color="auto"/>
              <w:right w:val="single" w:sz="4" w:space="0" w:color="000000"/>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Quantitative indicators  (for targets)</w:t>
            </w:r>
          </w:p>
        </w:tc>
        <w:tc>
          <w:tcPr>
            <w:tcW w:w="2126" w:type="dxa"/>
            <w:gridSpan w:val="2"/>
            <w:tcBorders>
              <w:top w:val="single" w:sz="4" w:space="0" w:color="auto"/>
              <w:left w:val="nil"/>
              <w:bottom w:val="single" w:sz="4" w:space="0" w:color="auto"/>
              <w:right w:val="single" w:sz="4" w:space="0" w:color="000000"/>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Indicative timeline for completion </w:t>
            </w:r>
          </w:p>
        </w:tc>
        <w:tc>
          <w:tcPr>
            <w:tcW w:w="4394"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Description and clear definition of </w:t>
            </w:r>
            <w:r>
              <w:rPr>
                <w:rFonts w:ascii="Times New Roman" w:eastAsia="Times New Roman" w:hAnsi="Times New Roman"/>
                <w:b/>
                <w:noProof/>
                <w:sz w:val="20"/>
                <w:szCs w:val="20"/>
              </w:rPr>
              <w:t>each milestone and target</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noProof/>
                <w:sz w:val="20"/>
                <w:szCs w:val="20"/>
              </w:rPr>
              <w:t> </w:t>
            </w:r>
          </w:p>
        </w:tc>
      </w:tr>
      <w:tr w:rsidR="00BF6749">
        <w:trPr>
          <w:trHeight w:val="541"/>
        </w:trPr>
        <w:tc>
          <w:tcPr>
            <w:tcW w:w="709" w:type="dxa"/>
            <w:vMerge/>
            <w:tcBorders>
              <w:left w:val="single" w:sz="4" w:space="0" w:color="auto"/>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674"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161"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390"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729"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967"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Unit of measure</w:t>
            </w:r>
          </w:p>
        </w:tc>
        <w:tc>
          <w:tcPr>
            <w:tcW w:w="1017"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Baseline</w:t>
            </w:r>
          </w:p>
        </w:tc>
        <w:tc>
          <w:tcPr>
            <w:tcW w:w="851"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Goal</w:t>
            </w:r>
          </w:p>
        </w:tc>
        <w:tc>
          <w:tcPr>
            <w:tcW w:w="1134"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Quarter</w:t>
            </w:r>
          </w:p>
        </w:tc>
        <w:tc>
          <w:tcPr>
            <w:tcW w:w="992"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Year</w:t>
            </w:r>
          </w:p>
        </w:tc>
        <w:tc>
          <w:tcPr>
            <w:tcW w:w="4394" w:type="dxa"/>
            <w:vMerge/>
            <w:tcBorders>
              <w:left w:val="nil"/>
              <w:bottom w:val="single" w:sz="4" w:space="0" w:color="auto"/>
              <w:right w:val="single" w:sz="4" w:space="0" w:color="auto"/>
            </w:tcBorders>
            <w:shd w:val="clear" w:color="000000" w:fill="BDD7EE"/>
            <w:vAlign w:val="center"/>
            <w:hideMark/>
          </w:tcPr>
          <w:p w:rsidR="00BF6749" w:rsidRDefault="00BF6749">
            <w:pPr>
              <w:spacing w:after="0"/>
              <w:rPr>
                <w:rFonts w:ascii="Times New Roman" w:eastAsia="Times New Roman" w:hAnsi="Times New Roman"/>
                <w:noProof/>
                <w:sz w:val="20"/>
                <w:szCs w:val="20"/>
              </w:rPr>
            </w:pPr>
          </w:p>
        </w:tc>
      </w:tr>
      <w:tr w:rsidR="00BF6749">
        <w:trPr>
          <w:trHeight w:val="882"/>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 – Attracting and retaining talents - Reform 1: Reform of residence and labour legislation</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Scheme defining a new category of applicants for national visa (D).</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Adoption of the scheme through a Government Resolution and entry into force.</w:t>
            </w: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Adoption of a scheme defining the category of applicants for national visa (D) in the interest of the Slovak Republic The new visa category that covers highly qualif</w:t>
            </w:r>
            <w:r>
              <w:rPr>
                <w:rFonts w:ascii="Times New Roman" w:eastAsia="Times New Roman" w:hAnsi="Times New Roman"/>
                <w:noProof/>
                <w:color w:val="006100"/>
                <w:sz w:val="20"/>
                <w:szCs w:val="20"/>
              </w:rPr>
              <w:t>ied third-country nationals seeking employment exempted from the need to prove a guaranteed job before entering Slovakia shall be introduced. The persons shall be able to start working on a national visa (D) immediately. The measure shall concern categorie</w:t>
            </w:r>
            <w:r>
              <w:rPr>
                <w:rFonts w:ascii="Times New Roman" w:eastAsia="Times New Roman" w:hAnsi="Times New Roman"/>
                <w:noProof/>
                <w:color w:val="006100"/>
                <w:sz w:val="20"/>
                <w:szCs w:val="20"/>
              </w:rPr>
              <w:t>s such as graduates from world-leading universities (regardless of the field); third-level graduates of the world’s leading universities and research institutions (regardless of the field); other selected groups according to Slovakia’s economic interests (</w:t>
            </w:r>
            <w:r>
              <w:rPr>
                <w:rFonts w:ascii="Times New Roman" w:eastAsia="Times New Roman" w:hAnsi="Times New Roman"/>
                <w:noProof/>
                <w:color w:val="006100"/>
                <w:sz w:val="20"/>
                <w:szCs w:val="20"/>
              </w:rPr>
              <w:t>e.g. IT experts, experts in high value-added sectors, doctors).</w:t>
            </w:r>
          </w:p>
        </w:tc>
      </w:tr>
      <w:tr w:rsidR="00BF6749">
        <w:trPr>
          <w:trHeight w:val="1062"/>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 – Attracting and retaining talents - Reform 1: Reform of residence and labour legislation</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Facilitation of the return to the country and increase of the attractiveness of the </w:t>
            </w:r>
            <w:r>
              <w:rPr>
                <w:rFonts w:ascii="Times New Roman" w:eastAsia="Times New Roman" w:hAnsi="Times New Roman"/>
                <w:noProof/>
                <w:color w:val="006100"/>
                <w:sz w:val="20"/>
                <w:szCs w:val="20"/>
              </w:rPr>
              <w:t>country for foreigners with family ties</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Adoption by the Parliament and entry into force </w:t>
            </w: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Amendment to Act No 40/1993 on Slovak citizenship that shall facilitate the return to the country and increase the country’s attractiveness for foreigne</w:t>
            </w:r>
            <w:r>
              <w:rPr>
                <w:rFonts w:ascii="Times New Roman" w:eastAsia="Times New Roman" w:hAnsi="Times New Roman"/>
                <w:noProof/>
                <w:color w:val="006100"/>
                <w:sz w:val="20"/>
                <w:szCs w:val="20"/>
              </w:rPr>
              <w:t>rs with family ties to Slovakia. The amendment shall introduce a simplified regime for obtaining citizenship by removing the requirement of a minimum period of residence in Slovakia.</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w:t>
            </w:r>
          </w:p>
        </w:tc>
      </w:tr>
      <w:tr w:rsidR="00BF6749">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3</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10 – Attracting and retaining talents - Reform 2: Simplification of </w:t>
            </w:r>
            <w:r>
              <w:rPr>
                <w:rFonts w:ascii="Times New Roman" w:eastAsia="Times New Roman" w:hAnsi="Times New Roman"/>
                <w:noProof/>
                <w:color w:val="006100"/>
                <w:sz w:val="20"/>
                <w:szCs w:val="20"/>
              </w:rPr>
              <w:t>the regime for the recognition of qualifications and professional qualifications for the exercise of regulated professions</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Simplification of the recognition of educational and professional qualifications </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Adoption by the Parliament and entry into</w:t>
            </w:r>
            <w:r>
              <w:rPr>
                <w:rFonts w:ascii="Times New Roman" w:eastAsia="Times New Roman" w:hAnsi="Times New Roman"/>
                <w:noProof/>
                <w:color w:val="006100"/>
                <w:sz w:val="20"/>
                <w:szCs w:val="20"/>
              </w:rPr>
              <w:t xml:space="preserve"> force </w:t>
            </w: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amendment to Act No 422/2015 on the recognition of evidence of education and the recognition of professional qualifications shall allow:</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Facilitating the recognition of diplomas/training documents for countries with which Slovak</w:t>
            </w:r>
            <w:r>
              <w:rPr>
                <w:rFonts w:ascii="Times New Roman" w:eastAsia="Times New Roman" w:hAnsi="Times New Roman"/>
                <w:noProof/>
                <w:color w:val="006100"/>
                <w:sz w:val="20"/>
                <w:szCs w:val="20"/>
              </w:rPr>
              <w:t>ia has bilateral agreements in the field of recognition of diplomas/training documents, by reducing the required documents from the applicant (e.g. university certificates of competence to provide the relevant education);</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Strengthening the competences of</w:t>
            </w:r>
            <w:r>
              <w:rPr>
                <w:rFonts w:ascii="Times New Roman" w:eastAsia="Times New Roman" w:hAnsi="Times New Roman"/>
                <w:noProof/>
                <w:color w:val="006100"/>
                <w:sz w:val="20"/>
                <w:szCs w:val="20"/>
              </w:rPr>
              <w:t xml:space="preserve"> the Centre for Recognition of Qualifications (SUDV) for the recognition of documents for the validation of higher education attainment also for countries outside the European Higher Education Area (EHEA) without a bilateral agreement, which shall signific</w:t>
            </w:r>
            <w:r>
              <w:rPr>
                <w:rFonts w:ascii="Times New Roman" w:eastAsia="Times New Roman" w:hAnsi="Times New Roman"/>
                <w:noProof/>
                <w:color w:val="006100"/>
                <w:sz w:val="20"/>
                <w:szCs w:val="20"/>
              </w:rPr>
              <w:t>antly speed up and simplify the process compared to the current situation where the only eligible institutions are universities to facilitate the recognition of diplomas/documents for countries with which Slovakia has bilateral agreements on the recognitio</w:t>
            </w:r>
            <w:r>
              <w:rPr>
                <w:rFonts w:ascii="Times New Roman" w:eastAsia="Times New Roman" w:hAnsi="Times New Roman"/>
                <w:noProof/>
                <w:color w:val="006100"/>
                <w:sz w:val="20"/>
                <w:szCs w:val="20"/>
              </w:rPr>
              <w:t>n of diplomas/training documents.</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amendment to Act No 578/2004 on healthcare providers, health professionals, professional organisations in the health sector shall allow:</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shortening the time limit for the recognition of further training documents </w:t>
            </w:r>
            <w:r>
              <w:rPr>
                <w:rFonts w:ascii="Times New Roman" w:eastAsia="Times New Roman" w:hAnsi="Times New Roman"/>
                <w:noProof/>
                <w:color w:val="006100"/>
                <w:sz w:val="20"/>
                <w:szCs w:val="20"/>
              </w:rPr>
              <w:t>for highly qualified health professionals;</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Extension of the temporary traineeship for doctors beyond the pandemic</w:t>
            </w:r>
          </w:p>
        </w:tc>
      </w:tr>
      <w:tr w:rsidR="00BF6749">
        <w:trPr>
          <w:trHeight w:val="1500"/>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10 – Attracting and retaining talents - Investment 1: Support tools and assistance for returnees, highly qualified third-country workers </w:t>
            </w:r>
            <w:r>
              <w:rPr>
                <w:rFonts w:ascii="Times New Roman" w:eastAsia="Times New Roman" w:hAnsi="Times New Roman"/>
                <w:noProof/>
                <w:color w:val="006100"/>
                <w:sz w:val="20"/>
                <w:szCs w:val="20"/>
              </w:rPr>
              <w:t>and their family members and foreign higher education students studying in Slovakia</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one-stop shops for integration in Slovakia</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BF6749">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Number</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3</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2023</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Fully functioning centres (one-stop shops) providing comprehensive advice and services faci</w:t>
            </w:r>
            <w:r>
              <w:rPr>
                <w:rFonts w:ascii="Times New Roman" w:eastAsia="Times New Roman" w:hAnsi="Times New Roman"/>
                <w:noProof/>
                <w:color w:val="006100"/>
                <w:sz w:val="20"/>
                <w:szCs w:val="20"/>
              </w:rPr>
              <w:t xml:space="preserve">litating establishment in Slovakia </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r>
      <w:tr w:rsidR="00BF6749">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10 – Attracting and retaining talents - Investment 1: Support tools and assistance for returnees, highly qualified third-country workers and their family members and foreign higher education students studying in </w:t>
            </w:r>
            <w:r>
              <w:rPr>
                <w:rFonts w:ascii="Times New Roman" w:eastAsia="Times New Roman" w:hAnsi="Times New Roman"/>
                <w:noProof/>
                <w:color w:val="006100"/>
                <w:sz w:val="20"/>
                <w:szCs w:val="20"/>
              </w:rPr>
              <w:t>Slovakia</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foreigners using the IOM Migration Information Centre services</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BF6749">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7000</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During the period 2022-2024, of the overall objective of 7500 beneficiaries, at least 7000 beneficiaries shall be provided services of the IOM M</w:t>
            </w:r>
            <w:r>
              <w:rPr>
                <w:rFonts w:ascii="Times New Roman" w:eastAsia="Times New Roman" w:hAnsi="Times New Roman"/>
                <w:noProof/>
                <w:color w:val="006100"/>
                <w:sz w:val="20"/>
                <w:szCs w:val="20"/>
              </w:rPr>
              <w:t>igration Information Centre for their integration into the labour market and society (advice, language courses, promotion of socio-cultural orientation). This includes foreign students, highly qualified workers, family members and foreigners belonging to t</w:t>
            </w:r>
            <w:r>
              <w:rPr>
                <w:rFonts w:ascii="Times New Roman" w:eastAsia="Times New Roman" w:hAnsi="Times New Roman"/>
                <w:noProof/>
                <w:color w:val="006100"/>
                <w:sz w:val="20"/>
                <w:szCs w:val="20"/>
              </w:rPr>
              <w:t xml:space="preserve">he selected groups defined in the Resolution in Reform 1, taking into account the economic interests of the Slovak Republic. </w:t>
            </w:r>
          </w:p>
          <w:p w:rsidR="00BF6749" w:rsidRDefault="00BF6749">
            <w:pPr>
              <w:spacing w:after="0"/>
              <w:rPr>
                <w:rFonts w:ascii="Times New Roman" w:eastAsia="Times New Roman" w:hAnsi="Times New Roman"/>
                <w:noProof/>
                <w:color w:val="006100"/>
                <w:sz w:val="20"/>
                <w:szCs w:val="20"/>
              </w:rPr>
            </w:pPr>
          </w:p>
        </w:tc>
      </w:tr>
      <w:tr w:rsidR="00BF6749">
        <w:trPr>
          <w:trHeight w:val="409"/>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6</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10 – Attracting and retaining talents - Investment 2: Strengthening relations with the diaspora, supporting citizens’ </w:t>
            </w:r>
            <w:r>
              <w:rPr>
                <w:rFonts w:ascii="Times New Roman" w:eastAsia="Times New Roman" w:hAnsi="Times New Roman"/>
                <w:noProof/>
                <w:color w:val="006100"/>
                <w:sz w:val="20"/>
                <w:szCs w:val="20"/>
              </w:rPr>
              <w:t>initiatives</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supported events strengthening relations with the diaspora</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BF6749">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200</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programme shall support 200 social events with the aim of strengthening relations with Slovaks abroad. Supported events shall aim to increase </w:t>
            </w:r>
            <w:r>
              <w:rPr>
                <w:rFonts w:ascii="Times New Roman" w:eastAsia="Times New Roman" w:hAnsi="Times New Roman"/>
                <w:noProof/>
                <w:color w:val="006100"/>
                <w:sz w:val="20"/>
                <w:szCs w:val="20"/>
              </w:rPr>
              <w:t>the impact of other reforms and cross-component investments, such as:</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Promote the effect of the amendment to the Act on the Residence of Foreigners, which shall facilitate return and increase the country’s attractiveness for foreigners with family ties t</w:t>
            </w:r>
            <w:r>
              <w:rPr>
                <w:rFonts w:ascii="Times New Roman" w:eastAsia="Times New Roman" w:hAnsi="Times New Roman"/>
                <w:noProof/>
                <w:color w:val="006100"/>
                <w:sz w:val="20"/>
                <w:szCs w:val="20"/>
              </w:rPr>
              <w:t>o Slovakia.</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Support investment 4 i.e. two-way student mobility and internationalisation of academia</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Support the impact of investments in other components, e.g. R &amp; D &amp; I investments, by fostering cooperation between domestic European and other research</w:t>
            </w:r>
            <w:r>
              <w:rPr>
                <w:rFonts w:ascii="Times New Roman" w:eastAsia="Times New Roman" w:hAnsi="Times New Roman"/>
                <w:noProof/>
                <w:color w:val="006100"/>
                <w:sz w:val="20"/>
                <w:szCs w:val="20"/>
              </w:rPr>
              <w:t xml:space="preserve"> institutions where the Slovak diaspora is active, as well as through increased awareness of career opportunities in Slovakia.</w:t>
            </w:r>
          </w:p>
        </w:tc>
      </w:tr>
      <w:tr w:rsidR="00BF6749">
        <w:trPr>
          <w:trHeight w:val="570"/>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7</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 – Attracting and retaining talents - Investment 3: Scholarships for domestic and foreign talented students</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w:t>
            </w:r>
            <w:r>
              <w:rPr>
                <w:rFonts w:ascii="Times New Roman" w:eastAsia="Times New Roman" w:hAnsi="Times New Roman"/>
                <w:noProof/>
                <w:color w:val="006100"/>
                <w:sz w:val="20"/>
                <w:szCs w:val="20"/>
              </w:rPr>
              <w:t xml:space="preserve"> awarded scholarships for talented students.</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BF6749">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4500</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Of the overall objective of 4800 motivational scholarships, award at least 4500 motivational scholarships for most talented domestic students, top talents from abroad, and talented sociall</w:t>
            </w:r>
            <w:r>
              <w:rPr>
                <w:rFonts w:ascii="Times New Roman" w:eastAsia="Times New Roman" w:hAnsi="Times New Roman"/>
                <w:noProof/>
                <w:color w:val="006100"/>
                <w:sz w:val="20"/>
                <w:szCs w:val="20"/>
              </w:rPr>
              <w:t xml:space="preserve">y disadvantaged students. </w:t>
            </w:r>
          </w:p>
          <w:p w:rsidR="00BF6749" w:rsidRDefault="00BF6749">
            <w:pPr>
              <w:spacing w:after="0"/>
              <w:rPr>
                <w:rFonts w:ascii="Times New Roman" w:eastAsia="Times New Roman" w:hAnsi="Times New Roman"/>
                <w:noProof/>
                <w:color w:val="006100"/>
                <w:sz w:val="20"/>
                <w:szCs w:val="20"/>
              </w:rPr>
            </w:pPr>
          </w:p>
        </w:tc>
      </w:tr>
      <w:tr w:rsidR="00BF6749">
        <w:trPr>
          <w:trHeight w:val="171"/>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8</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 – Attracting and retaining talents - Investment 4: Promoting internationalisation in the academic environment</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Strategy for internationalisation of universities</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Government adoption of the strategy</w:t>
            </w: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2021</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Adoption of an internationalisation strategy for universities, aiming at proposing measures to support the preparation of joint study programmes, attracting foreign students and academics, or implementing systemic institutional changes in Slovak universiti</w:t>
            </w:r>
            <w:r>
              <w:rPr>
                <w:rFonts w:ascii="Times New Roman" w:eastAsia="Times New Roman" w:hAnsi="Times New Roman"/>
                <w:noProof/>
                <w:color w:val="006100"/>
                <w:sz w:val="20"/>
                <w:szCs w:val="20"/>
              </w:rPr>
              <w:t>es.</w:t>
            </w:r>
          </w:p>
        </w:tc>
      </w:tr>
      <w:tr w:rsidR="00BF6749">
        <w:trPr>
          <w:trHeight w:val="77"/>
        </w:trPr>
        <w:tc>
          <w:tcPr>
            <w:tcW w:w="709" w:type="dxa"/>
            <w:tcBorders>
              <w:top w:val="nil"/>
              <w:left w:val="single" w:sz="4" w:space="0" w:color="auto"/>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9</w:t>
            </w:r>
          </w:p>
        </w:tc>
        <w:tc>
          <w:tcPr>
            <w:tcW w:w="167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 – Attracting and retaining talents - Investment 4: Promoting internationalisation in the academic environment</w:t>
            </w:r>
          </w:p>
        </w:tc>
        <w:tc>
          <w:tcPr>
            <w:tcW w:w="116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390"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projects supported to promote or develop the internationalisation of universities and research institutions</w:t>
            </w:r>
          </w:p>
        </w:tc>
        <w:tc>
          <w:tcPr>
            <w:tcW w:w="1729" w:type="dxa"/>
            <w:tcBorders>
              <w:top w:val="nil"/>
              <w:left w:val="nil"/>
              <w:bottom w:val="single" w:sz="4" w:space="0" w:color="auto"/>
              <w:right w:val="single" w:sz="4" w:space="0" w:color="auto"/>
            </w:tcBorders>
            <w:shd w:val="clear" w:color="000000" w:fill="C6EFCE"/>
            <w:vAlign w:val="center"/>
            <w:hideMark/>
          </w:tcPr>
          <w:p w:rsidR="00BF6749" w:rsidRDefault="00BF6749">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17"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28</w:t>
            </w:r>
          </w:p>
        </w:tc>
        <w:tc>
          <w:tcPr>
            <w:tcW w:w="1134"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992" w:type="dxa"/>
            <w:tcBorders>
              <w:top w:val="nil"/>
              <w:left w:val="nil"/>
              <w:bottom w:val="single" w:sz="4" w:space="0" w:color="auto"/>
              <w:right w:val="single" w:sz="4" w:space="0" w:color="auto"/>
            </w:tcBorders>
            <w:shd w:val="clear" w:color="000000"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4394" w:type="dxa"/>
            <w:tcBorders>
              <w:top w:val="nil"/>
              <w:left w:val="nil"/>
              <w:bottom w:val="single" w:sz="4" w:space="0" w:color="auto"/>
              <w:right w:val="single" w:sz="4" w:space="0" w:color="auto"/>
            </w:tcBorders>
            <w:shd w:val="clear" w:color="000000"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Of the overall objective of 31 projects, support at least 28 projects to promote or develop internationalisation of universities and research institutes,  through:</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implementation of institutional strategies of internationalization at the level</w:t>
            </w:r>
            <w:r>
              <w:rPr>
                <w:rFonts w:ascii="Times New Roman" w:eastAsia="Times New Roman" w:hAnsi="Times New Roman"/>
                <w:noProof/>
                <w:color w:val="006100"/>
                <w:sz w:val="20"/>
                <w:szCs w:val="20"/>
              </w:rPr>
              <w:t xml:space="preserve"> of universities (such as preparing new programmes in foreign languages, improving the preparedness of domestic higher education teachers/doctoral students to operate in an international setting); </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increasing the funding rate for fellowship programmes;</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w:t>
            </w:r>
            <w:r>
              <w:rPr>
                <w:rFonts w:ascii="Times New Roman" w:eastAsia="Times New Roman" w:hAnsi="Times New Roman"/>
                <w:noProof/>
                <w:color w:val="006100"/>
                <w:sz w:val="20"/>
                <w:szCs w:val="20"/>
              </w:rPr>
              <w:t xml:space="preserve"> support to university participation in foreign fairs and student recruitment events;</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promotion of Slovakia at international events. </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r>
      <w:tr w:rsidR="00BF6749">
        <w:trPr>
          <w:trHeight w:val="77"/>
        </w:trPr>
        <w:tc>
          <w:tcPr>
            <w:tcW w:w="70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w:t>
            </w:r>
          </w:p>
        </w:tc>
        <w:tc>
          <w:tcPr>
            <w:tcW w:w="167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 – Attracting and retaining talents - Investment 4: Promoting internationalisation in the academic environment</w:t>
            </w:r>
          </w:p>
        </w:tc>
        <w:tc>
          <w:tcPr>
            <w:tcW w:w="116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39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Supported person-months for foreign mobility scholarship programmes </w:t>
            </w:r>
          </w:p>
        </w:tc>
        <w:tc>
          <w:tcPr>
            <w:tcW w:w="1729"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rPr>
                <w:rFonts w:ascii="Times New Roman" w:eastAsia="Times New Roman" w:hAnsi="Times New Roman"/>
                <w:noProof/>
                <w:color w:val="006100"/>
                <w:sz w:val="20"/>
                <w:szCs w:val="20"/>
              </w:rPr>
            </w:pPr>
          </w:p>
        </w:tc>
        <w:tc>
          <w:tcPr>
            <w:tcW w:w="96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Person-months supported </w:t>
            </w:r>
          </w:p>
        </w:tc>
        <w:tc>
          <w:tcPr>
            <w:tcW w:w="1017"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9976</w:t>
            </w:r>
          </w:p>
        </w:tc>
        <w:tc>
          <w:tcPr>
            <w:tcW w:w="85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jc w:val="right"/>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17 600</w:t>
            </w:r>
          </w:p>
        </w:tc>
        <w:tc>
          <w:tcPr>
            <w:tcW w:w="1134"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99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439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Cumulative increase in the number of supported mobility projects in CEEPUS fellowships, scholarships provided on the basis of </w:t>
            </w:r>
            <w:r>
              <w:rPr>
                <w:rFonts w:ascii="Times New Roman" w:eastAsia="Times New Roman" w:hAnsi="Times New Roman"/>
                <w:noProof/>
                <w:color w:val="006100"/>
                <w:sz w:val="20"/>
                <w:szCs w:val="20"/>
              </w:rPr>
              <w:t>bilateral contracts and in the Slovak National Fellowship Programme from an annual number of 2494 to 4440 person-months for the years 2022 to 2025</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r>
    </w:tbl>
    <w:p w:rsidR="00BF6749" w:rsidRDefault="00BF6749">
      <w:pPr>
        <w:spacing w:before="120" w:after="120" w:line="240" w:lineRule="auto"/>
        <w:ind w:left="850"/>
        <w:jc w:val="both"/>
        <w:rPr>
          <w:rFonts w:ascii="Times New Roman" w:hAnsi="Times New Roman"/>
          <w:b/>
          <w:noProof/>
          <w:sz w:val="24"/>
          <w:u w:val="single"/>
        </w:rPr>
      </w:pPr>
    </w:p>
    <w:p w:rsidR="00BF6749" w:rsidRDefault="00BF6749">
      <w:pPr>
        <w:spacing w:before="120" w:after="120" w:line="240" w:lineRule="auto"/>
        <w:ind w:left="850"/>
        <w:jc w:val="both"/>
        <w:rPr>
          <w:rFonts w:ascii="Times New Roman" w:hAnsi="Times New Roman"/>
          <w:i/>
          <w:iCs/>
          <w:noProof/>
          <w:color w:val="4F81BD"/>
          <w:sz w:val="24"/>
        </w:rPr>
        <w:sectPr w:rsidR="00BF6749">
          <w:headerReference w:type="even" r:id="rId132"/>
          <w:headerReference w:type="default" r:id="rId133"/>
          <w:footerReference w:type="even" r:id="rId134"/>
          <w:footerReference w:type="default" r:id="rId135"/>
          <w:headerReference w:type="first" r:id="rId136"/>
          <w:footerReference w:type="first" r:id="rId137"/>
          <w:pgSz w:w="16839" w:h="11907" w:orient="landscape"/>
          <w:pgMar w:top="568" w:right="1134" w:bottom="1418" w:left="1134" w:header="709" w:footer="709" w:gutter="0"/>
          <w:cols w:space="720"/>
          <w:docGrid w:linePitch="360"/>
        </w:sectPr>
      </w:pPr>
    </w:p>
    <w:p w:rsidR="00BF6749" w:rsidRDefault="00C87555">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COMPONENT 11: Modern and accessible healthcare</w:t>
      </w:r>
    </w:p>
    <w:p w:rsidR="00BF6749" w:rsidRDefault="00C87555">
      <w:pPr>
        <w:tabs>
          <w:tab w:val="left" w:pos="851"/>
        </w:tabs>
        <w:spacing w:before="120" w:after="120" w:line="240" w:lineRule="auto"/>
        <w:jc w:val="both"/>
        <w:rPr>
          <w:rFonts w:ascii="Times New Roman" w:hAnsi="Times New Roman"/>
          <w:noProof/>
          <w:sz w:val="24"/>
          <w:lang w:val="en"/>
        </w:rPr>
      </w:pPr>
      <w:r>
        <w:rPr>
          <w:rFonts w:ascii="Times New Roman" w:hAnsi="Times New Roman"/>
          <w:noProof/>
          <w:sz w:val="24"/>
          <w:lang w:val="en"/>
        </w:rPr>
        <w:t>The objective of this component of the Slovak recovery and resilience plan is to create a modern, accessible and efficient hospital network that provides quality healthcare, an attractive environment for staff, efficient processes and healthy management. T</w:t>
      </w:r>
      <w:r>
        <w:rPr>
          <w:rFonts w:ascii="Times New Roman" w:hAnsi="Times New Roman"/>
          <w:noProof/>
          <w:sz w:val="24"/>
          <w:lang w:val="en"/>
        </w:rPr>
        <w:t xml:space="preserve">he aim is also to increase the availability of emergency health services, building on the needs of the new hospital network, and to strengthen primary care, which is intended to be an essential integration point for patient care. </w:t>
      </w:r>
    </w:p>
    <w:p w:rsidR="00BF6749" w:rsidRDefault="00C87555">
      <w:pPr>
        <w:tabs>
          <w:tab w:val="left" w:pos="851"/>
        </w:tabs>
        <w:spacing w:before="120" w:after="120" w:line="240" w:lineRule="auto"/>
        <w:jc w:val="both"/>
        <w:rPr>
          <w:rFonts w:ascii="Times New Roman" w:hAnsi="Times New Roman"/>
          <w:noProof/>
          <w:sz w:val="24"/>
          <w:lang w:val="en"/>
        </w:rPr>
      </w:pPr>
      <w:r>
        <w:rPr>
          <w:rFonts w:ascii="Times New Roman" w:hAnsi="Times New Roman"/>
          <w:noProof/>
          <w:sz w:val="24"/>
          <w:lang w:val="en"/>
        </w:rPr>
        <w:t>The component includes fi</w:t>
      </w:r>
      <w:r>
        <w:rPr>
          <w:rFonts w:ascii="Times New Roman" w:hAnsi="Times New Roman"/>
          <w:noProof/>
          <w:sz w:val="24"/>
          <w:lang w:val="en"/>
        </w:rPr>
        <w:t>ve reforms and five investments.</w:t>
      </w:r>
    </w:p>
    <w:p w:rsidR="00BF6749" w:rsidRDefault="00C87555">
      <w:pPr>
        <w:tabs>
          <w:tab w:val="left" w:pos="851"/>
        </w:tabs>
        <w:spacing w:before="120" w:after="120" w:line="240" w:lineRule="auto"/>
        <w:jc w:val="both"/>
        <w:rPr>
          <w:rFonts w:ascii="Times New Roman" w:hAnsi="Times New Roman"/>
          <w:noProof/>
          <w:sz w:val="24"/>
          <w:szCs w:val="24"/>
          <w:lang w:val="en"/>
        </w:rPr>
      </w:pPr>
      <w:r>
        <w:rPr>
          <w:rFonts w:ascii="Times New Roman" w:hAnsi="Times New Roman"/>
          <w:noProof/>
          <w:sz w:val="24"/>
          <w:szCs w:val="24"/>
          <w:lang w:val="en"/>
        </w:rPr>
        <w:t>It is expected that no measure in this component does significant harm to environmental objectives within the meaning of Article 17 of Regulation (EU) 2020/852, taking into account the description of the measures and the mi</w:t>
      </w:r>
      <w:r>
        <w:rPr>
          <w:rFonts w:ascii="Times New Roman" w:hAnsi="Times New Roman"/>
          <w:noProof/>
          <w:sz w:val="24"/>
          <w:szCs w:val="24"/>
          <w:lang w:val="en"/>
        </w:rPr>
        <w:t xml:space="preserve">tigating steps set out in the recovery and resilience plan in accordance with the DNSH Technical Guidance (2021/C58/01).  </w:t>
      </w:r>
    </w:p>
    <w:p w:rsidR="00BF6749" w:rsidRDefault="00C87555">
      <w:pPr>
        <w:tabs>
          <w:tab w:val="left" w:pos="851"/>
        </w:tabs>
        <w:spacing w:before="120" w:after="120" w:line="240" w:lineRule="auto"/>
        <w:jc w:val="both"/>
        <w:rPr>
          <w:rFonts w:ascii="Times New Roman" w:hAnsi="Times New Roman"/>
          <w:b/>
          <w:i/>
          <w:noProof/>
          <w:sz w:val="24"/>
          <w:lang w:val="en"/>
        </w:rPr>
      </w:pPr>
      <w:r>
        <w:rPr>
          <w:rFonts w:ascii="Times New Roman" w:hAnsi="Times New Roman"/>
          <w:noProof/>
          <w:sz w:val="24"/>
          <w:lang w:val="en"/>
        </w:rPr>
        <w:t xml:space="preserve">The component addresses the Country Specific Recommendation 1 from 2020 that refers to the strengthening of the resilience of the </w:t>
      </w:r>
      <w:r>
        <w:rPr>
          <w:rFonts w:ascii="Times New Roman" w:hAnsi="Times New Roman"/>
          <w:noProof/>
          <w:sz w:val="24"/>
          <w:lang w:val="en"/>
        </w:rPr>
        <w:t>health system in the areas of health workforce, critical medical products and infrastructure; and the improvement of primary care provision and coordination between types of care.</w:t>
      </w:r>
    </w:p>
    <w:p w:rsidR="00BF6749" w:rsidRDefault="00C87555">
      <w:pPr>
        <w:tabs>
          <w:tab w:val="left" w:pos="851"/>
        </w:tabs>
        <w:spacing w:before="120" w:after="120" w:line="240" w:lineRule="auto"/>
        <w:jc w:val="both"/>
        <w:rPr>
          <w:rFonts w:ascii="Times New Roman" w:hAnsi="Times New Roman"/>
          <w:b/>
          <w:i/>
          <w:noProof/>
          <w:sz w:val="24"/>
          <w:lang w:val="en"/>
        </w:rPr>
      </w:pPr>
      <w:r>
        <w:rPr>
          <w:rFonts w:ascii="Times New Roman" w:hAnsi="Times New Roman"/>
          <w:b/>
          <w:noProof/>
          <w:sz w:val="24"/>
          <w:u w:val="single"/>
        </w:rPr>
        <w:t xml:space="preserve">A.1. </w:t>
      </w:r>
      <w:r>
        <w:rPr>
          <w:rFonts w:ascii="Times New Roman" w:hAnsi="Times New Roman"/>
          <w:b/>
          <w:noProof/>
          <w:sz w:val="24"/>
          <w:u w:val="single"/>
        </w:rPr>
        <w:tab/>
        <w:t>Description of the reforms and investments for non-repayable financial</w:t>
      </w:r>
      <w:r>
        <w:rPr>
          <w:rFonts w:ascii="Times New Roman" w:hAnsi="Times New Roman"/>
          <w:b/>
          <w:noProof/>
          <w:sz w:val="24"/>
          <w:u w:val="single"/>
        </w:rPr>
        <w:t xml:space="preserve"> support</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Reform 1: Optimisation of the hospital network</w:t>
      </w:r>
    </w:p>
    <w:p w:rsidR="00BF6749" w:rsidRDefault="00C87555">
      <w:pPr>
        <w:tabs>
          <w:tab w:val="left" w:pos="851"/>
        </w:tabs>
        <w:spacing w:before="120" w:after="120" w:line="240" w:lineRule="auto"/>
        <w:jc w:val="both"/>
        <w:rPr>
          <w:rFonts w:ascii="Times New Roman" w:hAnsi="Times New Roman"/>
          <w:noProof/>
          <w:sz w:val="24"/>
          <w:lang w:val="en"/>
        </w:rPr>
      </w:pPr>
      <w:r>
        <w:rPr>
          <w:rFonts w:ascii="Times New Roman" w:hAnsi="Times New Roman"/>
          <w:noProof/>
          <w:sz w:val="24"/>
          <w:lang w:val="en"/>
        </w:rPr>
        <w:t>The objective of the reform is to improve the quality and efficiency of inpatient healthcare through the definition of the typology and hierarchy of inpatient care, as well as the definition of minimu</w:t>
      </w:r>
      <w:r>
        <w:rPr>
          <w:rFonts w:ascii="Times New Roman" w:hAnsi="Times New Roman"/>
          <w:noProof/>
          <w:sz w:val="24"/>
          <w:lang w:val="en"/>
        </w:rPr>
        <w:t xml:space="preserve">m conditions for the provision of medical services. </w:t>
      </w:r>
    </w:p>
    <w:p w:rsidR="00BF6749" w:rsidRDefault="00C87555">
      <w:pPr>
        <w:tabs>
          <w:tab w:val="left" w:pos="851"/>
        </w:tabs>
        <w:spacing w:before="120" w:after="120" w:line="240" w:lineRule="auto"/>
        <w:jc w:val="both"/>
        <w:rPr>
          <w:rFonts w:ascii="Times New Roman" w:hAnsi="Times New Roman"/>
          <w:noProof/>
          <w:sz w:val="24"/>
          <w:lang w:val="en"/>
        </w:rPr>
      </w:pPr>
      <w:r>
        <w:rPr>
          <w:rFonts w:ascii="Times New Roman" w:hAnsi="Times New Roman"/>
          <w:noProof/>
          <w:sz w:val="24"/>
          <w:lang w:val="en"/>
        </w:rPr>
        <w:t>The reform shall define profiles of hospitals. A profile means a set of compulsory services and other requirements a provider at a certain level must comply with. After changing the profile, certain hosp</w:t>
      </w:r>
      <w:r>
        <w:rPr>
          <w:rFonts w:ascii="Times New Roman" w:hAnsi="Times New Roman"/>
          <w:noProof/>
          <w:sz w:val="24"/>
          <w:lang w:val="en"/>
        </w:rPr>
        <w:t>ital shall be obliged to cover several services grouped under the certain profile. Some shall broaden the scope of activity, others are expected to transform acute beds’ departments into long-term care departments.</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w:t>
      </w:r>
      <w:r>
        <w:rPr>
          <w:rFonts w:ascii="Times New Roman" w:hAnsi="Times New Roman"/>
          <w:noProof/>
          <w:sz w:val="24"/>
        </w:rPr>
        <w:t xml:space="preserve"> completed by 31 December 2025.</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Reform 2: Reform of the preparation of health investment projects</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Ministry of Health in a close cooperation with the Ministry of Finance shall adopt the plan for all health investment projects. The plan shall be accompan</w:t>
      </w:r>
      <w:r>
        <w:rPr>
          <w:rFonts w:ascii="Times New Roman" w:hAnsi="Times New Roman"/>
          <w:noProof/>
          <w:sz w:val="24"/>
        </w:rPr>
        <w:t>ied with the methodology for evaluating health investments, which shall determine decision-making criteria based on financial, medical, societal and socio-economic benefits.</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The implementation of the reform shall be completed by 30 June 2022. </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Reform 3: Ce</w:t>
      </w:r>
      <w:r>
        <w:rPr>
          <w:rFonts w:ascii="Times New Roman" w:hAnsi="Times New Roman"/>
          <w:b/>
          <w:noProof/>
          <w:sz w:val="24"/>
        </w:rPr>
        <w:t>ntralisation of the management of the largest hospitals</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The reform shall introduce the central hospital management system for the 19 state-own hospital that includes: 1) central controlling, budgeting, performance planning and monitoring; 2) processes for </w:t>
      </w:r>
      <w:r>
        <w:rPr>
          <w:rFonts w:ascii="Times New Roman" w:hAnsi="Times New Roman"/>
          <w:noProof/>
          <w:sz w:val="24"/>
        </w:rPr>
        <w:t>central purchasing of medicinal products, medical materials, equipment; 3) centralisation of support services such as accounting; 4) human resources management. The reform shall start with the establishment of a central hospital management body and shall b</w:t>
      </w:r>
      <w:r>
        <w:rPr>
          <w:rFonts w:ascii="Times New Roman" w:hAnsi="Times New Roman"/>
          <w:noProof/>
          <w:sz w:val="24"/>
        </w:rPr>
        <w:t xml:space="preserve">e followed by pilot project that comprise of the 19 hospitals. The pilot shall end with an evaluation, triggering the possibility of the subsequent deployment of standards for all hospitals in the network.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start by 3</w:t>
      </w:r>
      <w:r>
        <w:rPr>
          <w:rFonts w:ascii="Times New Roman" w:hAnsi="Times New Roman"/>
          <w:noProof/>
          <w:sz w:val="24"/>
        </w:rPr>
        <w:t>1 December 2023 and shall be completed by 30 June 2025.</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Reform 4: Optimising the acute healthcare network and the new definition of emergency healthcare</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reform shall address the legal changes needed to increase the universal availability of ambulances within 15 minutes for the required more than 90 % of the country’s population. The amendment of the law provides for the fair geographical distribution o</w:t>
      </w:r>
      <w:r>
        <w:rPr>
          <w:rFonts w:ascii="Times New Roman" w:hAnsi="Times New Roman"/>
          <w:noProof/>
          <w:sz w:val="24"/>
        </w:rPr>
        <w:t>f ambulance stations. The acute network shall be based on the demand for interventions according to diagnosis and regions, the geographical distribution of ambulance stations, taking into account the road network and infrastructure, the availability of sui</w:t>
      </w:r>
      <w:r>
        <w:rPr>
          <w:rFonts w:ascii="Times New Roman" w:hAnsi="Times New Roman"/>
          <w:noProof/>
          <w:sz w:val="24"/>
        </w:rPr>
        <w:t xml:space="preserve">table types of hospital facilities, while using mathematical modelling and simulations from real data (such as p-median model).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new definition of emergency healthcare shall be introduced to identify the number of authorised users of ambulance services</w:t>
      </w:r>
      <w:r>
        <w:rPr>
          <w:rFonts w:ascii="Times New Roman" w:hAnsi="Times New Roman"/>
          <w:noProof/>
          <w:sz w:val="24"/>
        </w:rPr>
        <w:t xml:space="preserve"> and how to respond to the demand of these users.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this reform shall be completed by 31 March 2023.</w:t>
      </w:r>
    </w:p>
    <w:p w:rsidR="00BF6749" w:rsidRDefault="00C87555">
      <w:pPr>
        <w:tabs>
          <w:tab w:val="left" w:pos="851"/>
        </w:tabs>
        <w:spacing w:before="120" w:after="120" w:line="240" w:lineRule="auto"/>
        <w:jc w:val="both"/>
        <w:rPr>
          <w:rFonts w:ascii="Times New Roman" w:hAnsi="Times New Roman"/>
          <w:b/>
          <w:noProof/>
          <w:sz w:val="24"/>
          <w:u w:val="single"/>
        </w:rPr>
      </w:pPr>
      <w:r>
        <w:rPr>
          <w:rFonts w:ascii="Times New Roman" w:hAnsi="Times New Roman"/>
          <w:b/>
          <w:noProof/>
          <w:sz w:val="24"/>
        </w:rPr>
        <w:t>Reform 5: Reform of primary care provision for adults, children and youth</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objective of the reform is to ensure access to primary c</w:t>
      </w:r>
      <w:r>
        <w:rPr>
          <w:rFonts w:ascii="Times New Roman" w:hAnsi="Times New Roman"/>
          <w:noProof/>
          <w:sz w:val="24"/>
        </w:rPr>
        <w:t>are services in those regions that suffer from a deficit of practising general practitioners (GPs) and paediatricians. The appropriate legislation shall define the requirements for the optimal number and location of GPs and paediatricians over maximum dist</w:t>
      </w:r>
      <w:r>
        <w:rPr>
          <w:rFonts w:ascii="Times New Roman" w:hAnsi="Times New Roman"/>
          <w:noProof/>
          <w:sz w:val="24"/>
        </w:rPr>
        <w:t>ance (optimal number of the medical doctors defined by the county population and age structure) and to introduce zoning criteria</w:t>
      </w:r>
      <w:r>
        <w:rPr>
          <w:noProof/>
        </w:rPr>
        <w:t xml:space="preserve"> </w:t>
      </w:r>
      <w:r>
        <w:rPr>
          <w:rFonts w:ascii="Times New Roman" w:hAnsi="Times New Roman"/>
          <w:noProof/>
          <w:sz w:val="24"/>
        </w:rPr>
        <w:t>and the process of annual evaluation. The purpose of the zoning is to classify territories according to the severity of the ide</w:t>
      </w:r>
      <w:r>
        <w:rPr>
          <w:rFonts w:ascii="Times New Roman" w:hAnsi="Times New Roman"/>
          <w:noProof/>
          <w:sz w:val="24"/>
        </w:rPr>
        <w:t>ntified GP shortages. This detailed map of gaps in primary care provision allow for better targeting of remedial action, including the modulation of incentives for doctors to open new practices in underserved areas. These should then have access to support</w:t>
      </w:r>
      <w:r>
        <w:rPr>
          <w:rFonts w:ascii="Times New Roman" w:hAnsi="Times New Roman"/>
          <w:noProof/>
          <w:sz w:val="24"/>
        </w:rPr>
        <w:t xml:space="preserve"> for general medicine, in particular in the form of financial grants for setting up and equipping GP practices or compensatory payments when opening a new practice in the underserved areas (related to Investment 1).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this reform shall</w:t>
      </w:r>
      <w:r>
        <w:rPr>
          <w:rFonts w:ascii="Times New Roman" w:hAnsi="Times New Roman"/>
          <w:noProof/>
          <w:sz w:val="24"/>
        </w:rPr>
        <w:t xml:space="preserve"> be completed by 30 June 2022.</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 xml:space="preserve">Investment 1:Support the opening of new primary care practices in underserved areas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Of the overall objective is to create 170 outpatient practices  - the support  shall be made for  the creation of at least 153 new practices</w:t>
      </w:r>
      <w:r>
        <w:rPr>
          <w:rFonts w:ascii="Times New Roman" w:hAnsi="Times New Roman"/>
          <w:noProof/>
          <w:sz w:val="24"/>
        </w:rPr>
        <w:t xml:space="preserve"> for general practitioners for adult and paediatrics in the form of a subsidy to offset the cost of the outpatient practice’s in the first year of operation. The financial support shall be provided for doctors who decide to carry out primary care services </w:t>
      </w:r>
      <w:r>
        <w:rPr>
          <w:rFonts w:ascii="Times New Roman" w:hAnsi="Times New Roman"/>
          <w:noProof/>
          <w:sz w:val="24"/>
        </w:rPr>
        <w:t>in the areas with a shortage of doctors to compensate for the risk and initial investment during the first year, when financial resources from the insurance are insufficient due to low numbers of registered patients. The financial support shall be temporar</w:t>
      </w:r>
      <w:r>
        <w:rPr>
          <w:rFonts w:ascii="Times New Roman" w:hAnsi="Times New Roman"/>
          <w:noProof/>
          <w:sz w:val="24"/>
        </w:rPr>
        <w:t xml:space="preserve">y, lasting one year and should gradually decrease as the number of registered patients is expected to rise. Newly created practices shall be afterwards self-sufficient and funded as all others from public insurance funds.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this invest</w:t>
      </w:r>
      <w:r>
        <w:rPr>
          <w:rFonts w:ascii="Times New Roman" w:hAnsi="Times New Roman"/>
          <w:noProof/>
          <w:sz w:val="24"/>
        </w:rPr>
        <w:t>ment shall be completed by 31 December 2025.</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Investment 2: New hospital network – construction, reconstruction and equipment</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objective of the investment is to upgrade the current infrastructure and to build the new one to be compatible with the require</w:t>
      </w:r>
      <w:r>
        <w:rPr>
          <w:rFonts w:ascii="Times New Roman" w:hAnsi="Times New Roman"/>
          <w:noProof/>
          <w:sz w:val="24"/>
        </w:rPr>
        <w:t xml:space="preserve">ments of modern health systems and contribute to the hospital network. The plan to optimise the hospital network resulting from Reform 1 of this component, </w:t>
      </w:r>
      <w:r>
        <w:rPr>
          <w:rFonts w:ascii="Times New Roman" w:hAnsi="Times New Roman"/>
          <w:i/>
          <w:noProof/>
          <w:sz w:val="24"/>
        </w:rPr>
        <w:t>Optimisation of the hospital network</w:t>
      </w:r>
      <w:r>
        <w:rPr>
          <w:rFonts w:ascii="Times New Roman" w:hAnsi="Times New Roman"/>
          <w:noProof/>
          <w:sz w:val="24"/>
        </w:rPr>
        <w:t xml:space="preserve">, shall be the basis for this investment.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investments start</w:t>
      </w:r>
      <w:r>
        <w:rPr>
          <w:rFonts w:ascii="Times New Roman" w:hAnsi="Times New Roman"/>
          <w:noProof/>
          <w:sz w:val="24"/>
        </w:rPr>
        <w:t xml:space="preserve"> with a call for tenders specifying requirements for providing hospital beds, according the do not significant harm principle (DNSH). This means that building shall meet high energy efficiency requirements for the new hospitals and obtain certificate Build</w:t>
      </w:r>
      <w:r>
        <w:rPr>
          <w:rFonts w:ascii="Times New Roman" w:hAnsi="Times New Roman"/>
          <w:noProof/>
          <w:sz w:val="24"/>
        </w:rPr>
        <w:t>ing Research Establishment Environmental Assessment Method (BREEAM). For the renovated building 30% of primary energy savings is to be achieved. From the overall objective of 2 666 hospital beds, at least 2 400 hospital beds shall be created or renovated.</w:t>
      </w:r>
      <w:r>
        <w:rPr>
          <w:noProof/>
        </w:rPr>
        <w:t xml:space="preserve"> </w:t>
      </w:r>
      <w:r>
        <w:rPr>
          <w:rFonts w:ascii="Times New Roman" w:hAnsi="Times New Roman"/>
          <w:noProof/>
          <w:sz w:val="24"/>
        </w:rPr>
        <w:t xml:space="preserve">In order to facilitate the preparation and implementation of these projects, the special Agency shall be established.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the investment shall be completed by 31 December 2025.</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Investment 3: Digitalisation in health</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 xml:space="preserve">The investment shall </w:t>
      </w:r>
      <w:r>
        <w:rPr>
          <w:rFonts w:ascii="Times New Roman" w:hAnsi="Times New Roman"/>
          <w:noProof/>
          <w:sz w:val="24"/>
        </w:rPr>
        <w:t xml:space="preserve">support the implementation of the Reform 3 of this component - </w:t>
      </w:r>
      <w:r>
        <w:rPr>
          <w:rFonts w:ascii="Times New Roman" w:hAnsi="Times New Roman"/>
          <w:i/>
          <w:noProof/>
          <w:sz w:val="24"/>
        </w:rPr>
        <w:t>Centralisation of the management of the largest hospital</w:t>
      </w:r>
      <w:r>
        <w:rPr>
          <w:rFonts w:ascii="Times New Roman" w:hAnsi="Times New Roman"/>
          <w:noProof/>
          <w:sz w:val="24"/>
        </w:rPr>
        <w:t>s</w:t>
      </w:r>
      <w:r>
        <w:rPr>
          <w:rFonts w:ascii="Times New Roman" w:hAnsi="Times New Roman"/>
          <w:b/>
          <w:noProof/>
          <w:sz w:val="24"/>
        </w:rPr>
        <w:t xml:space="preserve">. </w:t>
      </w:r>
      <w:r>
        <w:rPr>
          <w:rFonts w:ascii="Times New Roman" w:hAnsi="Times New Roman"/>
          <w:noProof/>
          <w:sz w:val="24"/>
        </w:rPr>
        <w:t>The centralisation of the Enterprise Resource Planning (ERP) systems (for the shared serviced centre) shall be carried out in the pilo</w:t>
      </w:r>
      <w:r>
        <w:rPr>
          <w:rFonts w:ascii="Times New Roman" w:hAnsi="Times New Roman"/>
          <w:noProof/>
          <w:sz w:val="24"/>
        </w:rPr>
        <w:t>t project of 19 hospitals under the responsibility of the Ministry of Health. It is assumed that these hospitals shall remain in the hospital network after the completion of the hospital network. The preparation of the systems shall take into account the i</w:t>
      </w:r>
      <w:r>
        <w:rPr>
          <w:rFonts w:ascii="Times New Roman" w:hAnsi="Times New Roman"/>
          <w:noProof/>
          <w:sz w:val="24"/>
        </w:rPr>
        <w:t xml:space="preserve">ntegration into the planned central hospital information system.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this investment shall be completed by 31 December 2025.</w:t>
      </w:r>
    </w:p>
    <w:p w:rsidR="00BF6749" w:rsidRDefault="00C87555">
      <w:pPr>
        <w:tabs>
          <w:tab w:val="left" w:pos="851"/>
        </w:tabs>
        <w:spacing w:before="120" w:after="120" w:line="240" w:lineRule="auto"/>
        <w:jc w:val="both"/>
        <w:rPr>
          <w:rFonts w:ascii="Times New Roman" w:hAnsi="Times New Roman"/>
          <w:b/>
          <w:noProof/>
          <w:sz w:val="24"/>
        </w:rPr>
      </w:pPr>
      <w:r>
        <w:rPr>
          <w:rFonts w:ascii="Times New Roman" w:hAnsi="Times New Roman"/>
          <w:b/>
          <w:noProof/>
          <w:sz w:val="24"/>
        </w:rPr>
        <w:t>Investment 4: Construction and rehabilitation of ambulance stations</w:t>
      </w:r>
    </w:p>
    <w:p w:rsidR="00BF6749" w:rsidRDefault="00C87555">
      <w:pPr>
        <w:tabs>
          <w:tab w:val="left" w:pos="851"/>
        </w:tabs>
        <w:spacing w:before="120" w:after="120" w:line="240" w:lineRule="auto"/>
        <w:jc w:val="both"/>
        <w:rPr>
          <w:rFonts w:ascii="Times New Roman" w:hAnsi="Times New Roman"/>
          <w:i/>
          <w:noProof/>
          <w:sz w:val="24"/>
        </w:rPr>
      </w:pPr>
      <w:r>
        <w:rPr>
          <w:rFonts w:ascii="Times New Roman" w:hAnsi="Times New Roman"/>
          <w:noProof/>
          <w:sz w:val="24"/>
        </w:rPr>
        <w:t>The objective of the investment is to implem</w:t>
      </w:r>
      <w:r>
        <w:rPr>
          <w:rFonts w:ascii="Times New Roman" w:hAnsi="Times New Roman"/>
          <w:noProof/>
          <w:sz w:val="24"/>
        </w:rPr>
        <w:t>ent the Reform 1 of this component:</w:t>
      </w:r>
      <w:r>
        <w:rPr>
          <w:rFonts w:ascii="Times New Roman" w:hAnsi="Times New Roman"/>
          <w:b/>
          <w:noProof/>
          <w:sz w:val="24"/>
        </w:rPr>
        <w:t xml:space="preserve"> </w:t>
      </w:r>
      <w:r>
        <w:rPr>
          <w:rFonts w:ascii="Times New Roman" w:hAnsi="Times New Roman"/>
          <w:i/>
          <w:noProof/>
          <w:sz w:val="24"/>
        </w:rPr>
        <w:t xml:space="preserve">Optimisation of the hospital network </w:t>
      </w:r>
      <w:r>
        <w:rPr>
          <w:rFonts w:ascii="Times New Roman" w:hAnsi="Times New Roman"/>
          <w:noProof/>
          <w:sz w:val="24"/>
        </w:rPr>
        <w:t xml:space="preserve">and Reform 4 of this component, </w:t>
      </w:r>
      <w:r>
        <w:rPr>
          <w:rFonts w:ascii="Times New Roman" w:hAnsi="Times New Roman"/>
          <w:i/>
          <w:noProof/>
          <w:sz w:val="24"/>
        </w:rPr>
        <w:t xml:space="preserve">Optimising the acute healthcare network and the new definition of emergency healthcare, </w:t>
      </w:r>
      <w:r>
        <w:rPr>
          <w:rFonts w:ascii="Times New Roman" w:hAnsi="Times New Roman"/>
          <w:noProof/>
          <w:sz w:val="24"/>
        </w:rPr>
        <w:t>ensuring the implementation of station transfer according to th</w:t>
      </w:r>
      <w:r>
        <w:rPr>
          <w:rFonts w:ascii="Times New Roman" w:hAnsi="Times New Roman"/>
          <w:noProof/>
          <w:sz w:val="24"/>
        </w:rPr>
        <w:t>e new acute care network and requirements for the new hospital network. Part of the transferred stations shall be ensured by reconstructing suitable premises, other part shall need to be re-built with the corresponding equipment. The investment shall addre</w:t>
      </w:r>
      <w:r>
        <w:rPr>
          <w:rFonts w:ascii="Times New Roman" w:hAnsi="Times New Roman"/>
          <w:noProof/>
          <w:sz w:val="24"/>
        </w:rPr>
        <w:t xml:space="preserve">ss the construction or reconstruction of 55 small-scale ambulance stations.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this investment shall be completed by 30 June 2025.</w:t>
      </w:r>
    </w:p>
    <w:p w:rsidR="00BF6749" w:rsidRDefault="00C87555">
      <w:pPr>
        <w:spacing w:before="120" w:after="120" w:line="240" w:lineRule="auto"/>
        <w:jc w:val="both"/>
        <w:rPr>
          <w:rFonts w:ascii="Times New Roman" w:eastAsia="Times New Roman" w:hAnsi="Times New Roman"/>
          <w:b/>
          <w:bCs/>
          <w:noProof/>
          <w:sz w:val="24"/>
          <w:szCs w:val="26"/>
        </w:rPr>
      </w:pPr>
      <w:r>
        <w:rPr>
          <w:rFonts w:ascii="Times New Roman" w:eastAsia="Times New Roman" w:hAnsi="Times New Roman"/>
          <w:b/>
          <w:bCs/>
          <w:noProof/>
          <w:sz w:val="24"/>
          <w:szCs w:val="26"/>
        </w:rPr>
        <w:t>Investment 5: Renewal of the ambulance fleet</w:t>
      </w:r>
    </w:p>
    <w:p w:rsidR="00BF6749" w:rsidRDefault="00C87555">
      <w:pPr>
        <w:spacing w:before="120" w:after="120" w:line="240" w:lineRule="auto"/>
        <w:jc w:val="both"/>
        <w:rPr>
          <w:rFonts w:ascii="Times New Roman" w:eastAsia="Times New Roman" w:hAnsi="Times New Roman"/>
          <w:bCs/>
          <w:noProof/>
          <w:sz w:val="24"/>
          <w:szCs w:val="26"/>
        </w:rPr>
      </w:pPr>
      <w:r>
        <w:rPr>
          <w:rFonts w:ascii="Times New Roman" w:eastAsia="Times New Roman" w:hAnsi="Times New Roman"/>
          <w:b/>
          <w:bCs/>
          <w:noProof/>
          <w:sz w:val="24"/>
          <w:szCs w:val="26"/>
        </w:rPr>
        <w:t xml:space="preserve"> </w:t>
      </w:r>
      <w:r>
        <w:rPr>
          <w:rFonts w:ascii="Times New Roman" w:eastAsia="Times New Roman" w:hAnsi="Times New Roman"/>
          <w:bCs/>
          <w:noProof/>
          <w:sz w:val="24"/>
          <w:szCs w:val="26"/>
        </w:rPr>
        <w:t>The purchase and equipment of ambulance vehicles for ambula</w:t>
      </w:r>
      <w:r>
        <w:rPr>
          <w:rFonts w:ascii="Times New Roman" w:eastAsia="Times New Roman" w:hAnsi="Times New Roman"/>
          <w:bCs/>
          <w:noProof/>
          <w:sz w:val="24"/>
          <w:szCs w:val="26"/>
        </w:rPr>
        <w:t>nce services is expected to meet high quality and safety requirements for the provision of emergency medical care in the field as well as other necessary operational vehicles – desktop, field and mass transport vehicles for mass-disabled persons and exerci</w:t>
      </w:r>
      <w:r>
        <w:rPr>
          <w:rFonts w:ascii="Times New Roman" w:eastAsia="Times New Roman" w:hAnsi="Times New Roman"/>
          <w:bCs/>
          <w:noProof/>
          <w:sz w:val="24"/>
          <w:szCs w:val="26"/>
        </w:rPr>
        <w:t xml:space="preserve">ses shall be ensured. Purchase of the 197 vehicles shall be fully in line with the DNSH principle. </w:t>
      </w:r>
    </w:p>
    <w:p w:rsidR="00BF6749" w:rsidRDefault="00C87555">
      <w:pPr>
        <w:tabs>
          <w:tab w:val="left" w:pos="851"/>
        </w:tabs>
        <w:spacing w:before="120" w:after="120" w:line="240" w:lineRule="auto"/>
        <w:jc w:val="both"/>
        <w:rPr>
          <w:rFonts w:ascii="Times New Roman" w:hAnsi="Times New Roman"/>
          <w:noProof/>
          <w:sz w:val="24"/>
        </w:rPr>
      </w:pPr>
      <w:r>
        <w:rPr>
          <w:rFonts w:ascii="Times New Roman" w:hAnsi="Times New Roman"/>
          <w:noProof/>
          <w:sz w:val="24"/>
        </w:rPr>
        <w:t>The implementation of this investment shall be completed by 31 December 2024.</w:t>
      </w:r>
    </w:p>
    <w:p w:rsidR="00BF6749" w:rsidRDefault="00BF6749">
      <w:pPr>
        <w:spacing w:before="120" w:after="120" w:line="240" w:lineRule="auto"/>
        <w:jc w:val="both"/>
        <w:rPr>
          <w:rFonts w:ascii="Times New Roman" w:hAnsi="Times New Roman"/>
          <w:b/>
          <w:noProof/>
          <w:sz w:val="24"/>
          <w:u w:val="single"/>
        </w:rPr>
        <w:sectPr w:rsidR="00BF6749">
          <w:headerReference w:type="even" r:id="rId138"/>
          <w:headerReference w:type="default" r:id="rId139"/>
          <w:footerReference w:type="even" r:id="rId140"/>
          <w:footerReference w:type="default" r:id="rId141"/>
          <w:headerReference w:type="first" r:id="rId142"/>
          <w:footerReference w:type="first" r:id="rId143"/>
          <w:pgSz w:w="11907" w:h="16839"/>
          <w:pgMar w:top="1134" w:right="1418" w:bottom="1134" w:left="1418" w:header="709" w:footer="709" w:gutter="0"/>
          <w:cols w:space="720"/>
          <w:docGrid w:linePitch="360"/>
        </w:sectPr>
      </w:pP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Milestones, </w:t>
      </w:r>
      <w:r>
        <w:rPr>
          <w:rFonts w:ascii="Times New Roman" w:hAnsi="Times New Roman"/>
          <w:b/>
          <w:noProof/>
          <w:sz w:val="24"/>
          <w:u w:val="single"/>
        </w:rPr>
        <w:t>targets, indicators, and timetable for monitoring and implementation for non-repayable financial support</w:t>
      </w:r>
    </w:p>
    <w:p w:rsidR="00BF6749" w:rsidRDefault="00BF6749">
      <w:pPr>
        <w:spacing w:before="120" w:after="120" w:line="240" w:lineRule="auto"/>
        <w:jc w:val="both"/>
        <w:rPr>
          <w:rFonts w:ascii="Times New Roman" w:hAnsi="Times New Roman"/>
          <w:i/>
          <w:iCs/>
          <w:noProof/>
          <w:color w:val="4F81BD"/>
          <w:sz w:val="24"/>
        </w:rPr>
      </w:pPr>
    </w:p>
    <w:tbl>
      <w:tblPr>
        <w:tblW w:w="15537" w:type="dxa"/>
        <w:tblInd w:w="-601" w:type="dxa"/>
        <w:tblLook w:val="04A0" w:firstRow="1" w:lastRow="0" w:firstColumn="1" w:lastColumn="0" w:noHBand="0" w:noVBand="1"/>
      </w:tblPr>
      <w:tblGrid>
        <w:gridCol w:w="689"/>
        <w:gridCol w:w="1361"/>
        <w:gridCol w:w="1636"/>
        <w:gridCol w:w="1418"/>
        <w:gridCol w:w="1984"/>
        <w:gridCol w:w="1134"/>
        <w:gridCol w:w="992"/>
        <w:gridCol w:w="851"/>
        <w:gridCol w:w="1134"/>
        <w:gridCol w:w="850"/>
        <w:gridCol w:w="3488"/>
      </w:tblGrid>
      <w:tr w:rsidR="00BF6749">
        <w:trPr>
          <w:trHeight w:val="630"/>
        </w:trPr>
        <w:tc>
          <w:tcPr>
            <w:tcW w:w="689" w:type="dxa"/>
            <w:vMerge w:val="restart"/>
            <w:tcBorders>
              <w:top w:val="single" w:sz="4" w:space="0" w:color="auto"/>
              <w:left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Seq. Num.</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361"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Related measure (Reform or Investment)</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636"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Milestone / Target</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418"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Name</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984"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Qualitative indicators  (for milestones)</w:t>
            </w:r>
          </w:p>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2977" w:type="dxa"/>
            <w:gridSpan w:val="3"/>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Quantitative indicators  (</w:t>
            </w:r>
            <w:r>
              <w:rPr>
                <w:rFonts w:ascii="Times New Roman" w:eastAsia="Times New Roman" w:hAnsi="Times New Roman"/>
                <w:b/>
                <w:noProof/>
                <w:sz w:val="20"/>
                <w:szCs w:val="20"/>
              </w:rPr>
              <w:t>for targets)</w:t>
            </w:r>
          </w:p>
        </w:tc>
        <w:tc>
          <w:tcPr>
            <w:tcW w:w="1984" w:type="dxa"/>
            <w:gridSpan w:val="2"/>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Indicative timeline for completion </w:t>
            </w:r>
          </w:p>
        </w:tc>
        <w:tc>
          <w:tcPr>
            <w:tcW w:w="3488" w:type="dxa"/>
            <w:tcBorders>
              <w:top w:val="single" w:sz="4" w:space="0" w:color="auto"/>
              <w:left w:val="nil"/>
              <w:bottom w:val="nil"/>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Description and clear definition of each milestone and target</w:t>
            </w:r>
          </w:p>
        </w:tc>
      </w:tr>
      <w:tr w:rsidR="00BF6749">
        <w:trPr>
          <w:trHeight w:val="453"/>
        </w:trPr>
        <w:tc>
          <w:tcPr>
            <w:tcW w:w="689" w:type="dxa"/>
            <w:vMerge/>
            <w:tcBorders>
              <w:left w:val="single" w:sz="4" w:space="0" w:color="auto"/>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361"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636"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418"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984" w:type="dxa"/>
            <w:vMerge/>
            <w:tcBorders>
              <w:left w:val="nil"/>
              <w:bottom w:val="single" w:sz="4" w:space="0" w:color="auto"/>
              <w:right w:val="single" w:sz="4" w:space="0" w:color="auto"/>
            </w:tcBorders>
            <w:shd w:val="clear" w:color="auto" w:fill="BDD7EE"/>
            <w:vAlign w:val="center"/>
            <w:hideMark/>
          </w:tcPr>
          <w:p w:rsidR="00BF6749" w:rsidRDefault="00BF6749">
            <w:pPr>
              <w:spacing w:after="0" w:line="240" w:lineRule="auto"/>
              <w:jc w:val="center"/>
              <w:rPr>
                <w:rFonts w:ascii="Times New Roman" w:eastAsia="Times New Roman" w:hAnsi="Times New Roman"/>
                <w:b/>
                <w:noProof/>
                <w:sz w:val="20"/>
                <w:szCs w:val="20"/>
              </w:rPr>
            </w:pPr>
          </w:p>
        </w:tc>
        <w:tc>
          <w:tcPr>
            <w:tcW w:w="1134"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unit of measure</w:t>
            </w:r>
          </w:p>
        </w:tc>
        <w:tc>
          <w:tcPr>
            <w:tcW w:w="992"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Baseline</w:t>
            </w:r>
          </w:p>
        </w:tc>
        <w:tc>
          <w:tcPr>
            <w:tcW w:w="851"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Goal</w:t>
            </w:r>
          </w:p>
        </w:tc>
        <w:tc>
          <w:tcPr>
            <w:tcW w:w="1134"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Quarter</w:t>
            </w:r>
          </w:p>
        </w:tc>
        <w:tc>
          <w:tcPr>
            <w:tcW w:w="850"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line="240" w:lineRule="auto"/>
              <w:jc w:val="center"/>
              <w:rPr>
                <w:rFonts w:ascii="Times New Roman" w:eastAsia="Times New Roman" w:hAnsi="Times New Roman"/>
                <w:b/>
                <w:noProof/>
                <w:sz w:val="20"/>
                <w:szCs w:val="20"/>
              </w:rPr>
            </w:pPr>
            <w:r>
              <w:rPr>
                <w:rFonts w:ascii="Times New Roman" w:eastAsia="Times New Roman" w:hAnsi="Times New Roman"/>
                <w:b/>
                <w:noProof/>
                <w:sz w:val="20"/>
                <w:szCs w:val="20"/>
              </w:rPr>
              <w:t>Year</w:t>
            </w:r>
          </w:p>
        </w:tc>
        <w:tc>
          <w:tcPr>
            <w:tcW w:w="3488" w:type="dxa"/>
            <w:tcBorders>
              <w:top w:val="single" w:sz="4" w:space="0" w:color="auto"/>
              <w:left w:val="nil"/>
              <w:bottom w:val="single" w:sz="4" w:space="0" w:color="auto"/>
              <w:right w:val="single" w:sz="4" w:space="0" w:color="auto"/>
            </w:tcBorders>
            <w:shd w:val="clear" w:color="auto" w:fill="BDD7EE"/>
            <w:vAlign w:val="center"/>
            <w:hideMark/>
          </w:tcPr>
          <w:p w:rsidR="00BF6749" w:rsidRDefault="00BF6749">
            <w:pPr>
              <w:spacing w:after="0" w:line="240" w:lineRule="auto"/>
              <w:rPr>
                <w:rFonts w:ascii="Times New Roman" w:eastAsia="Times New Roman" w:hAnsi="Times New Roman"/>
                <w:b/>
                <w:noProof/>
                <w:sz w:val="20"/>
                <w:szCs w:val="20"/>
              </w:rPr>
            </w:pPr>
          </w:p>
        </w:tc>
      </w:tr>
      <w:tr w:rsidR="00BF6749">
        <w:trPr>
          <w:trHeight w:val="1155"/>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Reform 1 Optimization of the Hospital Network (UN)</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Introduction of the hospital network </w:t>
            </w:r>
          </w:p>
          <w:p w:rsidR="00BF6749" w:rsidRDefault="00BF6749">
            <w:pPr>
              <w:spacing w:after="0" w:line="240" w:lineRule="auto"/>
              <w:rPr>
                <w:rFonts w:ascii="Times New Roman" w:eastAsia="Times New Roman" w:hAnsi="Times New Roman"/>
                <w:noProof/>
                <w:color w:val="006100"/>
                <w:sz w:val="20"/>
                <w:szCs w:val="20"/>
              </w:rPr>
            </w:pP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Legislative amendment enter into force </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Legislative amendments to laws and related legal acts (laws included: 576/2004, 577/2004, 578/2004, 579/2004, 581/2004) introducing the optimization of hos</w:t>
            </w:r>
            <w:r>
              <w:rPr>
                <w:rFonts w:ascii="Times New Roman" w:eastAsia="Times New Roman" w:hAnsi="Times New Roman"/>
                <w:noProof/>
                <w:color w:val="006100"/>
                <w:sz w:val="20"/>
                <w:szCs w:val="20"/>
              </w:rPr>
              <w:t xml:space="preserve">pital network shall define hierarchy of inpatient care providers depending on complexity of care provided, scope of services and time accessibility. </w:t>
            </w:r>
          </w:p>
          <w:p w:rsidR="00BF6749" w:rsidRDefault="00BF6749">
            <w:pPr>
              <w:spacing w:after="0" w:line="240" w:lineRule="auto"/>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There will be 5 levels of inpatient care providers. The law shall set compulsory services that providers </w:t>
            </w:r>
            <w:r>
              <w:rPr>
                <w:rFonts w:ascii="Times New Roman" w:eastAsia="Times New Roman" w:hAnsi="Times New Roman"/>
                <w:noProof/>
                <w:color w:val="006100"/>
                <w:sz w:val="20"/>
                <w:szCs w:val="20"/>
              </w:rPr>
              <w:t xml:space="preserve">are obliged to provide at each level. Furthermore it shall define quality indicators, requirements for technical equipment, personnel capacities, waiting times for certain services. </w:t>
            </w: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w:t>
            </w: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11 – Modern and accessible healthcare – Reform 1 Optimization of </w:t>
            </w:r>
            <w:r>
              <w:rPr>
                <w:rFonts w:ascii="Times New Roman" w:eastAsia="Times New Roman" w:hAnsi="Times New Roman"/>
                <w:noProof/>
                <w:color w:val="006100"/>
                <w:sz w:val="20"/>
                <w:szCs w:val="20"/>
              </w:rPr>
              <w:t>the Hospital Network (UN)</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Share of the reprofiled hospitals (authorised within the scope of general and specialised hospitals) under the new hospital network</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40</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There shall be a transition period during which hospitals and health </w:t>
            </w:r>
            <w:r>
              <w:rPr>
                <w:rFonts w:ascii="Times New Roman" w:eastAsia="Times New Roman" w:hAnsi="Times New Roman"/>
                <w:noProof/>
                <w:color w:val="006100"/>
                <w:sz w:val="20"/>
                <w:szCs w:val="20"/>
              </w:rPr>
              <w:t>insurance companies shall be required to comply with newly defined rules.</w:t>
            </w: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40 % of current hospitals (hospitals authorized within the scope of general and specialised hospitals) shall be reprofiled according to the new reform.   </w:t>
            </w: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3</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11 – Modern and </w:t>
            </w:r>
            <w:r>
              <w:rPr>
                <w:rFonts w:ascii="Times New Roman" w:eastAsia="Times New Roman" w:hAnsi="Times New Roman"/>
                <w:noProof/>
                <w:color w:val="006100"/>
                <w:sz w:val="20"/>
                <w:szCs w:val="20"/>
              </w:rPr>
              <w:t>accessible healthcare – Reform 2 Reform of the preparation of health investment plans</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 prioritised investment plan according to the investment evaluation methodology adopted by the Ministry of Health </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prioritised investment plan published on the website of the Ministry of Health  </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both"/>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p w:rsidR="00BF6749" w:rsidRDefault="00C87555">
            <w:pPr>
              <w:spacing w:before="120" w:after="12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plan shall comprise of all the investments to be financed from the Recovery and Resilience Plan and the EU Structural Funds and shall start preparing these pro</w:t>
            </w:r>
            <w:r>
              <w:rPr>
                <w:rFonts w:ascii="Times New Roman" w:eastAsia="Times New Roman" w:hAnsi="Times New Roman"/>
                <w:noProof/>
                <w:color w:val="006100"/>
                <w:sz w:val="20"/>
                <w:szCs w:val="20"/>
              </w:rPr>
              <w:t>jects as a matter of priority for implementation (linked to Investments 1, 2 and 3).</w:t>
            </w: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 methodology for evaluating health investments shall be developed, which will determine decision-making criteria based on financial, medical but also indirect benefits, i</w:t>
            </w:r>
            <w:r>
              <w:rPr>
                <w:rFonts w:ascii="Times New Roman" w:eastAsia="Times New Roman" w:hAnsi="Times New Roman"/>
                <w:noProof/>
                <w:color w:val="006100"/>
                <w:sz w:val="20"/>
                <w:szCs w:val="20"/>
              </w:rPr>
              <w:t>ncluding societal and socio-economic benefits. A model for decision-making on the economic efficiency of an investment in the health sector shall be set, taking into account not only the direct financial benefits of the investment but all indirect (e.g. gr</w:t>
            </w:r>
            <w:r>
              <w:rPr>
                <w:rFonts w:ascii="Times New Roman" w:eastAsia="Times New Roman" w:hAnsi="Times New Roman"/>
                <w:noProof/>
                <w:color w:val="006100"/>
                <w:sz w:val="20"/>
                <w:szCs w:val="20"/>
              </w:rPr>
              <w:t xml:space="preserve">eater patient comfort). </w:t>
            </w:r>
          </w:p>
          <w:p w:rsidR="00BF6749" w:rsidRDefault="00BF6749">
            <w:pPr>
              <w:spacing w:after="0" w:line="240" w:lineRule="auto"/>
              <w:jc w:val="center"/>
              <w:rPr>
                <w:rFonts w:ascii="Times New Roman" w:eastAsia="Times New Roman" w:hAnsi="Times New Roman"/>
                <w:noProof/>
                <w:color w:val="006100"/>
                <w:sz w:val="20"/>
                <w:szCs w:val="20"/>
              </w:rPr>
            </w:pP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Reform 3 Centralization of the management of the largest hospitals</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Establishment of a central hospital management body from an organisational, operational and economic point of </w:t>
            </w:r>
            <w:r>
              <w:rPr>
                <w:rFonts w:ascii="Times New Roman" w:eastAsia="Times New Roman" w:hAnsi="Times New Roman"/>
                <w:noProof/>
                <w:color w:val="006100"/>
                <w:sz w:val="20"/>
                <w:szCs w:val="20"/>
              </w:rPr>
              <w:t>view</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Central Hospital Management Authority approved by the Ministry of Health and fully operational</w:t>
            </w:r>
          </w:p>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2023</w:t>
            </w:r>
          </w:p>
        </w:tc>
        <w:tc>
          <w:tcPr>
            <w:tcW w:w="3488" w:type="dxa"/>
            <w:tcBorders>
              <w:top w:val="nil"/>
              <w:left w:val="nil"/>
              <w:bottom w:val="nil"/>
              <w:right w:val="single" w:sz="4" w:space="0" w:color="auto"/>
            </w:tcBorders>
            <w:shd w:val="clear" w:color="auto" w:fill="C6EFCE"/>
            <w:vAlign w:val="center"/>
            <w:hideMark/>
          </w:tcPr>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This authority shall effectively provide the governing structure for the 19 hospitals that shall consist of the hospital network being in the pi</w:t>
            </w:r>
            <w:r>
              <w:rPr>
                <w:rFonts w:ascii="Times New Roman" w:eastAsia="Times New Roman" w:hAnsi="Times New Roman"/>
                <w:noProof/>
                <w:color w:val="006100"/>
                <w:sz w:val="20"/>
                <w:szCs w:val="20"/>
              </w:rPr>
              <w:t xml:space="preserve">lot phase (see target below). This means that it would: manage, guide and evaluate hospitals’ planning and performance such as financial controlling, compliance control, HR, quality and risk management with a link to clinical processes. It shall also make </w:t>
            </w:r>
            <w:r>
              <w:rPr>
                <w:rFonts w:ascii="Times New Roman" w:eastAsia="Times New Roman" w:hAnsi="Times New Roman"/>
                <w:noProof/>
                <w:color w:val="006100"/>
                <w:sz w:val="20"/>
                <w:szCs w:val="20"/>
              </w:rPr>
              <w:t xml:space="preserve">the recommendations for optimization of expenditures and inventories of medicines and medical devices. </w:t>
            </w: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Reform 3 Centralization of the management of the largest hospitals</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Number of hospitals involved in </w:t>
            </w:r>
            <w:r>
              <w:rPr>
                <w:rFonts w:ascii="Times New Roman" w:eastAsia="Times New Roman" w:hAnsi="Times New Roman"/>
                <w:noProof/>
                <w:color w:val="006100"/>
                <w:sz w:val="20"/>
                <w:szCs w:val="20"/>
              </w:rPr>
              <w:t>central management system</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19</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488" w:type="dxa"/>
            <w:tcBorders>
              <w:top w:val="single" w:sz="4" w:space="0" w:color="auto"/>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Central management system shall embrace 19 state controlled hospitals in the piloting phase. </w:t>
            </w: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6</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11 – Modern and accessible healthcare – Reform 4 Optimisation of the acute healthcare network and new </w:t>
            </w:r>
            <w:r>
              <w:rPr>
                <w:rFonts w:ascii="Times New Roman" w:eastAsia="Times New Roman" w:hAnsi="Times New Roman"/>
                <w:noProof/>
                <w:color w:val="006100"/>
                <w:sz w:val="20"/>
                <w:szCs w:val="20"/>
              </w:rPr>
              <w:t>definition of emergency healthcare</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Amendment to the law on Optimal ambulance network</w:t>
            </w:r>
            <w:r>
              <w:rPr>
                <w:rFonts w:ascii="Times New Roman" w:hAnsi="Times New Roman"/>
                <w:noProof/>
                <w:sz w:val="20"/>
                <w:szCs w:val="20"/>
              </w:rPr>
              <w:t xml:space="preserve"> </w:t>
            </w:r>
            <w:r>
              <w:rPr>
                <w:rFonts w:ascii="Times New Roman" w:eastAsia="Times New Roman" w:hAnsi="Times New Roman"/>
                <w:noProof/>
                <w:color w:val="006100"/>
                <w:sz w:val="20"/>
                <w:szCs w:val="20"/>
              </w:rPr>
              <w:t>and new definition of emergency healthcare</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legislation on the new optimal ambulance network enters into force. </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2023</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legislative amendments shall i</w:t>
            </w:r>
            <w:r>
              <w:rPr>
                <w:rFonts w:ascii="Times New Roman" w:eastAsia="Times New Roman" w:hAnsi="Times New Roman"/>
                <w:noProof/>
                <w:color w:val="006100"/>
                <w:sz w:val="20"/>
                <w:szCs w:val="20"/>
              </w:rPr>
              <w:t>ntroduce a new network of ambulance stations and a new definition of emergency medical care. The new network shall guarantee the availability of emergency services within 15 minutes for 90 % of the population. It shall be geographically and procedurally li</w:t>
            </w:r>
            <w:r>
              <w:rPr>
                <w:rFonts w:ascii="Times New Roman" w:eastAsia="Times New Roman" w:hAnsi="Times New Roman"/>
                <w:noProof/>
                <w:color w:val="006100"/>
                <w:sz w:val="20"/>
                <w:szCs w:val="20"/>
              </w:rPr>
              <w:t xml:space="preserve">nked to the new UN hospital network  The new definition of emergency care shall determine the number of authorized users of ambulance services and how to respond to the request of those users.  </w:t>
            </w: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7</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Reform 5 Reform of</w:t>
            </w:r>
            <w:r>
              <w:rPr>
                <w:rFonts w:ascii="Times New Roman" w:eastAsia="Times New Roman" w:hAnsi="Times New Roman"/>
                <w:noProof/>
                <w:color w:val="006100"/>
                <w:sz w:val="20"/>
                <w:szCs w:val="20"/>
              </w:rPr>
              <w:t xml:space="preserve"> primary care provision for adults, children and youth</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The new law on the establishment of the network of general care providers and the introduction of zoning</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Entry into force the act of law </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new legislation shall  set out rules </w:t>
            </w:r>
            <w:r>
              <w:rPr>
                <w:rFonts w:ascii="Times New Roman" w:eastAsia="Times New Roman" w:hAnsi="Times New Roman"/>
                <w:noProof/>
                <w:color w:val="006100"/>
                <w:sz w:val="20"/>
                <w:szCs w:val="20"/>
              </w:rPr>
              <w:t>for the primary care network to determine the number and distribution of general practitioners on the basis of:  -         Availability (maximum travel time per doctor);</w:t>
            </w:r>
          </w:p>
          <w:p w:rsidR="00BF6749" w:rsidRDefault="00C87555">
            <w:pPr>
              <w:numPr>
                <w:ilvl w:val="0"/>
                <w:numId w:val="37"/>
              </w:numPr>
              <w:spacing w:before="120" w:after="0" w:line="259" w:lineRule="auto"/>
              <w:contextualSpacing/>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capacity needs (the number of general practitioners of adults and children needed, bas</w:t>
            </w:r>
            <w:r>
              <w:rPr>
                <w:rFonts w:ascii="Times New Roman" w:eastAsia="Times New Roman" w:hAnsi="Times New Roman"/>
                <w:noProof/>
                <w:color w:val="006100"/>
                <w:sz w:val="20"/>
                <w:szCs w:val="20"/>
              </w:rPr>
              <w:t xml:space="preserve">ed on the size and age structure of the population).     </w:t>
            </w:r>
          </w:p>
        </w:tc>
      </w:tr>
      <w:tr w:rsidR="00BF6749">
        <w:trPr>
          <w:trHeight w:val="173"/>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11 – Modern and accessible healthcare – Investment 1 Supporting the opening of new primary care </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Number of the primary care outpatient clinics supported by a pilot programme </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153</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overall objective is to create 170 outpatient practice - the support  shall be made for  the creation of at least 153 new outpatient clinics for general practitioners for adult and paediatrics in the form of a subsidy to offset the cost of the </w:t>
            </w:r>
            <w:r>
              <w:rPr>
                <w:rFonts w:ascii="Times New Roman" w:eastAsia="Times New Roman" w:hAnsi="Times New Roman"/>
                <w:noProof/>
                <w:color w:val="006100"/>
                <w:sz w:val="20"/>
                <w:szCs w:val="20"/>
              </w:rPr>
              <w:t xml:space="preserve">outpatient practices during the first year of operation.   </w:t>
            </w:r>
          </w:p>
        </w:tc>
      </w:tr>
      <w:tr w:rsidR="00BF6749">
        <w:trPr>
          <w:trHeight w:val="2286"/>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9</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Investment 2 New hospital network – construction, reconstruction and equipment</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Call for tender for the construction and reconstruction of </w:t>
            </w:r>
            <w:r>
              <w:rPr>
                <w:rFonts w:ascii="Times New Roman" w:eastAsia="Times New Roman" w:hAnsi="Times New Roman"/>
                <w:noProof/>
                <w:color w:val="006100"/>
                <w:sz w:val="20"/>
                <w:szCs w:val="20"/>
              </w:rPr>
              <w:t>hospitals</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Notification of award of tender to the projects, compliant with eligibility/selection criteria </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992"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851"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Notification of the award of all public contracts for the overall objective 2,666 new hospital beds, of which at least 2400 beds shall be</w:t>
            </w:r>
            <w:r>
              <w:rPr>
                <w:rFonts w:ascii="Times New Roman" w:eastAsia="Times New Roman" w:hAnsi="Times New Roman"/>
                <w:noProof/>
                <w:color w:val="006100"/>
                <w:sz w:val="20"/>
                <w:szCs w:val="20"/>
              </w:rPr>
              <w:t xml:space="preserve"> made available, broken down:</w:t>
            </w:r>
          </w:p>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 at least  870 beds in completely new hospitals at full fitness out* level in buildings meeting the energy efficiency requirements of the 25ter intervention field certified BREEAM (the objective is 968 beds) </w:t>
            </w:r>
          </w:p>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 at least 1 0</w:t>
            </w:r>
            <w:r>
              <w:rPr>
                <w:rFonts w:ascii="Times New Roman" w:eastAsia="Times New Roman" w:hAnsi="Times New Roman"/>
                <w:noProof/>
                <w:color w:val="006100"/>
                <w:sz w:val="20"/>
                <w:szCs w:val="20"/>
              </w:rPr>
              <w:t>35 beds in completely new hospitals at “gross construction” level** in buildings meeting the energy efficiency requirements of intervention field 25ter certified BREEAM (the objective is 1 150 beds)</w:t>
            </w:r>
          </w:p>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3. At least 495 beds in hospitals after major renovation </w:t>
            </w:r>
            <w:r>
              <w:rPr>
                <w:rFonts w:ascii="Times New Roman" w:eastAsia="Times New Roman" w:hAnsi="Times New Roman"/>
                <w:noProof/>
                <w:color w:val="006100"/>
                <w:sz w:val="20"/>
                <w:szCs w:val="20"/>
              </w:rPr>
              <w:t xml:space="preserve">to full fitness out*** in buildings meeting the energy efficiency requirements of intervention field 26bis (objective is 548 beds)  </w:t>
            </w:r>
          </w:p>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*Full fit out – a completely new hospital with material equipment ready to receive patients.  **Gross construction – founda</w:t>
            </w:r>
            <w:r>
              <w:rPr>
                <w:rFonts w:ascii="Times New Roman" w:eastAsia="Times New Roman" w:hAnsi="Times New Roman"/>
                <w:noProof/>
                <w:color w:val="006100"/>
                <w:sz w:val="20"/>
                <w:szCs w:val="20"/>
              </w:rPr>
              <w:t xml:space="preserve">tions, construction, piping, insulation, drainage, outdoor plumbing, without machinery, central heating, wiring, floors, finishing and equipment.  *** Extensive renovation to full fitness out-reconstruction of a large part of buildings, insulation, roofs, </w:t>
            </w:r>
            <w:r>
              <w:rPr>
                <w:rFonts w:ascii="Times New Roman" w:eastAsia="Times New Roman" w:hAnsi="Times New Roman"/>
                <w:noProof/>
                <w:color w:val="006100"/>
                <w:sz w:val="20"/>
                <w:szCs w:val="20"/>
              </w:rPr>
              <w:t>windows, doors, lighting, replacement of technological equipment (heating, wiring, electricity, lifts). The reconstruction shall reorganise the hospital’s internal processes and rehabilitate technical equipment. The reconstruction of building shall be subj</w:t>
            </w:r>
            <w:r>
              <w:rPr>
                <w:rFonts w:ascii="Times New Roman" w:eastAsia="Times New Roman" w:hAnsi="Times New Roman"/>
                <w:noProof/>
                <w:color w:val="006100"/>
                <w:sz w:val="20"/>
                <w:szCs w:val="20"/>
              </w:rPr>
              <w:t xml:space="preserve">ected to the primary energy savings of more than 30 % to be monitored by energy saving certificates.  </w:t>
            </w: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Investment 2 New hospital network – construction, reconstruction and equipment</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p w:rsidR="00BF6749" w:rsidRDefault="00BF6749">
            <w:pPr>
              <w:spacing w:after="0" w:line="240" w:lineRule="auto"/>
              <w:jc w:val="center"/>
              <w:rPr>
                <w:rFonts w:ascii="Times New Roman" w:eastAsia="Times New Roman" w:hAnsi="Times New Roman"/>
                <w:noProof/>
                <w:color w:val="006100"/>
                <w:sz w:val="20"/>
                <w:szCs w:val="20"/>
              </w:rPr>
            </w:pPr>
          </w:p>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Beds made available </w:t>
            </w:r>
            <w:r>
              <w:rPr>
                <w:rFonts w:ascii="Times New Roman" w:eastAsia="Times New Roman" w:hAnsi="Times New Roman"/>
                <w:noProof/>
                <w:color w:val="006100"/>
                <w:sz w:val="20"/>
                <w:szCs w:val="20"/>
              </w:rPr>
              <w:t>in upgraded hospitals</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2400 </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24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Beds made available in upgraded hospitals with a capacity of at least 2 400 beds broken down  1. Minimum 870 beds in completely new hospitals at full fitness out* level in buildings meeting the energy efficienc</w:t>
            </w:r>
            <w:r>
              <w:rPr>
                <w:rFonts w:ascii="Times New Roman" w:eastAsia="Times New Roman" w:hAnsi="Times New Roman"/>
                <w:noProof/>
                <w:color w:val="006100"/>
                <w:sz w:val="20"/>
                <w:szCs w:val="20"/>
              </w:rPr>
              <w:t>y requirements of the 25ter intervention field certified BREEAM  2. Minimum 1 035 beds in completely new hospitals at “gross construction” level in buildings meeting the energy efficiency requirements of intervention field 25ter certified BREEAM  3. At lea</w:t>
            </w:r>
            <w:r>
              <w:rPr>
                <w:rFonts w:ascii="Times New Roman" w:eastAsia="Times New Roman" w:hAnsi="Times New Roman"/>
                <w:noProof/>
                <w:color w:val="006100"/>
                <w:sz w:val="20"/>
                <w:szCs w:val="20"/>
              </w:rPr>
              <w:t xml:space="preserve">st 495 beds in hospitals after major renovation to full fitness out in buildings meeting the energy efficiency requirements of intervention field 26bis (at least 30 % energy savings compared to current status). </w:t>
            </w:r>
          </w:p>
          <w:p w:rsidR="00BF6749" w:rsidRDefault="00BF6749">
            <w:pPr>
              <w:spacing w:after="240" w:line="240" w:lineRule="auto"/>
              <w:jc w:val="both"/>
              <w:rPr>
                <w:rFonts w:ascii="Times New Roman" w:eastAsia="Times New Roman" w:hAnsi="Times New Roman"/>
                <w:noProof/>
                <w:color w:val="006100"/>
                <w:sz w:val="20"/>
                <w:szCs w:val="20"/>
              </w:rPr>
            </w:pPr>
          </w:p>
        </w:tc>
      </w:tr>
      <w:tr w:rsidR="00BF6749">
        <w:trPr>
          <w:trHeight w:val="1010"/>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w:t>
            </w:r>
            <w:r>
              <w:rPr>
                <w:rFonts w:ascii="Times New Roman" w:eastAsia="Times New Roman" w:hAnsi="Times New Roman"/>
                <w:noProof/>
                <w:color w:val="006100"/>
                <w:sz w:val="20"/>
                <w:szCs w:val="20"/>
              </w:rPr>
              <w:t xml:space="preserve"> Investment 3 Digitalisation in health</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Number of hospitals connected to the Central ERP system </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19</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19 public hospitals shall be connected to the central ERP system that allow for centralization of controlling and other processes in hospitals. </w:t>
            </w:r>
          </w:p>
          <w:p w:rsidR="00BF6749" w:rsidRDefault="00BF6749">
            <w:pPr>
              <w:spacing w:after="0" w:line="240" w:lineRule="auto"/>
              <w:jc w:val="center"/>
              <w:rPr>
                <w:rFonts w:ascii="Times New Roman" w:eastAsia="Times New Roman" w:hAnsi="Times New Roman"/>
                <w:noProof/>
                <w:color w:val="006100"/>
                <w:sz w:val="20"/>
                <w:szCs w:val="20"/>
              </w:rPr>
            </w:pPr>
          </w:p>
        </w:tc>
      </w:tr>
      <w:tr w:rsidR="00BF6749">
        <w:trPr>
          <w:trHeight w:val="1414"/>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Investment 3 Digitalisation in health</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Navigation system for</w:t>
            </w:r>
            <w:r>
              <w:rPr>
                <w:rFonts w:ascii="Times New Roman" w:eastAsia="Times New Roman" w:hAnsi="Times New Roman"/>
                <w:noProof/>
                <w:color w:val="006100"/>
                <w:sz w:val="20"/>
                <w:szCs w:val="20"/>
              </w:rPr>
              <w:t xml:space="preserve"> the treatment of atrial fibrillation in 3 cardiovascular disease institutions</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3</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2023</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FF0000"/>
                <w:sz w:val="20"/>
                <w:szCs w:val="20"/>
              </w:rPr>
            </w:pPr>
            <w:r>
              <w:rPr>
                <w:rFonts w:ascii="Times New Roman" w:eastAsia="Times New Roman" w:hAnsi="Times New Roman"/>
                <w:noProof/>
                <w:color w:val="006100"/>
                <w:sz w:val="20"/>
                <w:szCs w:val="20"/>
              </w:rPr>
              <w:t>The target is to equip 3 institutes of cardiovascular diseases with the navigation system for the treatment of atrial fibrillation which will reduce the time</w:t>
            </w:r>
            <w:r>
              <w:rPr>
                <w:rFonts w:ascii="Times New Roman" w:eastAsia="Times New Roman" w:hAnsi="Times New Roman"/>
                <w:noProof/>
                <w:color w:val="006100"/>
                <w:sz w:val="20"/>
                <w:szCs w:val="20"/>
              </w:rPr>
              <w:t xml:space="preserve"> spent on the atrial fibrillation surgery by 65%.</w:t>
            </w:r>
          </w:p>
          <w:p w:rsidR="00BF6749" w:rsidRDefault="00BF6749">
            <w:pPr>
              <w:spacing w:after="0" w:line="240" w:lineRule="auto"/>
              <w:jc w:val="center"/>
              <w:rPr>
                <w:rFonts w:ascii="Times New Roman" w:eastAsia="Times New Roman" w:hAnsi="Times New Roman"/>
                <w:noProof/>
                <w:color w:val="006100"/>
                <w:sz w:val="20"/>
                <w:szCs w:val="20"/>
              </w:rPr>
            </w:pP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13</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 care – Investment 4 Construction and rehabilitation of ambulance stations (Ambulance Services)</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ambulance station  constructed or reconstructed</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55</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aim is to build or reconstruct the locations of the ambulance stations that shall be located in the new network of the ambulance services.   — The constructed settlements shall be located in buildings meeting the energy efficiency require</w:t>
            </w:r>
            <w:r>
              <w:rPr>
                <w:rFonts w:ascii="Times New Roman" w:eastAsia="Times New Roman" w:hAnsi="Times New Roman"/>
                <w:noProof/>
                <w:color w:val="006100"/>
                <w:sz w:val="20"/>
                <w:szCs w:val="20"/>
              </w:rPr>
              <w:t>ments of intervention field 26bis (at least 30 % energy savings compared to current status).  —New settlements shall be housed in buildings which, in accordance with the regulation in force from 1.1.2021, must comply with energy efficiency class A0.</w:t>
            </w:r>
          </w:p>
          <w:p w:rsidR="00BF6749" w:rsidRDefault="00C87555">
            <w:pPr>
              <w:spacing w:before="120" w:after="0" w:line="240" w:lineRule="auto"/>
              <w:jc w:val="both"/>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Fair g</w:t>
            </w:r>
            <w:r>
              <w:rPr>
                <w:rFonts w:ascii="Times New Roman" w:eastAsia="Times New Roman" w:hAnsi="Times New Roman"/>
                <w:noProof/>
                <w:color w:val="006100"/>
                <w:sz w:val="20"/>
                <w:szCs w:val="20"/>
              </w:rPr>
              <w:t>eographical distribution shall be based on an mathematical simulation model that shall aim to propose a network where: (1) 90 percent of population accessible within 15 minutes from dispatch (2) 80 percent of patients with first quintet hour diagnosis shal</w:t>
            </w:r>
            <w:r>
              <w:rPr>
                <w:rFonts w:ascii="Times New Roman" w:eastAsia="Times New Roman" w:hAnsi="Times New Roman"/>
                <w:noProof/>
                <w:color w:val="006100"/>
                <w:sz w:val="20"/>
                <w:szCs w:val="20"/>
              </w:rPr>
              <w:t xml:space="preserve">l be should be reached within 8 minutes from dispatch (3) through relocation of stations response time shall be shorter than current situation  </w:t>
            </w:r>
          </w:p>
        </w:tc>
      </w:tr>
      <w:tr w:rsidR="00BF6749">
        <w:trPr>
          <w:trHeight w:val="77"/>
        </w:trPr>
        <w:tc>
          <w:tcPr>
            <w:tcW w:w="689" w:type="dxa"/>
            <w:tcBorders>
              <w:top w:val="nil"/>
              <w:left w:val="single" w:sz="4" w:space="0" w:color="auto"/>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highlight w:val="green"/>
              </w:rPr>
            </w:pPr>
            <w:r>
              <w:rPr>
                <w:rFonts w:ascii="Times New Roman" w:eastAsia="Times New Roman" w:hAnsi="Times New Roman"/>
                <w:noProof/>
                <w:color w:val="006100"/>
                <w:sz w:val="20"/>
                <w:szCs w:val="20"/>
              </w:rPr>
              <w:t>14</w:t>
            </w:r>
          </w:p>
        </w:tc>
        <w:tc>
          <w:tcPr>
            <w:tcW w:w="13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 – Modern and accessible healthcare – Investment 5 Renewal of the ambulance fleet</w:t>
            </w:r>
          </w:p>
        </w:tc>
        <w:tc>
          <w:tcPr>
            <w:tcW w:w="163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41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Purchase of vehicles </w:t>
            </w:r>
          </w:p>
        </w:tc>
        <w:tc>
          <w:tcPr>
            <w:tcW w:w="1984"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line="240" w:lineRule="auto"/>
              <w:jc w:val="center"/>
              <w:rPr>
                <w:rFonts w:ascii="Times New Roman" w:eastAsia="Times New Roman" w:hAnsi="Times New Roman"/>
                <w:noProof/>
                <w:color w:val="006100"/>
                <w:sz w:val="20"/>
                <w:szCs w:val="20"/>
              </w:rPr>
            </w:pP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9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5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197</w:t>
            </w:r>
          </w:p>
        </w:tc>
        <w:tc>
          <w:tcPr>
            <w:tcW w:w="1134"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850"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jc w:val="center"/>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3488"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158 ambulances, 9 vehicles for collective transport of persons and 30 rendez-vous vehicles shall be purchased and delivered according to the DNSH principle. </w:t>
            </w:r>
          </w:p>
          <w:p w:rsidR="00BF6749" w:rsidRDefault="00C87555">
            <w:pPr>
              <w:spacing w:after="0" w:line="240" w:lineRule="auto"/>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For Rendez-vous vehicles, selected vehicle types are z</w:t>
            </w:r>
            <w:r>
              <w:rPr>
                <w:rFonts w:ascii="Times New Roman" w:eastAsia="Times New Roman" w:hAnsi="Times New Roman"/>
                <w:noProof/>
                <w:color w:val="006100"/>
                <w:sz w:val="20"/>
                <w:szCs w:val="20"/>
              </w:rPr>
              <w:t>ero-emission (electric/hydrogen/fuel cells) or low emissions below 50 g CO2/km (plug-in hybrid electric vehicles) shall be chosen. For the rest the procedure of purchasing is as follows:  at first - diesel, then the hybrid or electrical – the best availabl</w:t>
            </w:r>
            <w:r>
              <w:rPr>
                <w:rFonts w:ascii="Times New Roman" w:eastAsia="Times New Roman" w:hAnsi="Times New Roman"/>
                <w:noProof/>
                <w:color w:val="006100"/>
                <w:sz w:val="20"/>
                <w:szCs w:val="20"/>
              </w:rPr>
              <w:t>e technology in the vehicle category shall be applied.</w:t>
            </w:r>
          </w:p>
          <w:p w:rsidR="00BF6749" w:rsidRDefault="00BF6749">
            <w:pPr>
              <w:spacing w:after="0" w:line="240" w:lineRule="auto"/>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p w:rsidR="00BF6749" w:rsidRDefault="00BF6749">
            <w:pPr>
              <w:spacing w:after="0" w:line="240" w:lineRule="auto"/>
              <w:rPr>
                <w:rFonts w:ascii="Times New Roman" w:eastAsia="Times New Roman" w:hAnsi="Times New Roman"/>
                <w:noProof/>
                <w:color w:val="006100"/>
                <w:sz w:val="20"/>
                <w:szCs w:val="20"/>
              </w:rPr>
            </w:pPr>
          </w:p>
        </w:tc>
      </w:tr>
    </w:tbl>
    <w:p w:rsidR="00BF6749" w:rsidRDefault="00C87555">
      <w:pPr>
        <w:spacing w:before="120" w:after="120" w:line="240" w:lineRule="auto"/>
        <w:jc w:val="both"/>
        <w:rPr>
          <w:noProof/>
          <w:lang w:val="en-US"/>
        </w:rPr>
      </w:pP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"Sheet9!R1C1:R15C11" \a \f 4 \h </w:instrText>
      </w:r>
      <w:r>
        <w:rPr>
          <w:rFonts w:ascii="Times New Roman" w:hAnsi="Times New Roman"/>
          <w:noProof/>
          <w:sz w:val="24"/>
        </w:rPr>
        <w:fldChar w:fldCharType="separate"/>
      </w:r>
    </w:p>
    <w:p w:rsidR="00BF6749" w:rsidRDefault="00C87555">
      <w:pPr>
        <w:spacing w:before="120" w:after="120" w:line="240" w:lineRule="auto"/>
        <w:jc w:val="both"/>
        <w:rPr>
          <w:noProof/>
          <w:lang w:val="en-US"/>
        </w:rPr>
      </w:pPr>
      <w:r>
        <w:rPr>
          <w:rFonts w:ascii="Times New Roman" w:hAnsi="Times New Roman"/>
          <w:noProof/>
          <w:sz w:val="24"/>
        </w:rPr>
        <w:fldChar w:fldCharType="end"/>
      </w:r>
      <w:r>
        <w:rPr>
          <w:rFonts w:ascii="Times New Roman" w:hAnsi="Times New Roman"/>
          <w:noProof/>
          <w:sz w:val="24"/>
        </w:rPr>
        <w:fldChar w:fldCharType="begin"/>
      </w:r>
      <w:r>
        <w:rPr>
          <w:rFonts w:ascii="Times New Roman" w:hAnsi="Times New Roman"/>
          <w:noProof/>
          <w:sz w:val="24"/>
        </w:rPr>
        <w:instrText xml:space="preserve"> LINK Excel.Sheet.12 "\\\\NET1.cec.eu.int\\homes\\085\\garcpbl\\Desktop\\CID - Components.xlsx" "T1 Mining and targets (11)!R3C1:R17C11" \a \f 4 \h </w:instrText>
      </w:r>
      <w:r>
        <w:rPr>
          <w:rFonts w:ascii="Times New Roman" w:hAnsi="Times New Roman"/>
          <w:noProof/>
          <w:sz w:val="24"/>
        </w:rPr>
        <w:fldChar w:fldCharType="separate"/>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fldChar w:fldCharType="end"/>
      </w:r>
    </w:p>
    <w:p w:rsidR="00BF6749" w:rsidRDefault="00BF6749">
      <w:pPr>
        <w:spacing w:before="120" w:after="120" w:line="240" w:lineRule="auto"/>
        <w:jc w:val="both"/>
        <w:rPr>
          <w:rFonts w:ascii="Times New Roman" w:hAnsi="Times New Roman"/>
          <w:noProof/>
          <w:sz w:val="24"/>
        </w:rPr>
        <w:sectPr w:rsidR="00BF6749">
          <w:headerReference w:type="even" r:id="rId144"/>
          <w:headerReference w:type="default" r:id="rId145"/>
          <w:footerReference w:type="even" r:id="rId146"/>
          <w:footerReference w:type="default" r:id="rId147"/>
          <w:headerReference w:type="first" r:id="rId148"/>
          <w:footerReference w:type="first" r:id="rId149"/>
          <w:pgSz w:w="16839" w:h="11907" w:orient="landscape"/>
          <w:pgMar w:top="568" w:right="1134" w:bottom="1418" w:left="1134" w:header="709" w:footer="709" w:gutter="0"/>
          <w:cols w:space="720"/>
          <w:docGrid w:linePitch="360"/>
        </w:sectPr>
      </w:pPr>
    </w:p>
    <w:p w:rsidR="00BF6749" w:rsidRDefault="00C87555">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COMPONENT 12: Human, modern and accessible </w:t>
      </w:r>
      <w:r>
        <w:rPr>
          <w:rFonts w:ascii="Times New Roman" w:hAnsi="Times New Roman"/>
          <w:b/>
          <w:smallCaps/>
          <w:noProof/>
          <w:sz w:val="24"/>
        </w:rPr>
        <w:t>mental health care</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objective of the component of the Slovak recovery and resilience plan is to foster systemic improvements in mental health care in Slovakia, underpinned by cooperation across different sectors of public administration and professional</w:t>
      </w:r>
      <w:r>
        <w:rPr>
          <w:rFonts w:ascii="Times New Roman" w:hAnsi="Times New Roman"/>
          <w:noProof/>
          <w:sz w:val="24"/>
        </w:rPr>
        <w:t xml:space="preserve"> organisations. The measures aim to modernise psychiatric and psychological socio-medical care, to promote mental health and the prevention of psychological disorders in the general population, to strengthen socio-medical care and to increase its accessibi</w:t>
      </w:r>
      <w:r>
        <w:rPr>
          <w:rFonts w:ascii="Times New Roman" w:hAnsi="Times New Roman"/>
          <w:noProof/>
          <w:sz w:val="24"/>
        </w:rPr>
        <w:t>lity.</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environmental objectives within the meaning of Article 17 of Regulation (EU) 2020/852, taking into account the description of the measures and the mitigating steps set out in t</w:t>
      </w:r>
      <w:r>
        <w:rPr>
          <w:rFonts w:ascii="Times New Roman" w:hAnsi="Times New Roman"/>
          <w:noProof/>
          <w:sz w:val="24"/>
          <w:szCs w:val="24"/>
        </w:rPr>
        <w:t xml:space="preserve">he recovery and resilience plan in accordance with the DNSH Technical Guidance (2021/C58/01).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Measures in this component shall contribute to addressing Country-Specific Recommendations to Slovakia, in particular as regards resilience of the health care s</w:t>
      </w:r>
      <w:r>
        <w:rPr>
          <w:rFonts w:ascii="Times New Roman" w:hAnsi="Times New Roman"/>
          <w:noProof/>
          <w:sz w:val="24"/>
        </w:rPr>
        <w:t>ystem and coordination between types of care (Country-Specific Recommendation 1, 2020) and long-term care (Country-Specific Recommendation 2, 2019).</w:t>
      </w: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Description of the reforms and investments for non-repayable financial support</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1: Coordinated</w:t>
      </w:r>
      <w:r>
        <w:rPr>
          <w:rFonts w:ascii="Times New Roman" w:hAnsi="Times New Roman"/>
          <w:b/>
          <w:noProof/>
          <w:sz w:val="24"/>
        </w:rPr>
        <w:t xml:space="preserve"> inter-ministerial cooperation and regulation</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This reform aims at coordinating mental health policy and improving cooperation across different sectors of public administration. This shall be achieved by: </w:t>
      </w:r>
    </w:p>
    <w:p w:rsidR="00BF6749" w:rsidRDefault="00C87555">
      <w:pPr>
        <w:numPr>
          <w:ilvl w:val="0"/>
          <w:numId w:val="30"/>
        </w:numPr>
        <w:spacing w:before="120" w:after="120" w:line="240" w:lineRule="auto"/>
        <w:ind w:left="0"/>
        <w:jc w:val="both"/>
        <w:rPr>
          <w:rFonts w:ascii="Times New Roman" w:hAnsi="Times New Roman"/>
          <w:noProof/>
          <w:sz w:val="24"/>
        </w:rPr>
      </w:pPr>
      <w:r>
        <w:rPr>
          <w:rFonts w:ascii="Times New Roman" w:hAnsi="Times New Roman"/>
          <w:noProof/>
          <w:sz w:val="24"/>
        </w:rPr>
        <w:t>establishing an inter-departmental coordination bod</w:t>
      </w:r>
      <w:r>
        <w:rPr>
          <w:rFonts w:ascii="Times New Roman" w:hAnsi="Times New Roman"/>
          <w:noProof/>
          <w:sz w:val="24"/>
        </w:rPr>
        <w:t>y in charge of mental health. The Council of the Government for Mental Health was to be established on 24 February 2021. The reform includes the operationalisation of its governance. One of the Council’s first tasks shall be to coordinate the drafting of t</w:t>
      </w:r>
      <w:r>
        <w:rPr>
          <w:rFonts w:ascii="Times New Roman" w:hAnsi="Times New Roman"/>
          <w:noProof/>
          <w:sz w:val="24"/>
        </w:rPr>
        <w:t xml:space="preserve">he National Mental Health Programme 2022-2030, which shall be submitted to the Government for approval by 31 December 2022. </w:t>
      </w:r>
    </w:p>
    <w:p w:rsidR="00BF6749" w:rsidRDefault="00C87555">
      <w:pPr>
        <w:numPr>
          <w:ilvl w:val="0"/>
          <w:numId w:val="30"/>
        </w:numPr>
        <w:spacing w:before="120" w:after="120" w:line="240" w:lineRule="auto"/>
        <w:ind w:left="0"/>
        <w:jc w:val="both"/>
        <w:rPr>
          <w:rFonts w:ascii="Times New Roman" w:hAnsi="Times New Roman"/>
          <w:noProof/>
          <w:sz w:val="24"/>
        </w:rPr>
      </w:pPr>
      <w:r>
        <w:rPr>
          <w:rFonts w:ascii="Times New Roman" w:hAnsi="Times New Roman"/>
          <w:noProof/>
          <w:sz w:val="24"/>
        </w:rPr>
        <w:t>establishing a professional organisation for psychologists, with the primary objective to increase professionalism and ensure regul</w:t>
      </w:r>
      <w:r>
        <w:rPr>
          <w:rFonts w:ascii="Times New Roman" w:hAnsi="Times New Roman"/>
          <w:noProof/>
          <w:sz w:val="24"/>
        </w:rPr>
        <w:t>ation in education, disciplinary supervision and the provision of legal assistance for these professions, regardless of the sector in which they are carried out.</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rPr>
        <w:t xml:space="preserve">In order to better target this reform </w:t>
      </w:r>
      <w:r>
        <w:rPr>
          <w:rFonts w:ascii="Times New Roman" w:hAnsi="Times New Roman"/>
          <w:noProof/>
          <w:sz w:val="24"/>
          <w:lang w:val="en-US"/>
        </w:rPr>
        <w:t>and the investments in this component</w:t>
      </w:r>
      <w:r>
        <w:rPr>
          <w:rFonts w:ascii="Times New Roman" w:hAnsi="Times New Roman"/>
          <w:noProof/>
          <w:sz w:val="24"/>
        </w:rPr>
        <w:t xml:space="preserve">, the first </w:t>
      </w:r>
      <w:r>
        <w:rPr>
          <w:rFonts w:ascii="Times New Roman" w:hAnsi="Times New Roman"/>
          <w:noProof/>
          <w:sz w:val="24"/>
        </w:rPr>
        <w:t>epidemiological study in the field of mental disorders shall be prepared</w:t>
      </w:r>
      <w:r>
        <w:rPr>
          <w:rFonts w:ascii="Times New Roman" w:hAnsi="Times New Roman"/>
          <w:noProof/>
          <w:sz w:val="24"/>
          <w:lang w:val="en-US"/>
        </w:rPr>
        <w:t xml:space="preserve"> by 31 December 2022</w:t>
      </w:r>
      <w:r>
        <w:rPr>
          <w:rFonts w:ascii="Times New Roman" w:hAnsi="Times New Roman"/>
          <w:noProof/>
          <w:sz w:val="24"/>
        </w:rPr>
        <w:t>. This study shall provide a m</w:t>
      </w:r>
      <w:r>
        <w:rPr>
          <w:rFonts w:ascii="Times New Roman" w:hAnsi="Times New Roman"/>
          <w:noProof/>
          <w:sz w:val="24"/>
          <w:lang w:val="en-US"/>
        </w:rPr>
        <w:t xml:space="preserve">apping of the current epidemiologic situation of mental disorders in Slovakia.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reform shall be completed by</w:t>
      </w:r>
      <w:r>
        <w:rPr>
          <w:rFonts w:ascii="Times New Roman" w:hAnsi="Times New Roman"/>
          <w:noProof/>
          <w:sz w:val="24"/>
          <w:lang w:val="en-US"/>
        </w:rPr>
        <w:t xml:space="preserve"> 30 June 2025.</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2: Development of acutely underestimated capacity areas in mental health care</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This reform aims at developing accessible socio-medical mental health care with an emphasis on increasing the extent of community care. This shall be achiev</w:t>
      </w:r>
      <w:r>
        <w:rPr>
          <w:rFonts w:ascii="Times New Roman" w:hAnsi="Times New Roman"/>
          <w:noProof/>
          <w:sz w:val="24"/>
        </w:rPr>
        <w:t>ed by prioritising mapping of acutely scarce services in Slovakia and developing a strategy for their priority development.</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reform  shall be completed by 31 December 2025.</w:t>
      </w:r>
    </w:p>
    <w:p w:rsidR="00BF6749" w:rsidRDefault="00BF6749">
      <w:pPr>
        <w:spacing w:before="120" w:after="120" w:line="240" w:lineRule="auto"/>
        <w:jc w:val="both"/>
        <w:rPr>
          <w:rFonts w:ascii="Times New Roman" w:hAnsi="Times New Roman"/>
          <w:noProof/>
          <w:sz w:val="24"/>
          <w:lang w:val="en-US"/>
        </w:rPr>
      </w:pP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 xml:space="preserve">Reform 3: Modernisation of diagnostic methods and </w:t>
      </w:r>
      <w:r>
        <w:rPr>
          <w:rFonts w:ascii="Times New Roman" w:hAnsi="Times New Roman"/>
          <w:b/>
          <w:noProof/>
          <w:sz w:val="24"/>
        </w:rPr>
        <w:t>treatments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The aim of this reform is to ensure a comprehensive modernisation of the standard diagnostic and therapeutic procedures and to ensure their application in practice. Working groups shall be set up to review international psychodiagnostic methods </w:t>
      </w:r>
      <w:r>
        <w:rPr>
          <w:rFonts w:ascii="Times New Roman" w:hAnsi="Times New Roman"/>
          <w:noProof/>
          <w:sz w:val="24"/>
          <w:lang w:val="en-US"/>
        </w:rPr>
        <w:t>for different age groups and different applications and put forward recommendations for adaptation of national methods. A working group shall be set up to identify specific institutional psychiatric facilities where humanisation and replacement of enclosur</w:t>
      </w:r>
      <w:r>
        <w:rPr>
          <w:rFonts w:ascii="Times New Roman" w:hAnsi="Times New Roman"/>
          <w:noProof/>
          <w:sz w:val="24"/>
          <w:lang w:val="en-US"/>
        </w:rPr>
        <w:t>e beds shall be implemented.</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June 2025.</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1: Project management and project preparation of investments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An implementing unit shall be set up to manage investment projects under the recov</w:t>
      </w:r>
      <w:r>
        <w:rPr>
          <w:rFonts w:ascii="Times New Roman" w:hAnsi="Times New Roman"/>
          <w:noProof/>
          <w:sz w:val="24"/>
          <w:lang w:val="en-US"/>
        </w:rPr>
        <w:t>ery and resilience plan, covering medical, procedural and IT design of these healthcare facilities. The entity shall coordinate design and engineering activities, central selection of contractor, co-operate in the organisation of construction and control a</w:t>
      </w:r>
      <w:r>
        <w:rPr>
          <w:rFonts w:ascii="Times New Roman" w:hAnsi="Times New Roman"/>
          <w:noProof/>
          <w:sz w:val="24"/>
          <w:lang w:val="en-US"/>
        </w:rPr>
        <w:t>ctivities in order to generate economies of scale and time savings.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2: Creation of detention facilities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aim is to provide adequate care for a small group of psychiatric</w:t>
      </w:r>
      <w:r>
        <w:rPr>
          <w:rFonts w:ascii="Times New Roman" w:hAnsi="Times New Roman"/>
          <w:noProof/>
          <w:sz w:val="24"/>
          <w:lang w:val="en-US"/>
        </w:rPr>
        <w:t xml:space="preserve"> patients who committed serious criminal offences. The establishment of detention facilities is not part of the deinstitutionalisation process, but is a necessary and complementary safety and healthcare measure for a small group of patients.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Two detention </w:t>
      </w:r>
      <w:r>
        <w:rPr>
          <w:rFonts w:ascii="Times New Roman" w:hAnsi="Times New Roman"/>
          <w:noProof/>
          <w:sz w:val="24"/>
          <w:lang w:val="en-US"/>
        </w:rPr>
        <w:t>facilities shall be set up with a capacity of 75 beds each, one being already under construction.</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December 2025.</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3: Building psycho-social centres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The objective of this measure is to </w:t>
      </w:r>
      <w:r>
        <w:rPr>
          <w:rFonts w:ascii="Times New Roman" w:hAnsi="Times New Roman"/>
          <w:noProof/>
          <w:sz w:val="24"/>
        </w:rPr>
        <w:t>ensure adequate care for long-term patients in their home environment by mobile teams, thereby limiting placement in institutional facilities or improving the quality of life in these facilities. The measure shall prevent the need of or reduce the duration</w:t>
      </w:r>
      <w:r>
        <w:rPr>
          <w:rFonts w:ascii="Times New Roman" w:hAnsi="Times New Roman"/>
          <w:noProof/>
          <w:sz w:val="24"/>
        </w:rPr>
        <w:t xml:space="preserve"> of hospitalisation. The measure shall focus on adults and paediatric patients with limited social adaptation.</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centres shall provide health and social services through a multidisciplinary team (psychiatrist, psychologist, nurse, social worker, special </w:t>
      </w:r>
      <w:r>
        <w:rPr>
          <w:rFonts w:ascii="Times New Roman" w:hAnsi="Times New Roman"/>
          <w:noProof/>
          <w:sz w:val="24"/>
          <w:szCs w:val="24"/>
        </w:rPr>
        <w:t xml:space="preserve">and therapeutic educator). A total of 38 centres shall be established. </w:t>
      </w:r>
      <w:r>
        <w:rPr>
          <w:rFonts w:ascii="Times New Roman" w:eastAsia="Times New Roman" w:hAnsi="Times New Roman"/>
          <w:noProof/>
          <w:sz w:val="24"/>
          <w:szCs w:val="24"/>
        </w:rPr>
        <w:t>In the case of building renovations, the minimum objective is to achieve an average primary energy saving of 30%.</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The implementation of the investment shall be completed by 31 December </w:t>
      </w:r>
      <w:r>
        <w:rPr>
          <w:rFonts w:ascii="Times New Roman" w:hAnsi="Times New Roman"/>
          <w:noProof/>
          <w:sz w:val="24"/>
          <w:lang w:val="en-US"/>
        </w:rPr>
        <w:t>2025.</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4: Completing the psychiatric stationary network</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aim of this investment is to complete the network of psychiatric stationary facilities, providing daily psychiatric care as an intermediate step between institutional and out-patient psy</w:t>
      </w:r>
      <w:r>
        <w:rPr>
          <w:rFonts w:ascii="Times New Roman" w:hAnsi="Times New Roman"/>
          <w:noProof/>
          <w:sz w:val="24"/>
        </w:rPr>
        <w:t xml:space="preserve">chiatric care.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total of 15 stationary facilities shall be constructed. </w:t>
      </w:r>
      <w:r>
        <w:rPr>
          <w:rFonts w:ascii="Times New Roman" w:eastAsia="Times New Roman" w:hAnsi="Times New Roman"/>
          <w:noProof/>
          <w:sz w:val="24"/>
          <w:szCs w:val="24"/>
        </w:rPr>
        <w:t>In the case of building renovations, the minimum objective is to achieve an average primary energy saving of 30%.</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Decemb</w:t>
      </w:r>
      <w:r>
        <w:rPr>
          <w:rFonts w:ascii="Times New Roman" w:hAnsi="Times New Roman"/>
          <w:noProof/>
          <w:sz w:val="24"/>
          <w:lang w:val="en-US"/>
        </w:rPr>
        <w:t>er 2025.</w:t>
      </w: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Investment 5: Establishment of specialised centres for autism spectrum disorders</w:t>
      </w:r>
      <w:r>
        <w:rPr>
          <w:rFonts w:ascii="Times New Roman" w:hAnsi="Times New Roman"/>
          <w:noProof/>
          <w:sz w:val="24"/>
        </w:rPr>
        <w:t xml:space="preserve">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The aim is to increase the availability of specialised care facilities for autism spectrum disorders to ensure adequate treatment for this condition. A total of 3 </w:t>
      </w:r>
      <w:r>
        <w:rPr>
          <w:rFonts w:ascii="Times New Roman" w:hAnsi="Times New Roman"/>
          <w:noProof/>
          <w:sz w:val="24"/>
          <w:lang w:val="en-US"/>
        </w:rPr>
        <w:t>new diagnostic-intervention centres for people with autism spectrum disorders shall be established. Staff shall be trained in the most recent diagnostic and intervention methods for this condition.</w:t>
      </w:r>
      <w:r>
        <w:rPr>
          <w:rFonts w:ascii="Times New Roman" w:eastAsia="Times New Roman" w:hAnsi="Times New Roman"/>
          <w:noProof/>
          <w:sz w:val="24"/>
          <w:szCs w:val="24"/>
        </w:rPr>
        <w:t xml:space="preserve"> In the case of building renovations, the minimum objective</w:t>
      </w:r>
      <w:r>
        <w:rPr>
          <w:rFonts w:ascii="Times New Roman" w:eastAsia="Times New Roman" w:hAnsi="Times New Roman"/>
          <w:noProof/>
          <w:sz w:val="24"/>
          <w:szCs w:val="24"/>
        </w:rPr>
        <w:t xml:space="preserve"> is to achieve an average primary energy saving of 30%.</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December 2025.</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6: Establishment of a repository of psychodiagnostic methods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aim is to produce an up-to-date repository of p</w:t>
      </w:r>
      <w:r>
        <w:rPr>
          <w:rFonts w:ascii="Times New Roman" w:hAnsi="Times New Roman"/>
          <w:noProof/>
          <w:sz w:val="24"/>
          <w:lang w:val="en-US"/>
        </w:rPr>
        <w:t>sychodiagnostic methods available to professionals and psychological care facilities. Currently available methods shall be reviewed and updated. Missing methods shall be complemented by acquiring and translating foreign-language methods. The repository sha</w:t>
      </w:r>
      <w:r>
        <w:rPr>
          <w:rFonts w:ascii="Times New Roman" w:hAnsi="Times New Roman"/>
          <w:noProof/>
          <w:sz w:val="24"/>
          <w:lang w:val="en-US"/>
        </w:rPr>
        <w:t>ll be under administration of the competent professional organisation (Slovak Association of Psychologists) and shall include a digital version accessible online.</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In order to mitigate </w:t>
      </w:r>
      <w:r>
        <w:rPr>
          <w:rFonts w:ascii="Times New Roman" w:hAnsi="Times New Roman"/>
          <w:noProof/>
          <w:sz w:val="24"/>
        </w:rPr>
        <w:t>the impacts of the COVID-19 crisis through a n</w:t>
      </w:r>
      <w:r>
        <w:rPr>
          <w:rFonts w:ascii="Times New Roman" w:hAnsi="Times New Roman"/>
          <w:noProof/>
          <w:sz w:val="24"/>
          <w:lang w:val="en-US"/>
        </w:rPr>
        <w:t>ational mental health prom</w:t>
      </w:r>
      <w:r>
        <w:rPr>
          <w:rFonts w:ascii="Times New Roman" w:hAnsi="Times New Roman"/>
          <w:noProof/>
          <w:sz w:val="24"/>
          <w:lang w:val="en-US"/>
        </w:rPr>
        <w:t xml:space="preserve">otion line </w:t>
      </w:r>
      <w:r>
        <w:rPr>
          <w:rFonts w:ascii="Times New Roman" w:hAnsi="Times New Roman"/>
          <w:noProof/>
          <w:sz w:val="24"/>
        </w:rPr>
        <w:t xml:space="preserve">providing psychological support by phone and online shall be </w:t>
      </w:r>
      <w:r>
        <w:rPr>
          <w:rFonts w:ascii="Times New Roman" w:hAnsi="Times New Roman"/>
          <w:noProof/>
          <w:sz w:val="24"/>
          <w:lang w:val="en-US"/>
        </w:rPr>
        <w:t>operated during the pandemic.</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June 2025.</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 xml:space="preserve">Investment 7: Humanisation of institutional psychiatric care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investment’s ob</w:t>
      </w:r>
      <w:r>
        <w:rPr>
          <w:rFonts w:ascii="Times New Roman" w:hAnsi="Times New Roman"/>
          <w:noProof/>
          <w:sz w:val="24"/>
          <w:lang w:val="en-US"/>
        </w:rPr>
        <w:t>jective is a renovation of institutional psychiatric facilities to improve the conditions for hospitalization. This shall be achieved by reducing the number of patients per room with independent sanitary facilities. The overall patient capacity shall remai</w:t>
      </w:r>
      <w:r>
        <w:rPr>
          <w:rFonts w:ascii="Times New Roman" w:hAnsi="Times New Roman"/>
          <w:noProof/>
          <w:sz w:val="24"/>
          <w:lang w:val="en-US"/>
        </w:rPr>
        <w:t xml:space="preserve">n unchanged. Another measure shall be the replacement of enclosure beds by secured isolation rooms. </w:t>
      </w:r>
    </w:p>
    <w:p w:rsidR="00BF6749" w:rsidRDefault="00C87555">
      <w:pPr>
        <w:spacing w:before="120"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A total capacity for 244 patients shall be subject to renovation. </w:t>
      </w:r>
      <w:r>
        <w:rPr>
          <w:rFonts w:ascii="Times New Roman" w:eastAsia="Times New Roman" w:hAnsi="Times New Roman"/>
          <w:noProof/>
          <w:sz w:val="24"/>
          <w:szCs w:val="24"/>
        </w:rPr>
        <w:t>In the case of building renovations, the minimum objective is to achieve an average prima</w:t>
      </w:r>
      <w:r>
        <w:rPr>
          <w:rFonts w:ascii="Times New Roman" w:eastAsia="Times New Roman" w:hAnsi="Times New Roman"/>
          <w:noProof/>
          <w:sz w:val="24"/>
          <w:szCs w:val="24"/>
        </w:rPr>
        <w:t>ry energy saving of 30%.</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31 December 2025.</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b/>
          <w:noProof/>
          <w:sz w:val="24"/>
        </w:rPr>
        <w:t>Investment 8: Training in mental health for staff</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aim of this investment is to increase the number of professional staff with modern education, making</w:t>
      </w:r>
      <w:r>
        <w:rPr>
          <w:rFonts w:ascii="Times New Roman" w:hAnsi="Times New Roman"/>
          <w:noProof/>
          <w:sz w:val="24"/>
          <w:lang w:val="en-US"/>
        </w:rPr>
        <w:t xml:space="preserve"> it possible to increase the availability and quality of care provided. The objective shall be achieved by updating curricula to the requirements of modern practices and introducing new types of care. Legislative barriers to the recognition of foreign qual</w:t>
      </w:r>
      <w:r>
        <w:rPr>
          <w:rFonts w:ascii="Times New Roman" w:hAnsi="Times New Roman"/>
          <w:noProof/>
          <w:sz w:val="24"/>
          <w:lang w:val="en-US"/>
        </w:rPr>
        <w:t xml:space="preserve">ifications shall be removed and clinical training of the health sector shall be made available for mental health professionals from all sectors. Retraining in mental health shall be provided to health sector workers as well as professionals outside of the </w:t>
      </w:r>
      <w:r>
        <w:rPr>
          <w:rFonts w:ascii="Times New Roman" w:hAnsi="Times New Roman"/>
          <w:noProof/>
          <w:sz w:val="24"/>
          <w:lang w:val="en-US"/>
        </w:rPr>
        <w:t>health care sector.</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A total of at least 900 health care sector workers shall be retrained in different types of programmes in mental health.</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this measure shall be completed by 30 June 2025.</w:t>
      </w:r>
    </w:p>
    <w:p w:rsidR="00BF6749" w:rsidRDefault="00BF6749">
      <w:pPr>
        <w:spacing w:before="120" w:after="120" w:line="240" w:lineRule="auto"/>
        <w:jc w:val="both"/>
        <w:rPr>
          <w:rFonts w:ascii="Times New Roman" w:hAnsi="Times New Roman"/>
          <w:noProof/>
          <w:sz w:val="24"/>
          <w:lang w:val="en-US"/>
        </w:rPr>
      </w:pPr>
    </w:p>
    <w:p w:rsidR="00BF6749" w:rsidRDefault="00BF6749">
      <w:pPr>
        <w:spacing w:before="120" w:after="120" w:line="240" w:lineRule="auto"/>
        <w:ind w:left="850"/>
        <w:jc w:val="both"/>
        <w:rPr>
          <w:rFonts w:ascii="Times New Roman" w:hAnsi="Times New Roman"/>
          <w:noProof/>
          <w:sz w:val="24"/>
          <w:lang w:val="en-US"/>
        </w:rPr>
      </w:pPr>
    </w:p>
    <w:p w:rsidR="00BF6749" w:rsidRDefault="00BF6749">
      <w:pPr>
        <w:spacing w:before="120" w:after="120" w:line="240" w:lineRule="auto"/>
        <w:jc w:val="both"/>
        <w:rPr>
          <w:rFonts w:ascii="Times New Roman" w:hAnsi="Times New Roman"/>
          <w:b/>
          <w:noProof/>
          <w:sz w:val="24"/>
          <w:u w:val="single"/>
        </w:rPr>
      </w:pPr>
    </w:p>
    <w:p w:rsidR="00BF6749" w:rsidRDefault="00BF6749">
      <w:pPr>
        <w:spacing w:before="120" w:after="120" w:line="240" w:lineRule="auto"/>
        <w:ind w:left="850"/>
        <w:jc w:val="both"/>
        <w:rPr>
          <w:rFonts w:ascii="Times New Roman" w:hAnsi="Times New Roman"/>
          <w:b/>
          <w:noProof/>
          <w:sz w:val="24"/>
          <w:u w:val="single"/>
        </w:rPr>
        <w:sectPr w:rsidR="00BF6749">
          <w:headerReference w:type="even" r:id="rId150"/>
          <w:headerReference w:type="default" r:id="rId151"/>
          <w:footerReference w:type="even" r:id="rId152"/>
          <w:footerReference w:type="default" r:id="rId153"/>
          <w:headerReference w:type="first" r:id="rId154"/>
          <w:footerReference w:type="first" r:id="rId155"/>
          <w:pgSz w:w="11907" w:h="16839"/>
          <w:pgMar w:top="1134" w:right="1418" w:bottom="1134" w:left="1418" w:header="709" w:footer="709" w:gutter="0"/>
          <w:cols w:space="720"/>
          <w:docGrid w:linePitch="360"/>
        </w:sectPr>
      </w:pP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Milestones, targets, indicators, and timetable for monitoring and implementation for non-repayable financial support</w:t>
      </w:r>
    </w:p>
    <w:p w:rsidR="00BF6749" w:rsidRDefault="00BF6749">
      <w:pPr>
        <w:spacing w:before="120" w:after="120" w:line="240" w:lineRule="auto"/>
        <w:ind w:left="850"/>
        <w:jc w:val="both"/>
        <w:rPr>
          <w:rFonts w:ascii="Times New Roman" w:hAnsi="Times New Roman"/>
          <w:i/>
          <w:iCs/>
          <w:noProof/>
          <w:color w:val="4F81BD"/>
          <w:sz w:val="24"/>
        </w:rPr>
      </w:pPr>
    </w:p>
    <w:tbl>
      <w:tblPr>
        <w:tblW w:w="15877" w:type="dxa"/>
        <w:tblInd w:w="-459" w:type="dxa"/>
        <w:tblLook w:val="04A0" w:firstRow="1" w:lastRow="0" w:firstColumn="1" w:lastColumn="0" w:noHBand="0" w:noVBand="1"/>
      </w:tblPr>
      <w:tblGrid>
        <w:gridCol w:w="689"/>
        <w:gridCol w:w="1605"/>
        <w:gridCol w:w="1050"/>
        <w:gridCol w:w="1611"/>
        <w:gridCol w:w="1649"/>
        <w:gridCol w:w="2185"/>
        <w:gridCol w:w="928"/>
        <w:gridCol w:w="1007"/>
        <w:gridCol w:w="916"/>
        <w:gridCol w:w="638"/>
        <w:gridCol w:w="3599"/>
      </w:tblGrid>
      <w:tr w:rsidR="00BF6749">
        <w:trPr>
          <w:trHeight w:val="900"/>
        </w:trPr>
        <w:tc>
          <w:tcPr>
            <w:tcW w:w="689" w:type="dxa"/>
            <w:vMerge w:val="restart"/>
            <w:tcBorders>
              <w:top w:val="single" w:sz="4" w:space="0" w:color="auto"/>
              <w:left w:val="single" w:sz="4" w:space="0" w:color="auto"/>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Seq. Num.</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605"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Related measure (Reform or Investment)</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050"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Milestone / Target</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611"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Name</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649"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Qualitative indicators  (for </w:t>
            </w:r>
            <w:r>
              <w:rPr>
                <w:rFonts w:ascii="Times New Roman" w:eastAsia="Times New Roman" w:hAnsi="Times New Roman"/>
                <w:b/>
                <w:noProof/>
                <w:sz w:val="20"/>
                <w:szCs w:val="20"/>
              </w:rPr>
              <w:t>milestones)</w:t>
            </w:r>
          </w:p>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4097" w:type="dxa"/>
            <w:gridSpan w:val="3"/>
            <w:tcBorders>
              <w:top w:val="single" w:sz="4" w:space="0" w:color="auto"/>
              <w:left w:val="nil"/>
              <w:bottom w:val="single" w:sz="4" w:space="0" w:color="auto"/>
              <w:right w:val="single" w:sz="4" w:space="0" w:color="000000"/>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Quantitative indicators  (for targets)</w:t>
            </w:r>
          </w:p>
        </w:tc>
        <w:tc>
          <w:tcPr>
            <w:tcW w:w="1554" w:type="dxa"/>
            <w:gridSpan w:val="2"/>
            <w:tcBorders>
              <w:top w:val="single" w:sz="4" w:space="0" w:color="auto"/>
              <w:left w:val="nil"/>
              <w:bottom w:val="single" w:sz="4" w:space="0" w:color="auto"/>
              <w:right w:val="single" w:sz="4" w:space="0" w:color="000000"/>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Indicative timeline for completion </w:t>
            </w:r>
          </w:p>
        </w:tc>
        <w:tc>
          <w:tcPr>
            <w:tcW w:w="3622" w:type="dxa"/>
            <w:vMerge w:val="restart"/>
            <w:tcBorders>
              <w:top w:val="single" w:sz="4" w:space="0" w:color="auto"/>
              <w:left w:val="nil"/>
              <w:right w:val="single" w:sz="4" w:space="0" w:color="auto"/>
            </w:tcBorders>
            <w:shd w:val="clear" w:color="B4C7E7"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Description and clear definition of each milestone and target</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noProof/>
                <w:sz w:val="20"/>
                <w:szCs w:val="20"/>
              </w:rPr>
              <w:t> </w:t>
            </w:r>
          </w:p>
        </w:tc>
      </w:tr>
      <w:tr w:rsidR="00BF6749">
        <w:trPr>
          <w:trHeight w:val="983"/>
        </w:trPr>
        <w:tc>
          <w:tcPr>
            <w:tcW w:w="689" w:type="dxa"/>
            <w:vMerge/>
            <w:tcBorders>
              <w:left w:val="single" w:sz="4" w:space="0" w:color="auto"/>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605"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050"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611"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1649" w:type="dxa"/>
            <w:vMerge/>
            <w:tcBorders>
              <w:left w:val="nil"/>
              <w:bottom w:val="single" w:sz="4" w:space="0" w:color="auto"/>
              <w:right w:val="single" w:sz="4" w:space="0" w:color="auto"/>
            </w:tcBorders>
            <w:shd w:val="clear" w:color="000000" w:fill="BDD7EE"/>
            <w:vAlign w:val="center"/>
            <w:hideMark/>
          </w:tcPr>
          <w:p w:rsidR="00BF6749" w:rsidRDefault="00BF6749">
            <w:pPr>
              <w:spacing w:after="0"/>
              <w:jc w:val="center"/>
              <w:rPr>
                <w:rFonts w:ascii="Times New Roman" w:eastAsia="Times New Roman" w:hAnsi="Times New Roman"/>
                <w:b/>
                <w:noProof/>
                <w:sz w:val="20"/>
                <w:szCs w:val="20"/>
              </w:rPr>
            </w:pPr>
          </w:p>
        </w:tc>
        <w:tc>
          <w:tcPr>
            <w:tcW w:w="2185"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Unit of measure</w:t>
            </w:r>
          </w:p>
        </w:tc>
        <w:tc>
          <w:tcPr>
            <w:tcW w:w="905"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Baseline</w:t>
            </w:r>
          </w:p>
        </w:tc>
        <w:tc>
          <w:tcPr>
            <w:tcW w:w="1007"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Goal</w:t>
            </w:r>
          </w:p>
        </w:tc>
        <w:tc>
          <w:tcPr>
            <w:tcW w:w="916"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Quarter</w:t>
            </w:r>
          </w:p>
        </w:tc>
        <w:tc>
          <w:tcPr>
            <w:tcW w:w="638" w:type="dxa"/>
            <w:tcBorders>
              <w:top w:val="nil"/>
              <w:left w:val="nil"/>
              <w:bottom w:val="single" w:sz="4" w:space="0" w:color="auto"/>
              <w:right w:val="single" w:sz="4" w:space="0" w:color="auto"/>
            </w:tcBorders>
            <w:shd w:val="clear" w:color="000000" w:fill="BDD7EE"/>
            <w:vAlign w:val="center"/>
            <w:hideMark/>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Year</w:t>
            </w:r>
          </w:p>
        </w:tc>
        <w:tc>
          <w:tcPr>
            <w:tcW w:w="3622" w:type="dxa"/>
            <w:vMerge/>
            <w:tcBorders>
              <w:left w:val="nil"/>
              <w:bottom w:val="single" w:sz="4" w:space="0" w:color="auto"/>
              <w:right w:val="single" w:sz="4" w:space="0" w:color="auto"/>
            </w:tcBorders>
            <w:shd w:val="clear" w:color="000000" w:fill="BDD7EE"/>
            <w:vAlign w:val="center"/>
            <w:hideMark/>
          </w:tcPr>
          <w:p w:rsidR="00BF6749" w:rsidRDefault="00BF6749">
            <w:pPr>
              <w:spacing w:after="0"/>
              <w:rPr>
                <w:rFonts w:ascii="Times New Roman" w:eastAsia="Times New Roman" w:hAnsi="Times New Roman"/>
                <w:noProof/>
                <w:sz w:val="20"/>
                <w:szCs w:val="20"/>
              </w:rPr>
            </w:pPr>
          </w:p>
        </w:tc>
      </w:tr>
      <w:tr w:rsidR="00BF6749">
        <w:trPr>
          <w:trHeight w:val="2214"/>
        </w:trPr>
        <w:tc>
          <w:tcPr>
            <w:tcW w:w="689" w:type="dxa"/>
            <w:tcBorders>
              <w:top w:val="nil"/>
              <w:left w:val="single" w:sz="4" w:space="0" w:color="auto"/>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w:t>
            </w:r>
          </w:p>
        </w:tc>
        <w:tc>
          <w:tcPr>
            <w:tcW w:w="160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12 – Human, modern and accessible mental health </w:t>
            </w:r>
            <w:r>
              <w:rPr>
                <w:rFonts w:ascii="Times New Roman" w:eastAsia="Times New Roman" w:hAnsi="Times New Roman"/>
                <w:noProof/>
                <w:color w:val="006100"/>
                <w:sz w:val="20"/>
                <w:szCs w:val="20"/>
              </w:rPr>
              <w:t>care - Reform 1: Coordinated inter-ministerial cooperation and regulation</w:t>
            </w:r>
          </w:p>
        </w:tc>
        <w:tc>
          <w:tcPr>
            <w:tcW w:w="1050"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611"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Establishment of two coordination entities for mental health</w:t>
            </w:r>
          </w:p>
        </w:tc>
        <w:tc>
          <w:tcPr>
            <w:tcW w:w="1649"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Full operationalisation of the entities</w:t>
            </w:r>
          </w:p>
        </w:tc>
        <w:tc>
          <w:tcPr>
            <w:tcW w:w="2185" w:type="dxa"/>
            <w:tcBorders>
              <w:top w:val="nil"/>
              <w:left w:val="nil"/>
              <w:bottom w:val="single" w:sz="4" w:space="0" w:color="auto"/>
              <w:right w:val="single" w:sz="4" w:space="0" w:color="auto"/>
            </w:tcBorders>
            <w:shd w:val="clear" w:color="auto" w:fill="C6EFCE"/>
            <w:noWrap/>
            <w:hideMark/>
          </w:tcPr>
          <w:p w:rsidR="00BF6749" w:rsidRDefault="00BF6749">
            <w:pPr>
              <w:spacing w:after="0"/>
              <w:rPr>
                <w:rFonts w:ascii="Times New Roman" w:eastAsia="Times New Roman" w:hAnsi="Times New Roman"/>
                <w:noProof/>
                <w:color w:val="006100"/>
                <w:sz w:val="20"/>
                <w:szCs w:val="20"/>
              </w:rPr>
            </w:pPr>
          </w:p>
        </w:tc>
        <w:tc>
          <w:tcPr>
            <w:tcW w:w="905" w:type="dxa"/>
            <w:tcBorders>
              <w:top w:val="nil"/>
              <w:left w:val="nil"/>
              <w:bottom w:val="single" w:sz="4" w:space="0" w:color="auto"/>
              <w:right w:val="single" w:sz="4" w:space="0" w:color="auto"/>
            </w:tcBorders>
            <w:shd w:val="clear" w:color="auto" w:fill="C6EFCE"/>
            <w:noWrap/>
            <w:hideMark/>
          </w:tcPr>
          <w:p w:rsidR="00BF6749" w:rsidRDefault="00BF6749">
            <w:pPr>
              <w:spacing w:after="0"/>
              <w:rPr>
                <w:rFonts w:ascii="Times New Roman" w:eastAsia="Times New Roman" w:hAnsi="Times New Roman"/>
                <w:noProof/>
                <w:color w:val="006100"/>
                <w:sz w:val="20"/>
                <w:szCs w:val="20"/>
              </w:rPr>
            </w:pPr>
          </w:p>
        </w:tc>
        <w:tc>
          <w:tcPr>
            <w:tcW w:w="1007" w:type="dxa"/>
            <w:tcBorders>
              <w:top w:val="nil"/>
              <w:left w:val="nil"/>
              <w:bottom w:val="single" w:sz="4" w:space="0" w:color="auto"/>
              <w:right w:val="single" w:sz="4" w:space="0" w:color="auto"/>
            </w:tcBorders>
            <w:shd w:val="clear" w:color="auto" w:fill="C6EFCE"/>
            <w:noWrap/>
            <w:hideMark/>
          </w:tcPr>
          <w:p w:rsidR="00BF6749" w:rsidRDefault="00BF6749">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638"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Two coordination entities shall be established: </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1.Council o</w:t>
            </w:r>
            <w:r>
              <w:rPr>
                <w:rFonts w:ascii="Times New Roman" w:eastAsia="Times New Roman" w:hAnsi="Times New Roman"/>
                <w:noProof/>
                <w:color w:val="006100"/>
                <w:sz w:val="20"/>
                <w:szCs w:val="20"/>
              </w:rPr>
              <w:t xml:space="preserve">f the Government for Mental Health; </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2.The Association of psychologists </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Council shall coordinate policies across competent ministries in the area of mental health. It shall produce the National Mental Health Programme and Action Plan, which shall be </w:t>
            </w:r>
            <w:r>
              <w:rPr>
                <w:rFonts w:ascii="Times New Roman" w:eastAsia="Times New Roman" w:hAnsi="Times New Roman"/>
                <w:noProof/>
                <w:color w:val="006100"/>
                <w:sz w:val="20"/>
                <w:szCs w:val="20"/>
              </w:rPr>
              <w:t>approved by the Slovak Government</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Association shall be a registered professional organization of psychologist in all functional sectors (i.e. not only limited to health care sector). It shall operate a digital registry of professional psychologists wo</w:t>
            </w:r>
            <w:r>
              <w:rPr>
                <w:rFonts w:ascii="Times New Roman" w:eastAsia="Times New Roman" w:hAnsi="Times New Roman"/>
                <w:noProof/>
                <w:color w:val="006100"/>
                <w:sz w:val="20"/>
                <w:szCs w:val="20"/>
              </w:rPr>
              <w:t xml:space="preserve">rking in the fields of health, education, social affairs, justice, home affairs, defence and others.  </w:t>
            </w:r>
          </w:p>
        </w:tc>
      </w:tr>
      <w:tr w:rsidR="00BF6749">
        <w:trPr>
          <w:trHeight w:val="2078"/>
        </w:trPr>
        <w:tc>
          <w:tcPr>
            <w:tcW w:w="689" w:type="dxa"/>
            <w:tcBorders>
              <w:top w:val="nil"/>
              <w:left w:val="single" w:sz="4" w:space="0" w:color="auto"/>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1605"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 accessible mental health care - Investment 1: Project management and project preparation of investments</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w:t>
            </w:r>
            <w:r>
              <w:rPr>
                <w:rFonts w:ascii="Times New Roman" w:eastAsia="Times New Roman" w:hAnsi="Times New Roman"/>
                <w:noProof/>
                <w:color w:val="006100"/>
                <w:sz w:val="20"/>
                <w:szCs w:val="20"/>
              </w:rPr>
              <w:t xml:space="preserve"> accessible mental health care - Investment 2: Creation of detention facilities</w:t>
            </w:r>
          </w:p>
        </w:tc>
        <w:tc>
          <w:tcPr>
            <w:tcW w:w="1050"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611"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Patient capacity of detention facilities</w:t>
            </w:r>
          </w:p>
        </w:tc>
        <w:tc>
          <w:tcPr>
            <w:tcW w:w="1649" w:type="dxa"/>
            <w:tcBorders>
              <w:top w:val="nil"/>
              <w:left w:val="nil"/>
              <w:bottom w:val="single" w:sz="4" w:space="0" w:color="auto"/>
              <w:right w:val="single" w:sz="4" w:space="0" w:color="auto"/>
            </w:tcBorders>
            <w:shd w:val="clear" w:color="auto" w:fill="C6EFCE"/>
            <w:noWrap/>
            <w:hideMark/>
          </w:tcPr>
          <w:p w:rsidR="00BF6749" w:rsidRDefault="00BF6749">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0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150</w:t>
            </w:r>
          </w:p>
        </w:tc>
        <w:tc>
          <w:tcPr>
            <w:tcW w:w="916"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638"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Entry into use of new detention facilities with a capacity for 150 psychiatric patients.    </w:t>
            </w:r>
          </w:p>
        </w:tc>
      </w:tr>
      <w:tr w:rsidR="00BF6749">
        <w:trPr>
          <w:trHeight w:val="1436"/>
        </w:trPr>
        <w:tc>
          <w:tcPr>
            <w:tcW w:w="689" w:type="dxa"/>
            <w:tcBorders>
              <w:top w:val="nil"/>
              <w:left w:val="single" w:sz="4" w:space="0" w:color="auto"/>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3</w:t>
            </w:r>
          </w:p>
        </w:tc>
        <w:tc>
          <w:tcPr>
            <w:tcW w:w="1605"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12 – Human, modern and accessible mental health care - Reform 2: Development of acutely underestimated capacity areas in mental health care </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 accessible mental health care - Investment 1: Project management and project preparation of</w:t>
            </w:r>
            <w:r>
              <w:rPr>
                <w:rFonts w:ascii="Times New Roman" w:eastAsia="Times New Roman" w:hAnsi="Times New Roman"/>
                <w:noProof/>
                <w:color w:val="006100"/>
                <w:sz w:val="20"/>
                <w:szCs w:val="20"/>
              </w:rPr>
              <w:t xml:space="preserve"> investments</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12 – Human, modern and accessible mental health care - Investment 3: Building psycho-social centres; </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 accessible mental health care - Investment 4: Completing the psychiatric stationary network;</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w:t>
            </w:r>
            <w:r>
              <w:rPr>
                <w:rFonts w:ascii="Times New Roman" w:eastAsia="Times New Roman" w:hAnsi="Times New Roman"/>
                <w:noProof/>
                <w:color w:val="006100"/>
                <w:sz w:val="20"/>
                <w:szCs w:val="20"/>
              </w:rPr>
              <w:t xml:space="preserve"> accessible mental health care - Investment 5: Establishment of specialised centres for autism spectrum disorders </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c>
          <w:tcPr>
            <w:tcW w:w="1050"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611"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created community-based mental health care centres</w:t>
            </w:r>
          </w:p>
        </w:tc>
        <w:tc>
          <w:tcPr>
            <w:tcW w:w="1649" w:type="dxa"/>
            <w:tcBorders>
              <w:top w:val="nil"/>
              <w:left w:val="nil"/>
              <w:bottom w:val="single" w:sz="4" w:space="0" w:color="auto"/>
              <w:right w:val="single" w:sz="4" w:space="0" w:color="auto"/>
            </w:tcBorders>
            <w:shd w:val="clear" w:color="auto" w:fill="C6EFCE"/>
            <w:hideMark/>
          </w:tcPr>
          <w:p w:rsidR="00BF6749" w:rsidRDefault="00BF6749">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0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56</w:t>
            </w:r>
          </w:p>
        </w:tc>
        <w:tc>
          <w:tcPr>
            <w:tcW w:w="916"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638"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Entry into use of 56 community-based health and </w:t>
            </w:r>
            <w:r>
              <w:rPr>
                <w:rFonts w:ascii="Times New Roman" w:eastAsia="Times New Roman" w:hAnsi="Times New Roman"/>
                <w:noProof/>
                <w:color w:val="006100"/>
                <w:sz w:val="20"/>
                <w:szCs w:val="20"/>
              </w:rPr>
              <w:t>social care centres: psycho-social centres, day-time stationary facilities and facilities for autistic type disorders.</w:t>
            </w:r>
          </w:p>
        </w:tc>
      </w:tr>
      <w:tr w:rsidR="00BF6749">
        <w:trPr>
          <w:trHeight w:val="2853"/>
        </w:trPr>
        <w:tc>
          <w:tcPr>
            <w:tcW w:w="689" w:type="dxa"/>
            <w:tcBorders>
              <w:top w:val="nil"/>
              <w:left w:val="single" w:sz="4" w:space="0" w:color="auto"/>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w:t>
            </w:r>
          </w:p>
        </w:tc>
        <w:tc>
          <w:tcPr>
            <w:tcW w:w="1605"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 accessible mental health care - Reform 3: Modernisation of diagnostic methods and treatments</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12 – Human, </w:t>
            </w:r>
            <w:r>
              <w:rPr>
                <w:rFonts w:ascii="Times New Roman" w:eastAsia="Times New Roman" w:hAnsi="Times New Roman"/>
                <w:noProof/>
                <w:color w:val="006100"/>
                <w:sz w:val="20"/>
                <w:szCs w:val="20"/>
              </w:rPr>
              <w:t>modern and accessible mental health care - Investment 6: Establishment of a repository of psychodiagnostic methods</w:t>
            </w:r>
          </w:p>
        </w:tc>
        <w:tc>
          <w:tcPr>
            <w:tcW w:w="1050"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611"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registered and standardised psychodiagnostic methods</w:t>
            </w:r>
          </w:p>
        </w:tc>
        <w:tc>
          <w:tcPr>
            <w:tcW w:w="1649" w:type="dxa"/>
            <w:tcBorders>
              <w:top w:val="nil"/>
              <w:left w:val="nil"/>
              <w:bottom w:val="nil"/>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w:t>
            </w:r>
          </w:p>
        </w:tc>
        <w:tc>
          <w:tcPr>
            <w:tcW w:w="218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05"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112</w:t>
            </w:r>
          </w:p>
        </w:tc>
        <w:tc>
          <w:tcPr>
            <w:tcW w:w="916"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638"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Establishing a digital register of phsychodiagno</w:t>
            </w:r>
            <w:r>
              <w:rPr>
                <w:rFonts w:ascii="Times New Roman" w:eastAsia="Times New Roman" w:hAnsi="Times New Roman"/>
                <w:noProof/>
                <w:color w:val="006100"/>
                <w:sz w:val="20"/>
                <w:szCs w:val="20"/>
              </w:rPr>
              <w:t xml:space="preserve">stic methods. </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Of the overall objective of 125 new and updated standardised methods, standardisation shall be provided for 112 methods, to be selected by an expert group. </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r>
      <w:tr w:rsidR="00BF6749">
        <w:trPr>
          <w:trHeight w:val="2381"/>
        </w:trPr>
        <w:tc>
          <w:tcPr>
            <w:tcW w:w="689" w:type="dxa"/>
            <w:tcBorders>
              <w:top w:val="nil"/>
              <w:left w:val="single" w:sz="4" w:space="0" w:color="auto"/>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w:t>
            </w:r>
          </w:p>
        </w:tc>
        <w:tc>
          <w:tcPr>
            <w:tcW w:w="1605"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12 – Human, modern and accessible mental health care - Reform 3: Modernisation </w:t>
            </w:r>
            <w:r>
              <w:rPr>
                <w:rFonts w:ascii="Times New Roman" w:eastAsia="Times New Roman" w:hAnsi="Times New Roman"/>
                <w:noProof/>
                <w:color w:val="006100"/>
                <w:sz w:val="20"/>
                <w:szCs w:val="20"/>
              </w:rPr>
              <w:t>of diagnostic methods and treatments</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 accessible mental health care - Investment 1: Project management and project preparation of investments</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 accessible mental health care - Investment 7: Humanisation of insti</w:t>
            </w:r>
            <w:r>
              <w:rPr>
                <w:rFonts w:ascii="Times New Roman" w:eastAsia="Times New Roman" w:hAnsi="Times New Roman"/>
                <w:noProof/>
                <w:color w:val="006100"/>
                <w:sz w:val="20"/>
                <w:szCs w:val="20"/>
              </w:rPr>
              <w:t>tutional psychiatric care</w:t>
            </w:r>
          </w:p>
        </w:tc>
        <w:tc>
          <w:tcPr>
            <w:tcW w:w="1050"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611"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Patient capacity in converted rooms in institutional psychiatric care.</w:t>
            </w:r>
          </w:p>
        </w:tc>
        <w:tc>
          <w:tcPr>
            <w:tcW w:w="1649" w:type="dxa"/>
            <w:tcBorders>
              <w:top w:val="single" w:sz="4" w:space="0" w:color="auto"/>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w:t>
            </w:r>
          </w:p>
        </w:tc>
        <w:tc>
          <w:tcPr>
            <w:tcW w:w="218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05"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244</w:t>
            </w:r>
          </w:p>
        </w:tc>
        <w:tc>
          <w:tcPr>
            <w:tcW w:w="916"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638"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Completed reconstruction of rooms in 2-bed rooms in institutional psychiatric care with sanitary facilities and replacement of en</w:t>
            </w:r>
            <w:r>
              <w:rPr>
                <w:rFonts w:ascii="Times New Roman" w:eastAsia="Times New Roman" w:hAnsi="Times New Roman"/>
                <w:noProof/>
                <w:color w:val="006100"/>
                <w:sz w:val="20"/>
                <w:szCs w:val="20"/>
              </w:rPr>
              <w:t>closure beds with isolation rooms.</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r>
      <w:tr w:rsidR="00BF6749">
        <w:trPr>
          <w:trHeight w:val="2569"/>
        </w:trPr>
        <w:tc>
          <w:tcPr>
            <w:tcW w:w="689" w:type="dxa"/>
            <w:tcBorders>
              <w:top w:val="nil"/>
              <w:left w:val="single" w:sz="4" w:space="0" w:color="auto"/>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6</w:t>
            </w:r>
          </w:p>
        </w:tc>
        <w:tc>
          <w:tcPr>
            <w:tcW w:w="1605"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 – Human, modern and accessible mental health care - Investment 8: Training in mental health for staff</w:t>
            </w:r>
          </w:p>
        </w:tc>
        <w:tc>
          <w:tcPr>
            <w:tcW w:w="1050"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611"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Number of health sector workers trained in mental health </w:t>
            </w:r>
          </w:p>
        </w:tc>
        <w:tc>
          <w:tcPr>
            <w:tcW w:w="1649" w:type="dxa"/>
            <w:tcBorders>
              <w:top w:val="nil"/>
              <w:left w:val="nil"/>
              <w:bottom w:val="single" w:sz="4" w:space="0" w:color="auto"/>
              <w:right w:val="single" w:sz="4" w:space="0" w:color="auto"/>
            </w:tcBorders>
            <w:shd w:val="clear" w:color="auto" w:fill="C6EFCE"/>
            <w:noWrap/>
            <w:hideMark/>
          </w:tcPr>
          <w:p w:rsidR="00BF6749" w:rsidRDefault="00BF6749">
            <w:pPr>
              <w:spacing w:after="0"/>
              <w:rPr>
                <w:rFonts w:ascii="Times New Roman" w:eastAsia="Times New Roman" w:hAnsi="Times New Roman"/>
                <w:noProof/>
                <w:color w:val="006100"/>
                <w:sz w:val="20"/>
                <w:szCs w:val="20"/>
              </w:rPr>
            </w:pPr>
          </w:p>
        </w:tc>
        <w:tc>
          <w:tcPr>
            <w:tcW w:w="218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905"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1007"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900</w:t>
            </w:r>
          </w:p>
        </w:tc>
        <w:tc>
          <w:tcPr>
            <w:tcW w:w="916"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638" w:type="dxa"/>
            <w:tcBorders>
              <w:top w:val="nil"/>
              <w:left w:val="nil"/>
              <w:bottom w:val="single" w:sz="4" w:space="0" w:color="auto"/>
              <w:right w:val="single" w:sz="4" w:space="0" w:color="auto"/>
            </w:tcBorders>
            <w:shd w:val="clear" w:color="auto" w:fill="C6EFCE"/>
            <w:noWrap/>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622" w:type="dxa"/>
            <w:tcBorders>
              <w:top w:val="nil"/>
              <w:left w:val="nil"/>
              <w:bottom w:val="single" w:sz="4" w:space="0" w:color="auto"/>
              <w:right w:val="single" w:sz="4" w:space="0" w:color="auto"/>
            </w:tcBorders>
            <w:shd w:val="clear" w:color="auto" w:fill="C6EFCE"/>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Of the overall objective of providing training in mental health to 1000 workers, short-term or long-term certified training in mental health shall be completed for 900 health workers. </w:t>
            </w:r>
          </w:p>
          <w:p w:rsidR="00BF6749" w:rsidRDefault="00BF6749">
            <w:pPr>
              <w:spacing w:after="0"/>
              <w:rPr>
                <w:rFonts w:ascii="Times New Roman" w:eastAsia="Times New Roman" w:hAnsi="Times New Roman"/>
                <w:noProof/>
                <w:color w:val="006100"/>
                <w:sz w:val="20"/>
                <w:szCs w:val="20"/>
              </w:rPr>
            </w:pPr>
          </w:p>
        </w:tc>
      </w:tr>
    </w:tbl>
    <w:p w:rsidR="00BF6749" w:rsidRDefault="00BF6749">
      <w:pPr>
        <w:spacing w:before="120" w:after="120" w:line="240" w:lineRule="auto"/>
        <w:jc w:val="both"/>
        <w:rPr>
          <w:rFonts w:ascii="Times New Roman" w:hAnsi="Times New Roman"/>
          <w:noProof/>
          <w:sz w:val="24"/>
          <w:lang w:val="en-US"/>
        </w:rPr>
        <w:sectPr w:rsidR="00BF6749">
          <w:headerReference w:type="even" r:id="rId156"/>
          <w:headerReference w:type="default" r:id="rId157"/>
          <w:footerReference w:type="even" r:id="rId158"/>
          <w:footerReference w:type="default" r:id="rId159"/>
          <w:headerReference w:type="first" r:id="rId160"/>
          <w:footerReference w:type="first" r:id="rId161"/>
          <w:pgSz w:w="16839" w:h="11907" w:orient="landscape"/>
          <w:pgMar w:top="567" w:right="1134" w:bottom="1134" w:left="1134" w:header="709" w:footer="709" w:gutter="0"/>
          <w:cols w:space="720"/>
          <w:docGrid w:linePitch="360"/>
        </w:sectPr>
      </w:pPr>
    </w:p>
    <w:p w:rsidR="00BF6749" w:rsidRDefault="00C87555">
      <w:pPr>
        <w:keepNext/>
        <w:tabs>
          <w:tab w:val="left" w:pos="1134"/>
        </w:tabs>
        <w:spacing w:before="120" w:after="120" w:line="240" w:lineRule="auto"/>
        <w:ind w:firstLine="142"/>
        <w:jc w:val="both"/>
        <w:outlineLvl w:val="0"/>
        <w:rPr>
          <w:rFonts w:ascii="Times New Roman" w:hAnsi="Times New Roman"/>
          <w:b/>
          <w:smallCaps/>
          <w:noProof/>
          <w:sz w:val="24"/>
          <w:szCs w:val="24"/>
        </w:rPr>
      </w:pPr>
      <w:r>
        <w:rPr>
          <w:rFonts w:ascii="Times New Roman" w:hAnsi="Times New Roman"/>
          <w:b/>
          <w:smallCaps/>
          <w:noProof/>
          <w:sz w:val="24"/>
          <w:szCs w:val="24"/>
        </w:rPr>
        <w:t>COMPONENT 13:</w:t>
      </w:r>
      <w:r>
        <w:rPr>
          <w:rFonts w:ascii="Times New Roman" w:hAnsi="Times New Roman"/>
          <w:b/>
          <w:smallCaps/>
          <w:noProof/>
          <w:sz w:val="24"/>
          <w:szCs w:val="24"/>
        </w:rPr>
        <w:t xml:space="preserve"> Accessible and high-quality long-term socio-health care</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Slovakia’s long-term care system is not ready for the expected rapid ageing of the population. The proportion of the population older than 65 years of age shall increase from the current 16% to over </w:t>
      </w:r>
      <w:r>
        <w:rPr>
          <w:rFonts w:ascii="Times New Roman" w:eastAsia="Times New Roman" w:hAnsi="Times New Roman"/>
          <w:noProof/>
          <w:sz w:val="24"/>
          <w:szCs w:val="24"/>
        </w:rPr>
        <w:t>24% by 2040. Access to quality and affordable long-term care is insufficient, due to general underfunding of community and home-based care services, fragmented governance, and the lack of systemic coordination of social and healthcare services. There is no</w:t>
      </w:r>
      <w:r>
        <w:rPr>
          <w:rFonts w:ascii="Times New Roman" w:eastAsia="Times New Roman" w:hAnsi="Times New Roman"/>
          <w:noProof/>
          <w:sz w:val="24"/>
          <w:szCs w:val="24"/>
        </w:rPr>
        <w:t xml:space="preserve"> comprehensive, adequate strategy encompassing both social and health care aspects. The assessment of long-term care needs for persons with disabilities is also incoherent. Supervision of social care is inefficient and particularly insufficient as regards </w:t>
      </w:r>
      <w:r>
        <w:rPr>
          <w:rFonts w:ascii="Times New Roman" w:eastAsia="Times New Roman" w:hAnsi="Times New Roman"/>
          <w:noProof/>
          <w:sz w:val="24"/>
          <w:szCs w:val="24"/>
        </w:rPr>
        <w:t>home-based care. Moreover, the financing system is fragmented and favours institutionalised care amid a lack of support for home-based and community-based services. For this reason, proper long-term and palliative care services are lacking, particularly in</w:t>
      </w:r>
      <w:r>
        <w:rPr>
          <w:rFonts w:ascii="Times New Roman" w:eastAsia="Times New Roman" w:hAnsi="Times New Roman"/>
          <w:noProof/>
          <w:sz w:val="24"/>
          <w:szCs w:val="24"/>
        </w:rPr>
        <w:t xml:space="preserve"> home-based and community-based care settings.</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component of the Slovak recovery and resilience plan shall prepare Slovakia for a rapidly ageing population by ensuring high-quality, accessible and comprehensive support for people in need of long-term a</w:t>
      </w:r>
      <w:r>
        <w:rPr>
          <w:rFonts w:ascii="Times New Roman" w:eastAsia="Times New Roman" w:hAnsi="Times New Roman"/>
          <w:noProof/>
          <w:sz w:val="24"/>
          <w:szCs w:val="24"/>
        </w:rPr>
        <w:t xml:space="preserve">nd palliative care. The provision of such care shall also increase the inclusion of persons with disabilities in society, as well as their level of social protection. The regulatory reforms aim at a more coherent and better coordinated care system linking </w:t>
      </w:r>
      <w:r>
        <w:rPr>
          <w:rFonts w:ascii="Times New Roman" w:eastAsia="Times New Roman" w:hAnsi="Times New Roman"/>
          <w:noProof/>
          <w:sz w:val="24"/>
          <w:szCs w:val="24"/>
        </w:rPr>
        <w:t>social and health care, an improved funding scheme centred around people’s needs and providing better incentives for community-based care, a more coherent assessment of care needs for persons with disabilities, and improved supervision of social care. Inve</w:t>
      </w:r>
      <w:r>
        <w:rPr>
          <w:rFonts w:ascii="Times New Roman" w:eastAsia="Times New Roman" w:hAnsi="Times New Roman"/>
          <w:noProof/>
          <w:sz w:val="24"/>
          <w:szCs w:val="24"/>
        </w:rPr>
        <w:t>stments shall result in additional long-term care, palliative care and after-care service capacities, in particular in the provision of home-based and community-based care.</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 is expected that no measure in this component does significant harm to environme</w:t>
      </w:r>
      <w:r>
        <w:rPr>
          <w:rFonts w:ascii="Times New Roman" w:eastAsia="Times New Roman" w:hAnsi="Times New Roman"/>
          <w:noProof/>
          <w:sz w:val="24"/>
          <w:szCs w:val="24"/>
        </w:rPr>
        <w:t>ntal objectives within the meaning of Article 17 of Regulation (EU) 2020/852, taking into account the description of the measures and the mitigating steps set out in the recovery and resilience plan in accordance with the DNSH Technical Guidance (2021/C58/</w:t>
      </w:r>
      <w:r>
        <w:rPr>
          <w:rFonts w:ascii="Times New Roman" w:eastAsia="Times New Roman" w:hAnsi="Times New Roman"/>
          <w:noProof/>
          <w:sz w:val="24"/>
          <w:szCs w:val="24"/>
        </w:rPr>
        <w:t xml:space="preserve">01).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component shall contribute to addressing Country Specific Recommendation no 2 from 2019, enhancing access to affordable and quality long-term care, and to addressing Country Specific Recommendation  no 1 from 2020, improving coordination between</w:t>
      </w:r>
      <w:r>
        <w:rPr>
          <w:rFonts w:ascii="Times New Roman" w:eastAsia="Times New Roman" w:hAnsi="Times New Roman"/>
          <w:noProof/>
          <w:sz w:val="24"/>
          <w:szCs w:val="24"/>
        </w:rPr>
        <w:t xml:space="preserve"> types of care. It shall also make a contribution to safeguarding the long-term sustainability of public finances, in particular of the health care system, as recommended in Country Specific Recommendation no 1 from 2019.</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rPr>
        <w:t xml:space="preserve"> </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Reform 1: Integration and financ</w:t>
      </w:r>
      <w:r>
        <w:rPr>
          <w:rFonts w:ascii="Times New Roman" w:eastAsia="Times New Roman" w:hAnsi="Times New Roman"/>
          <w:b/>
          <w:noProof/>
          <w:sz w:val="24"/>
        </w:rPr>
        <w:t>ing of long-term social and health care</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This reform aims at overhauling the structures of long-term social and health care to ensure better coordination between types of care and to make financing more effective. In particular, it shall establish a coheren</w:t>
      </w:r>
      <w:r>
        <w:rPr>
          <w:rFonts w:ascii="Times New Roman" w:eastAsia="Times New Roman" w:hAnsi="Times New Roman"/>
          <w:noProof/>
          <w:sz w:val="24"/>
          <w:szCs w:val="24"/>
        </w:rPr>
        <w:t>t framework comprising both social and health care. The main change to the funding system concerns the introduction of a personal budget for persons with care needs rather than the current fragmented financing of care providers. The reformed funding scheme</w:t>
      </w:r>
      <w:r>
        <w:rPr>
          <w:rFonts w:ascii="Times New Roman" w:eastAsia="Times New Roman" w:hAnsi="Times New Roman"/>
          <w:noProof/>
          <w:sz w:val="24"/>
          <w:szCs w:val="24"/>
        </w:rPr>
        <w:t xml:space="preserve"> shall also enhance efforts to de-institutionalise care by improving incentives for home-based and community-based care.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new law on long-term and palliative care shall enter into force by 31 March 2023, and new legislation on the financing of social s</w:t>
      </w:r>
      <w:r>
        <w:rPr>
          <w:rFonts w:ascii="Times New Roman" w:eastAsia="Times New Roman" w:hAnsi="Times New Roman"/>
          <w:noProof/>
          <w:sz w:val="24"/>
          <w:szCs w:val="24"/>
        </w:rPr>
        <w:t>ervices shall enter into force by 31 December 2025.</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Reform 2: Assessment of care needs</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assessment of long-term care needs for persons with disabilities is incoherent amid a fragmented system. While not the case for the provision of social services, the</w:t>
      </w:r>
      <w:r>
        <w:rPr>
          <w:rFonts w:ascii="Times New Roman" w:eastAsia="Times New Roman" w:hAnsi="Times New Roman"/>
          <w:noProof/>
          <w:sz w:val="24"/>
          <w:szCs w:val="24"/>
        </w:rPr>
        <w:t xml:space="preserve"> recognition of severe disabilities is a precondition for the granting of personal assistance and care allowance.</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reform shall improve and streamline the way persons with severe disabilities are recognised. It shall introduce a unified framework and a</w:t>
      </w:r>
      <w:r>
        <w:rPr>
          <w:rFonts w:ascii="Times New Roman" w:eastAsia="Times New Roman" w:hAnsi="Times New Roman"/>
          <w:noProof/>
          <w:sz w:val="24"/>
          <w:szCs w:val="24"/>
        </w:rPr>
        <w:t>ssessment system for personal assistance and care to persons with severe disabilities. The main assessment shall be carried out by labour, social and family offices and according to a uniform methodology based on the World Health Organisation Disability As</w:t>
      </w:r>
      <w:r>
        <w:rPr>
          <w:rFonts w:ascii="Times New Roman" w:eastAsia="Times New Roman" w:hAnsi="Times New Roman"/>
          <w:noProof/>
          <w:sz w:val="24"/>
          <w:szCs w:val="24"/>
        </w:rPr>
        <w:t>sessment Schedule 2.0, assessing a wide range of needs. To reduce administrative burden and as part of digitalisation efforts, assessors shall use the e-health system. Assessors across the 46 branch offices shall receive the equipment necessary to carry ou</w:t>
      </w:r>
      <w:r>
        <w:rPr>
          <w:rFonts w:ascii="Times New Roman" w:eastAsia="Times New Roman" w:hAnsi="Times New Roman"/>
          <w:noProof/>
          <w:sz w:val="24"/>
          <w:szCs w:val="24"/>
        </w:rPr>
        <w:t>t their work.</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of the reform shall be completed by 31 March 2024.</w:t>
      </w:r>
    </w:p>
    <w:p w:rsidR="00BF6749" w:rsidRDefault="00BF6749">
      <w:pPr>
        <w:spacing w:before="120" w:after="120" w:line="240" w:lineRule="auto"/>
        <w:jc w:val="both"/>
        <w:rPr>
          <w:rFonts w:ascii="Times New Roman" w:eastAsia="Times New Roman" w:hAnsi="Times New Roman"/>
          <w:noProof/>
          <w:sz w:val="24"/>
          <w:szCs w:val="24"/>
        </w:rPr>
      </w:pP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Reform 3: Consolidation of the supervision of social care and provision of necessary infrastructure</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
        </w:rPr>
        <w:t>The system of supervision of social care provision is fragmented and in</w:t>
      </w:r>
      <w:r>
        <w:rPr>
          <w:rFonts w:ascii="Times New Roman" w:eastAsia="Times New Roman" w:hAnsi="Times New Roman"/>
          <w:noProof/>
          <w:sz w:val="24"/>
          <w:szCs w:val="24"/>
          <w:lang w:val="en"/>
        </w:rPr>
        <w:t>efficient. Supervision and control are currently carried out by different authorities at national and regional level without a clear allocation of competences. Capacities for supervision are insufficient. Informal care and personal assistance, particularly</w:t>
      </w:r>
      <w:r>
        <w:rPr>
          <w:rFonts w:ascii="Times New Roman" w:eastAsia="Times New Roman" w:hAnsi="Times New Roman"/>
          <w:noProof/>
          <w:sz w:val="24"/>
          <w:szCs w:val="24"/>
          <w:lang w:val="en"/>
        </w:rPr>
        <w:t xml:space="preserve"> home-based care provided by family members, are not covered.</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reform shall consolidate the supervision of social care. A unified supervisory authority shall be established. It shall  oversee the provision of social services and their quality, the qual</w:t>
      </w:r>
      <w:r>
        <w:rPr>
          <w:rFonts w:ascii="Times New Roman" w:eastAsia="Times New Roman" w:hAnsi="Times New Roman"/>
          <w:noProof/>
          <w:sz w:val="24"/>
          <w:szCs w:val="24"/>
        </w:rPr>
        <w:t>ity and scope of assistance for persons receiving a personal budget for care needs, and the provision of healthcare in social services (together with the Healthcare Supervisory Authority). The quality of care shall be assessed according to a methodology de</w:t>
      </w:r>
      <w:r>
        <w:rPr>
          <w:rFonts w:ascii="Times New Roman" w:eastAsia="Times New Roman" w:hAnsi="Times New Roman"/>
          <w:noProof/>
          <w:sz w:val="24"/>
          <w:szCs w:val="24"/>
        </w:rPr>
        <w:t>veloped in line with the WHO’s Quality Rights Toolkit. The measure shall also provide the necessary infrastructure for the new system of supervision, composed of the headquarters and eight regional branches, including buildings, vehicles, and IT equipment.</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of the reform shall be completed by 31 March 2024.</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Investment 1: Enhancing community-based social care capacities</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
        </w:rPr>
        <w:t>In Slovakia, t</w:t>
      </w:r>
      <w:r>
        <w:rPr>
          <w:rFonts w:ascii="Times New Roman" w:eastAsia="Times New Roman" w:hAnsi="Times New Roman"/>
          <w:noProof/>
          <w:sz w:val="24"/>
          <w:szCs w:val="24"/>
        </w:rPr>
        <w:t xml:space="preserve">he provision of formal social services is skewed towards residential services of an institutional nature, </w:t>
      </w:r>
      <w:r>
        <w:rPr>
          <w:rFonts w:ascii="Times New Roman" w:eastAsia="Times New Roman" w:hAnsi="Times New Roman"/>
          <w:noProof/>
          <w:sz w:val="24"/>
          <w:szCs w:val="24"/>
        </w:rPr>
        <w:t>dominated by large-scale care facilities rather than smaller community-based facilities. Outpatient care services are lacking.</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reform 1 of component 13 </w:t>
      </w:r>
      <w:r>
        <w:rPr>
          <w:rFonts w:ascii="Times New Roman" w:eastAsia="Times New Roman" w:hAnsi="Times New Roman"/>
          <w:i/>
          <w:noProof/>
          <w:sz w:val="24"/>
          <w:szCs w:val="24"/>
        </w:rPr>
        <w:t>Integration and financing of long-term social and health care</w:t>
      </w:r>
      <w:r>
        <w:rPr>
          <w:rFonts w:ascii="Times New Roman" w:eastAsia="Times New Roman" w:hAnsi="Times New Roman"/>
          <w:i/>
          <w:noProof/>
          <w:sz w:val="24"/>
          <w:szCs w:val="24"/>
          <w:u w:val="single"/>
        </w:rPr>
        <w:t xml:space="preserve">, </w:t>
      </w:r>
      <w:r>
        <w:rPr>
          <w:rFonts w:ascii="Times New Roman" w:eastAsia="Times New Roman" w:hAnsi="Times New Roman"/>
          <w:noProof/>
          <w:sz w:val="24"/>
          <w:szCs w:val="24"/>
        </w:rPr>
        <w:t>this investment shall expand the</w:t>
      </w:r>
      <w:r>
        <w:rPr>
          <w:rFonts w:ascii="Times New Roman" w:eastAsia="Times New Roman" w:hAnsi="Times New Roman"/>
          <w:noProof/>
          <w:sz w:val="24"/>
          <w:szCs w:val="24"/>
        </w:rPr>
        <w:t xml:space="preserve"> capacity of community-based care and outpatient facilities, allowing patients to be transferred from large-scale facilities to smaller community-type facilities, providing additional capacity to new beneficiaries, and reducing the burden on informal carer</w:t>
      </w:r>
      <w:r>
        <w:rPr>
          <w:rFonts w:ascii="Times New Roman" w:eastAsia="Times New Roman" w:hAnsi="Times New Roman"/>
          <w:noProof/>
          <w:sz w:val="24"/>
          <w:szCs w:val="24"/>
        </w:rPr>
        <w:t>s. Specifically, by constructing new buildings and by renovating existing buildings, at least 1400 new places shall be created in community-based facilities and low-capacity health-social care facilities combined. Moreover, at least 2580 places shall be cr</w:t>
      </w:r>
      <w:r>
        <w:rPr>
          <w:rFonts w:ascii="Times New Roman" w:eastAsia="Times New Roman" w:hAnsi="Times New Roman"/>
          <w:noProof/>
          <w:sz w:val="24"/>
          <w:szCs w:val="24"/>
        </w:rPr>
        <w:t>eated in new, low-capacity outpatient facilities with an average capacity of 20 places by constructing new buildings or renovating existing buildings.</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In the case of building renovations, the minimum objective is to achieve an average primary energy saving</w:t>
      </w:r>
      <w:r>
        <w:rPr>
          <w:rFonts w:ascii="Times New Roman" w:eastAsia="Times New Roman" w:hAnsi="Times New Roman"/>
          <w:noProof/>
          <w:sz w:val="24"/>
          <w:szCs w:val="24"/>
        </w:rPr>
        <w:t xml:space="preserve"> of 30%.</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of the investment shall be completed by 30 June 2026.</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Investment 2: Extension and renewal of after-care and nursing capacities</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lang w:val="en"/>
        </w:rPr>
        <w:t xml:space="preserve">There is a lack of legislative clarity and capacity for after-care of patients after hospitalisation </w:t>
      </w:r>
      <w:r>
        <w:rPr>
          <w:rFonts w:ascii="Times New Roman" w:eastAsia="Times New Roman" w:hAnsi="Times New Roman"/>
          <w:noProof/>
          <w:sz w:val="24"/>
          <w:lang w:val="en"/>
        </w:rPr>
        <w:t>to ensure the best possible rehabilitation. This lack contributes to unnecessary and inefficient re- hospitalisation that are overburdening hospitals. Capacities for home-based nursing are also lacking.</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rPr>
        <w:t xml:space="preserve">This investment shall strengthens care capacities to </w:t>
      </w:r>
      <w:r>
        <w:rPr>
          <w:rFonts w:ascii="Times New Roman" w:eastAsia="Times New Roman" w:hAnsi="Times New Roman"/>
          <w:noProof/>
          <w:sz w:val="24"/>
        </w:rPr>
        <w:t>ensure good after-care for persons in need after they are released from the hospital, and to expand home-based nursing capacities. Specifically, at least 650 new after-care beds shall be created, utilising freed up capacities of chronic and acute care foll</w:t>
      </w:r>
      <w:r>
        <w:rPr>
          <w:rFonts w:ascii="Times New Roman" w:eastAsia="Times New Roman" w:hAnsi="Times New Roman"/>
          <w:noProof/>
          <w:sz w:val="24"/>
        </w:rPr>
        <w:t>owing the optimisation of the hospital network as outlined in component 11 of the Slovak recovery and resilience plan. In addition, at least 91 home nursing providers shall receive support. This comprises establishing at least 11 new home nursing providers</w:t>
      </w:r>
      <w:r>
        <w:rPr>
          <w:rFonts w:ascii="Times New Roman" w:eastAsia="Times New Roman" w:hAnsi="Times New Roman"/>
          <w:noProof/>
          <w:sz w:val="24"/>
        </w:rPr>
        <w:t xml:space="preserve"> and fully equipping at least 80 existing ones. </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szCs w:val="24"/>
        </w:rPr>
        <w:t xml:space="preserve">The implementation of the investment shall be completed </w:t>
      </w:r>
      <w:r>
        <w:rPr>
          <w:rFonts w:ascii="Times New Roman" w:eastAsia="Times New Roman" w:hAnsi="Times New Roman"/>
          <w:noProof/>
          <w:sz w:val="24"/>
        </w:rPr>
        <w:t>30 June 2026.</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 xml:space="preserve">Investment 3: Enhancing and restoring palliative care capacities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network of palliative services for patients with a terminal illness</w:t>
      </w:r>
      <w:r>
        <w:rPr>
          <w:rFonts w:ascii="Times New Roman" w:eastAsia="Times New Roman" w:hAnsi="Times New Roman"/>
          <w:noProof/>
          <w:sz w:val="24"/>
          <w:szCs w:val="24"/>
        </w:rPr>
        <w:t xml:space="preserve"> is insufficient and does not meet international recommendations. There is less than half of the number of recommended ambulant hospices available and their quality of care is compromised by their set-up, while being the preferred type of hospice service f</w:t>
      </w:r>
      <w:r>
        <w:rPr>
          <w:rFonts w:ascii="Times New Roman" w:eastAsia="Times New Roman" w:hAnsi="Times New Roman"/>
          <w:noProof/>
          <w:sz w:val="24"/>
          <w:szCs w:val="24"/>
        </w:rPr>
        <w:t xml:space="preserve">or the majority of patients. In addition, there are significant regional differences in the availability of services. Palliative care departments are established in only three of the eight  regions.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reform 1 of component 13 </w:t>
      </w:r>
      <w:r>
        <w:rPr>
          <w:rFonts w:ascii="Times New Roman" w:eastAsia="Times New Roman" w:hAnsi="Times New Roman"/>
          <w:i/>
          <w:noProof/>
          <w:sz w:val="24"/>
          <w:szCs w:val="24"/>
        </w:rPr>
        <w:t>Integration and financ</w:t>
      </w:r>
      <w:r>
        <w:rPr>
          <w:rFonts w:ascii="Times New Roman" w:eastAsia="Times New Roman" w:hAnsi="Times New Roman"/>
          <w:i/>
          <w:noProof/>
          <w:sz w:val="24"/>
          <w:szCs w:val="24"/>
        </w:rPr>
        <w:t>ing of long-term social and health care</w:t>
      </w:r>
      <w:r>
        <w:rPr>
          <w:rFonts w:ascii="Times New Roman" w:eastAsia="Times New Roman" w:hAnsi="Times New Roman"/>
          <w:noProof/>
          <w:sz w:val="24"/>
          <w:szCs w:val="24"/>
        </w:rPr>
        <w:t>, this investment shall expand and improve capacities for palliative care, amid a lack of such services, in line with the strategy of de-institutionalisation, privileging home-based and community-based care. The inves</w:t>
      </w:r>
      <w:r>
        <w:rPr>
          <w:rFonts w:ascii="Times New Roman" w:eastAsia="Times New Roman" w:hAnsi="Times New Roman"/>
          <w:noProof/>
          <w:sz w:val="24"/>
          <w:szCs w:val="24"/>
        </w:rPr>
        <w:t>tment shall comprise:</w:t>
      </w:r>
    </w:p>
    <w:p w:rsidR="00BF6749" w:rsidRDefault="00C87555">
      <w:pPr>
        <w:numPr>
          <w:ilvl w:val="0"/>
          <w:numId w:val="40"/>
        </w:numPr>
        <w:spacing w:before="120" w:after="120" w:line="240" w:lineRule="auto"/>
        <w:ind w:left="0"/>
        <w:jc w:val="both"/>
        <w:rPr>
          <w:rFonts w:ascii="Times New Roman" w:eastAsia="Times New Roman" w:hAnsi="Times New Roman"/>
          <w:noProof/>
          <w:sz w:val="24"/>
          <w:lang w:val="en-US"/>
        </w:rPr>
      </w:pPr>
      <w:r>
        <w:rPr>
          <w:rFonts w:ascii="Times New Roman" w:hAnsi="Times New Roman"/>
          <w:noProof/>
          <w:sz w:val="24"/>
        </w:rPr>
        <w:t>Creating at least 270 new palliative care beds in low-capacity hospices</w:t>
      </w:r>
      <w:r>
        <w:rPr>
          <w:rFonts w:ascii="Times New Roman" w:eastAsia="Times New Roman" w:hAnsi="Times New Roman"/>
          <w:noProof/>
          <w:sz w:val="24"/>
        </w:rPr>
        <w:t xml:space="preserve">, </w:t>
      </w:r>
      <w:r>
        <w:rPr>
          <w:rFonts w:ascii="Times New Roman" w:hAnsi="Times New Roman"/>
          <w:noProof/>
          <w:sz w:val="24"/>
        </w:rPr>
        <w:t xml:space="preserve">with an average capacity of 20 </w:t>
      </w:r>
      <w:r>
        <w:rPr>
          <w:rFonts w:ascii="Times New Roman" w:eastAsia="Times New Roman" w:hAnsi="Times New Roman"/>
          <w:noProof/>
          <w:sz w:val="24"/>
        </w:rPr>
        <w:t>beds for each hospice, in underserved areas by constructing new hospices and renovating existing ones.</w:t>
      </w:r>
      <w:r>
        <w:rPr>
          <w:rFonts w:ascii="Times New Roman" w:hAnsi="Times New Roman"/>
          <w:noProof/>
          <w:sz w:val="24"/>
        </w:rPr>
        <w:t xml:space="preserve"> Palliative departments and care beds in hospitals shall be created by reconstructing existing beds freed up by the reorganisation of the hospital network.</w:t>
      </w:r>
    </w:p>
    <w:p w:rsidR="00BF6749" w:rsidRDefault="00C87555">
      <w:pPr>
        <w:numPr>
          <w:ilvl w:val="0"/>
          <w:numId w:val="40"/>
        </w:numPr>
        <w:spacing w:before="120" w:after="120" w:line="240" w:lineRule="auto"/>
        <w:ind w:left="0"/>
        <w:jc w:val="both"/>
        <w:rPr>
          <w:rFonts w:ascii="Times New Roman" w:eastAsia="Times New Roman" w:hAnsi="Times New Roman"/>
          <w:noProof/>
          <w:sz w:val="24"/>
          <w:lang w:val="en-US"/>
        </w:rPr>
      </w:pPr>
      <w:r>
        <w:rPr>
          <w:rFonts w:ascii="Times New Roman" w:hAnsi="Times New Roman"/>
          <w:noProof/>
          <w:sz w:val="24"/>
        </w:rPr>
        <w:t xml:space="preserve">Extending and renewing ambulant palliative care by setting up at least 20 new ambulant hospices and </w:t>
      </w:r>
      <w:r>
        <w:rPr>
          <w:rFonts w:ascii="Times New Roman" w:hAnsi="Times New Roman"/>
          <w:noProof/>
          <w:sz w:val="24"/>
        </w:rPr>
        <w:t>by renewing at least 6 existing ones. This comprises providing necessary physical and technical equipment. By basing newly established ambulant palliative care in hospices or palliative departments, the quality of their care shall improve.</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In the case of b</w:t>
      </w:r>
      <w:r>
        <w:rPr>
          <w:rFonts w:ascii="Times New Roman" w:eastAsia="Times New Roman" w:hAnsi="Times New Roman"/>
          <w:noProof/>
          <w:sz w:val="24"/>
          <w:szCs w:val="24"/>
        </w:rPr>
        <w:t>uilding renovations, the minimum objective is to achieve an average primary energy saving of 30%.</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of the investment shall be completed by 30 September 2025.</w:t>
      </w:r>
    </w:p>
    <w:p w:rsidR="00BF6749" w:rsidRDefault="00BF6749">
      <w:pPr>
        <w:spacing w:before="120" w:after="120" w:line="240" w:lineRule="auto"/>
        <w:jc w:val="both"/>
        <w:rPr>
          <w:rFonts w:ascii="Times New Roman" w:eastAsia="Times New Roman" w:hAnsi="Times New Roman"/>
          <w:noProof/>
          <w:sz w:val="24"/>
          <w:szCs w:val="24"/>
        </w:rPr>
      </w:pPr>
    </w:p>
    <w:p w:rsidR="00BF6749" w:rsidRDefault="00BF6749">
      <w:pPr>
        <w:spacing w:before="120" w:after="120" w:line="240" w:lineRule="auto"/>
        <w:jc w:val="both"/>
        <w:rPr>
          <w:rFonts w:ascii="Times New Roman" w:eastAsia="Times New Roman" w:hAnsi="Times New Roman"/>
          <w:noProof/>
          <w:sz w:val="24"/>
        </w:rPr>
        <w:sectPr w:rsidR="00BF6749">
          <w:headerReference w:type="even" r:id="rId162"/>
          <w:headerReference w:type="default" r:id="rId163"/>
          <w:footerReference w:type="even" r:id="rId164"/>
          <w:footerReference w:type="default" r:id="rId165"/>
          <w:headerReference w:type="first" r:id="rId166"/>
          <w:footerReference w:type="first" r:id="rId167"/>
          <w:pgSz w:w="11907" w:h="16839"/>
          <w:pgMar w:top="1134" w:right="1418" w:bottom="1134" w:left="1418" w:header="709" w:footer="709" w:gutter="0"/>
          <w:cols w:space="720"/>
          <w:docGrid w:linePitch="360"/>
        </w:sectPr>
      </w:pPr>
    </w:p>
    <w:p w:rsidR="00BF6749" w:rsidRDefault="00BF6749">
      <w:pPr>
        <w:spacing w:before="120" w:after="120" w:line="240" w:lineRule="auto"/>
        <w:jc w:val="both"/>
        <w:rPr>
          <w:rFonts w:ascii="Times New Roman" w:hAnsi="Times New Roman"/>
          <w:noProof/>
          <w:sz w:val="24"/>
          <w:szCs w:val="24"/>
        </w:rPr>
      </w:pP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Milestones, </w:t>
      </w:r>
      <w:r>
        <w:rPr>
          <w:rFonts w:ascii="Times New Roman" w:hAnsi="Times New Roman"/>
          <w:b/>
          <w:noProof/>
          <w:sz w:val="24"/>
          <w:u w:val="single"/>
        </w:rPr>
        <w:t>targets, indicators, and timetable for monitoring and implementation for non-repayable financial support</w:t>
      </w:r>
    </w:p>
    <w:p w:rsidR="00BF6749" w:rsidRDefault="00BF6749">
      <w:pPr>
        <w:spacing w:before="120" w:after="120" w:line="240" w:lineRule="auto"/>
        <w:ind w:left="850"/>
        <w:jc w:val="both"/>
        <w:rPr>
          <w:rFonts w:ascii="Times New Roman" w:hAnsi="Times New Roman"/>
          <w:b/>
          <w:bCs/>
          <w:noProof/>
          <w:sz w:val="24"/>
          <w:szCs w:val="24"/>
        </w:rPr>
      </w:pPr>
    </w:p>
    <w:tbl>
      <w:tblPr>
        <w:tblW w:w="14893" w:type="dxa"/>
        <w:tblLayout w:type="fixed"/>
        <w:tblLook w:val="04A0" w:firstRow="1" w:lastRow="0" w:firstColumn="1" w:lastColumn="0" w:noHBand="0" w:noVBand="1"/>
      </w:tblPr>
      <w:tblGrid>
        <w:gridCol w:w="817"/>
        <w:gridCol w:w="1701"/>
        <w:gridCol w:w="1134"/>
        <w:gridCol w:w="827"/>
        <w:gridCol w:w="268"/>
        <w:gridCol w:w="1173"/>
        <w:gridCol w:w="1418"/>
        <w:gridCol w:w="1275"/>
        <w:gridCol w:w="1417"/>
        <w:gridCol w:w="993"/>
        <w:gridCol w:w="851"/>
        <w:gridCol w:w="3019"/>
      </w:tblGrid>
      <w:tr w:rsidR="00BF6749">
        <w:trPr>
          <w:trHeight w:val="870"/>
        </w:trPr>
        <w:tc>
          <w:tcPr>
            <w:tcW w:w="81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 xml:space="preserve"> </w:t>
            </w:r>
          </w:p>
        </w:tc>
        <w:tc>
          <w:tcPr>
            <w:tcW w:w="1701"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Related measure (Reform or Investment)</w:t>
            </w:r>
          </w:p>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 xml:space="preserve"> </w:t>
            </w:r>
          </w:p>
        </w:tc>
        <w:tc>
          <w:tcPr>
            <w:tcW w:w="1134"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 xml:space="preserve"> </w:t>
            </w:r>
          </w:p>
        </w:tc>
        <w:tc>
          <w:tcPr>
            <w:tcW w:w="82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 xml:space="preserve"> </w:t>
            </w:r>
          </w:p>
        </w:tc>
        <w:tc>
          <w:tcPr>
            <w:tcW w:w="1441" w:type="dxa"/>
            <w:gridSpan w:val="2"/>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 xml:space="preserve"> </w:t>
            </w:r>
          </w:p>
        </w:tc>
        <w:tc>
          <w:tcPr>
            <w:tcW w:w="411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1844"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019"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Description and clear definition of each milestone and target</w:t>
            </w:r>
          </w:p>
          <w:p w:rsidR="00BF6749" w:rsidRDefault="00C87555">
            <w:pPr>
              <w:rPr>
                <w:rFonts w:ascii="Times New Roman" w:hAnsi="Times New Roman"/>
                <w:noProof/>
                <w:sz w:val="20"/>
                <w:szCs w:val="20"/>
              </w:rPr>
            </w:pPr>
            <w:r>
              <w:rPr>
                <w:rFonts w:ascii="Times New Roman" w:eastAsia="Arial Narrow" w:hAnsi="Times New Roman"/>
                <w:noProof/>
                <w:sz w:val="20"/>
                <w:szCs w:val="20"/>
              </w:rPr>
              <w:t xml:space="preserve"> </w:t>
            </w:r>
          </w:p>
        </w:tc>
      </w:tr>
      <w:tr w:rsidR="00BF6749">
        <w:trPr>
          <w:trHeight w:val="240"/>
        </w:trPr>
        <w:tc>
          <w:tcPr>
            <w:tcW w:w="81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701"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134"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82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441" w:type="dxa"/>
            <w:gridSpan w:val="2"/>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418"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Measurement unit</w:t>
            </w:r>
          </w:p>
        </w:tc>
        <w:tc>
          <w:tcPr>
            <w:tcW w:w="1275"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Background</w:t>
            </w:r>
          </w:p>
        </w:tc>
        <w:tc>
          <w:tcPr>
            <w:tcW w:w="1417"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Target</w:t>
            </w:r>
          </w:p>
        </w:tc>
        <w:tc>
          <w:tcPr>
            <w:tcW w:w="993"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Quarter</w:t>
            </w:r>
          </w:p>
        </w:tc>
        <w:tc>
          <w:tcPr>
            <w:tcW w:w="851" w:type="dxa"/>
            <w:tcBorders>
              <w:top w:val="nil"/>
              <w:left w:val="nil"/>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Arial Narrow" w:hAnsi="Times New Roman"/>
                <w:b/>
                <w:bCs/>
                <w:noProof/>
                <w:sz w:val="20"/>
                <w:szCs w:val="20"/>
              </w:rPr>
              <w:t>Year</w:t>
            </w:r>
          </w:p>
        </w:tc>
        <w:tc>
          <w:tcPr>
            <w:tcW w:w="3019" w:type="dxa"/>
            <w:vMerge/>
            <w:tcBorders>
              <w:left w:val="nil"/>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13 – accessible and high-quality long-term socio-health care - Reform 1: Available and quality long-term socio-health care – Reform of integration and financing of long-term social and health care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New legislative framework for long-term h</w:t>
            </w:r>
            <w:r>
              <w:rPr>
                <w:rFonts w:ascii="Times New Roman" w:hAnsi="Times New Roman"/>
                <w:noProof/>
                <w:color w:val="006100"/>
                <w:sz w:val="20"/>
                <w:szCs w:val="20"/>
              </w:rPr>
              <w:t>ealth and palliative care</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a new law on long-term and palliative care and of the regulation of financing of palliative and nursing care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2023</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first phase of the implementation of the reform consists of regulating the reimburs</w:t>
            </w:r>
            <w:r>
              <w:rPr>
                <w:rFonts w:ascii="Times New Roman" w:hAnsi="Times New Roman"/>
                <w:noProof/>
                <w:color w:val="006100"/>
                <w:sz w:val="20"/>
                <w:szCs w:val="20"/>
              </w:rPr>
              <w:t>ement by health insurance companies of nursing care in social services facilities, the arrangements for the contract of nursing care by insurance companies and the adjustment of reimbursements by health insurance companies for palliative and outpatient and</w:t>
            </w:r>
            <w:r>
              <w:rPr>
                <w:rFonts w:ascii="Times New Roman" w:hAnsi="Times New Roman"/>
                <w:noProof/>
                <w:color w:val="006100"/>
                <w:sz w:val="20"/>
                <w:szCs w:val="20"/>
              </w:rPr>
              <w:t xml:space="preserve"> inpatient care. The adoption of this legislative amendment is foreseen by Q1 2022.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next phase of implementation consists of the development and approval of new legislation. A new health law shall define the scope of long-term health and palliative </w:t>
            </w:r>
            <w:r>
              <w:rPr>
                <w:rFonts w:ascii="Times New Roman" w:hAnsi="Times New Roman"/>
                <w:noProof/>
                <w:color w:val="006100"/>
                <w:sz w:val="20"/>
                <w:szCs w:val="20"/>
              </w:rPr>
              <w:t xml:space="preserve">care and define follow-up care and its linkage with other types of care. This law shall be adopted by Q1 2023. The legislative amendments shall regulate the areas currently defined by Act No 576/2004 on health care and services related to the provision of </w:t>
            </w:r>
            <w:r>
              <w:rPr>
                <w:rFonts w:ascii="Times New Roman" w:hAnsi="Times New Roman"/>
                <w:noProof/>
                <w:color w:val="006100"/>
                <w:sz w:val="20"/>
                <w:szCs w:val="20"/>
              </w:rPr>
              <w:t>healthcare</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13 – accessible and high-quality long-term socio-health care – Reform 1:Available and quality long-term socio-health care – Reform of integration and financing of long-term social and health care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Publication of the concept of </w:t>
            </w:r>
            <w:r>
              <w:rPr>
                <w:rFonts w:ascii="Times New Roman" w:hAnsi="Times New Roman"/>
                <w:noProof/>
                <w:color w:val="006100"/>
                <w:sz w:val="20"/>
                <w:szCs w:val="20"/>
              </w:rPr>
              <w:t>financing social services for public debate</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Published concept on the financing of social services</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2023</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As a result of the first phase of the preparation of the reform of the financing of social services, a new concept for the financing of social </w:t>
            </w:r>
            <w:r>
              <w:rPr>
                <w:rFonts w:ascii="Times New Roman" w:hAnsi="Times New Roman"/>
                <w:noProof/>
                <w:color w:val="006100"/>
                <w:sz w:val="20"/>
                <w:szCs w:val="20"/>
              </w:rPr>
              <w:t>services shall be proposed by the government for stakeholder consultation.</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3</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high-quality long-term socio-health care - Reform 1: Available and quality long-term socio-health care – Reform of integration and financing of long-term </w:t>
            </w:r>
            <w:r>
              <w:rPr>
                <w:rFonts w:ascii="Times New Roman" w:hAnsi="Times New Roman"/>
                <w:noProof/>
                <w:color w:val="006100"/>
                <w:sz w:val="20"/>
                <w:szCs w:val="20"/>
              </w:rPr>
              <w:t>social and health care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new financing system of social services – introduction of a personal budget</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act on the financing of social services</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legislation on social services which shall in</w:t>
            </w:r>
            <w:r>
              <w:rPr>
                <w:rFonts w:ascii="Times New Roman" w:hAnsi="Times New Roman"/>
                <w:noProof/>
                <w:color w:val="006100"/>
                <w:sz w:val="20"/>
                <w:szCs w:val="20"/>
              </w:rPr>
              <w:t>troduce a new financing system based on a personal budget for the deprived person. The reform shall abolish a large number of different contributions and create space for targeted and comprehensive support for people in need of long-term care. The reform o</w:t>
            </w:r>
            <w:r>
              <w:rPr>
                <w:rFonts w:ascii="Times New Roman" w:hAnsi="Times New Roman"/>
                <w:noProof/>
                <w:color w:val="006100"/>
                <w:sz w:val="20"/>
                <w:szCs w:val="20"/>
              </w:rPr>
              <w:t>f funding shall support the emergence and development of services in the community.  The legislative amendments shall regulate the areas currently defined in particular by Act No 448/2008 on social services and Act No 447/2008 Coll. on cash allowances to c</w:t>
            </w:r>
            <w:r>
              <w:rPr>
                <w:rFonts w:ascii="Times New Roman" w:hAnsi="Times New Roman"/>
                <w:noProof/>
                <w:color w:val="006100"/>
                <w:sz w:val="20"/>
                <w:szCs w:val="20"/>
              </w:rPr>
              <w:t>ompensate for severe disability.</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4</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13 – accessible and high-quality long-term socio-health care - Reform 2: Available and high-quality long-term socio-health care – Assessment of care needs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Unification of the assessment system</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Entry into force </w:t>
            </w:r>
            <w:r>
              <w:rPr>
                <w:rFonts w:ascii="Times New Roman" w:hAnsi="Times New Roman"/>
                <w:noProof/>
                <w:color w:val="006100"/>
                <w:sz w:val="20"/>
                <w:szCs w:val="20"/>
              </w:rPr>
              <w:t>of the act on social services and amending Act 447/2008 on compensation of severely disabled persons</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Entry into force of legislation on social services which shall bring together the assessment work carried out so far by various bodies and, at the same time, amend Act No 447/2008 on compensation of severely disabled persons.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reform of the assessment </w:t>
            </w:r>
            <w:r>
              <w:rPr>
                <w:rFonts w:ascii="Times New Roman" w:hAnsi="Times New Roman"/>
                <w:noProof/>
                <w:color w:val="006100"/>
                <w:sz w:val="20"/>
                <w:szCs w:val="20"/>
              </w:rPr>
              <w:t>work shall remove inefficiencies and red tape for medical assessors and assessors. New uniform criteria for sub-dependency shall be defined to make the assessment more transparent. The assessment work shall be digitised – medical assessors will use the e-h</w:t>
            </w:r>
            <w:r>
              <w:rPr>
                <w:rFonts w:ascii="Times New Roman" w:hAnsi="Times New Roman"/>
                <w:noProof/>
                <w:color w:val="006100"/>
                <w:sz w:val="20"/>
                <w:szCs w:val="20"/>
              </w:rPr>
              <w:t xml:space="preserve">ealth system. To ensure efficient implementation of the reform, the financial resources under this reform shall be used to provide computer and office equipment for 200 assessment staff and a vehicle for each of the 46 branches.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5</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w:t>
            </w:r>
            <w:r>
              <w:rPr>
                <w:rFonts w:ascii="Times New Roman" w:hAnsi="Times New Roman"/>
                <w:noProof/>
                <w:color w:val="006100"/>
                <w:sz w:val="20"/>
                <w:szCs w:val="20"/>
              </w:rPr>
              <w:t>high-quality long-term socio-health care - Reform 3:  Reforming the supervision of social care and providing infrastructure for its implementation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Reform of the supervision of social care</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act on the supervision of social c</w:t>
            </w:r>
            <w:r>
              <w:rPr>
                <w:rFonts w:ascii="Times New Roman" w:hAnsi="Times New Roman"/>
                <w:noProof/>
                <w:color w:val="006100"/>
                <w:sz w:val="20"/>
                <w:szCs w:val="20"/>
              </w:rPr>
              <w:t>are</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2022</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a law in the area of social care supervision which shall unify the powers of supervision and;</w:t>
            </w:r>
            <w:r>
              <w:rPr>
                <w:rFonts w:ascii="Times New Roman" w:hAnsi="Times New Roman"/>
                <w:noProof/>
                <w:sz w:val="20"/>
                <w:szCs w:val="20"/>
              </w:rPr>
              <w:t xml:space="preserve">  </w:t>
            </w:r>
            <w:r>
              <w:rPr>
                <w:rFonts w:ascii="Times New Roman" w:hAnsi="Times New Roman"/>
                <w:noProof/>
                <w:color w:val="006100"/>
                <w:sz w:val="20"/>
                <w:szCs w:val="20"/>
              </w:rPr>
              <w:t xml:space="preserve"> —Create the legislative basis for the functioning of the new social welfare supervisory/inspection;</w:t>
            </w:r>
            <w:r>
              <w:rPr>
                <w:rFonts w:ascii="Times New Roman" w:hAnsi="Times New Roman"/>
                <w:noProof/>
                <w:sz w:val="20"/>
                <w:szCs w:val="20"/>
              </w:rPr>
              <w:t xml:space="preserve">  </w:t>
            </w:r>
            <w:r>
              <w:rPr>
                <w:rFonts w:ascii="Times New Roman" w:hAnsi="Times New Roman"/>
                <w:noProof/>
                <w:color w:val="006100"/>
                <w:sz w:val="20"/>
                <w:szCs w:val="20"/>
              </w:rPr>
              <w:t xml:space="preserve"> — Define new conditions for quality of care in social services and households;</w:t>
            </w:r>
            <w:r>
              <w:rPr>
                <w:rFonts w:ascii="Times New Roman" w:hAnsi="Times New Roman"/>
                <w:noProof/>
                <w:sz w:val="20"/>
                <w:szCs w:val="20"/>
              </w:rPr>
              <w:t xml:space="preserve">  </w:t>
            </w:r>
            <w:r>
              <w:rPr>
                <w:rFonts w:ascii="Times New Roman" w:hAnsi="Times New Roman"/>
                <w:noProof/>
                <w:color w:val="006100"/>
                <w:sz w:val="20"/>
                <w:szCs w:val="20"/>
              </w:rPr>
              <w:t xml:space="preserve"> — Extend the area of supervision to include the supervision of informal home care. </w:t>
            </w:r>
          </w:p>
        </w:tc>
      </w:tr>
      <w:tr w:rsidR="00BF6749">
        <w:trPr>
          <w:trHeight w:val="16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6</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13 – accessible and high-quality long-term socio-health care - Reform 3:  Reforming the</w:t>
            </w:r>
            <w:r>
              <w:rPr>
                <w:rFonts w:ascii="Times New Roman" w:hAnsi="Times New Roman"/>
                <w:noProof/>
                <w:color w:val="006100"/>
                <w:sz w:val="20"/>
                <w:szCs w:val="20"/>
              </w:rPr>
              <w:t xml:space="preserve"> supervision of social care and providing infrastructure for its implementation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Establishment of a unified supervisory system with headquarter and 8 branches </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9</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Completion of the necessary infrastructure for the functioning of the</w:t>
            </w:r>
            <w:r>
              <w:rPr>
                <w:rFonts w:ascii="Times New Roman" w:hAnsi="Times New Roman"/>
                <w:noProof/>
                <w:color w:val="006100"/>
                <w:sz w:val="20"/>
                <w:szCs w:val="20"/>
              </w:rPr>
              <w:t xml:space="preserve"> supervisory body – headquarter and 8 regional branches. Costs include buildings, cars, computer equipment and other prerequisites.</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7</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high-quality long-term socio-health care – Investment 1: Enhancement of community-based social care capacities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Enhancement of the capacities of community-based residential services and health-social low-capacity facilities (indi</w:t>
            </w:r>
            <w:r>
              <w:rPr>
                <w:rFonts w:ascii="Times New Roman" w:hAnsi="Times New Roman"/>
                <w:noProof/>
                <w:color w:val="006100"/>
                <w:sz w:val="20"/>
                <w:szCs w:val="20"/>
              </w:rPr>
              <w:t>cator: minimum number of places created)</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210</w:t>
            </w:r>
          </w:p>
        </w:tc>
        <w:tc>
          <w:tcPr>
            <w:tcW w:w="993" w:type="dxa"/>
            <w:tcBorders>
              <w:top w:val="nil"/>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At least 210 new places shall be created in community-based facilities and low-capacity health-social care facilities combined, by constructing new buildings and by renovating existing </w:t>
            </w:r>
            <w:r>
              <w:rPr>
                <w:rFonts w:ascii="Times New Roman" w:hAnsi="Times New Roman"/>
                <w:noProof/>
                <w:color w:val="006100"/>
                <w:sz w:val="20"/>
                <w:szCs w:val="20"/>
              </w:rPr>
              <w:t>buildings.</w:t>
            </w:r>
            <w:r>
              <w:rPr>
                <w:rFonts w:ascii="Times New Roman" w:eastAsia="Times New Roman" w:hAnsi="Times New Roman"/>
                <w:noProof/>
                <w:sz w:val="20"/>
                <w:szCs w:val="20"/>
              </w:rPr>
              <w:t xml:space="preserve"> </w:t>
            </w:r>
            <w:r>
              <w:rPr>
                <w:rFonts w:ascii="Times New Roman" w:hAnsi="Times New Roman"/>
                <w:noProof/>
                <w:color w:val="006100"/>
                <w:sz w:val="20"/>
                <w:szCs w:val="20"/>
              </w:rPr>
              <w:t xml:space="preserve"> Community-based facilities mainly refer to family housing facilities with a capacity of up to 12 places each. Health-social care facilities shall have a capacity of up to 30 places each.</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facilities will be built/reconstructed in accordance </w:t>
            </w:r>
            <w:r>
              <w:rPr>
                <w:rFonts w:ascii="Times New Roman" w:hAnsi="Times New Roman"/>
                <w:noProof/>
                <w:color w:val="006100"/>
                <w:sz w:val="20"/>
                <w:szCs w:val="20"/>
              </w:rPr>
              <w:t xml:space="preserve">with the principles of universal design and will be low-capacity, thus fulfilling the conditions of the UN Convention on the Rights of Persons with Disabilities.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8</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high-quality long-term socio-health care – Investment 1: Enhancement of community-based social care capacities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Enhancement of the capacities of community-based residential services and health-social low-capacity facilities </w:t>
            </w:r>
            <w:r>
              <w:rPr>
                <w:rFonts w:ascii="Times New Roman" w:hAnsi="Times New Roman"/>
                <w:noProof/>
                <w:color w:val="006100"/>
                <w:sz w:val="20"/>
                <w:szCs w:val="20"/>
              </w:rPr>
              <w:t>(indicator: minimum number of places created)</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1400</w:t>
            </w:r>
          </w:p>
        </w:tc>
        <w:tc>
          <w:tcPr>
            <w:tcW w:w="993" w:type="dxa"/>
            <w:tcBorders>
              <w:top w:val="nil"/>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Of the overall objective to create 1480 places in community-based facilities (of which 1000 places) and low-capacity health-social care facilities (of which 480 places) combined, at </w:t>
            </w:r>
            <w:r>
              <w:rPr>
                <w:rFonts w:ascii="Times New Roman" w:hAnsi="Times New Roman"/>
                <w:noProof/>
                <w:color w:val="006100"/>
                <w:sz w:val="20"/>
                <w:szCs w:val="20"/>
              </w:rPr>
              <w:t>least 1400 new places shall be created, by constructing new buildings and by renovating existing buildings.</w:t>
            </w:r>
            <w:r>
              <w:rPr>
                <w:rFonts w:ascii="Times New Roman" w:eastAsia="Times New Roman" w:hAnsi="Times New Roman"/>
                <w:noProof/>
                <w:sz w:val="20"/>
                <w:szCs w:val="20"/>
              </w:rPr>
              <w:t xml:space="preserve"> </w:t>
            </w:r>
            <w:r>
              <w:rPr>
                <w:rFonts w:ascii="Times New Roman" w:hAnsi="Times New Roman"/>
                <w:noProof/>
                <w:color w:val="006100"/>
                <w:sz w:val="20"/>
                <w:szCs w:val="20"/>
              </w:rPr>
              <w:t xml:space="preserve"> Community-based facilities mainly refer to family housing facilities with a capacity of up to 12 places each. Health-social care facilities shall h</w:t>
            </w:r>
            <w:r>
              <w:rPr>
                <w:rFonts w:ascii="Times New Roman" w:hAnsi="Times New Roman"/>
                <w:noProof/>
                <w:color w:val="006100"/>
                <w:sz w:val="20"/>
                <w:szCs w:val="20"/>
              </w:rPr>
              <w:t>ave a capacity of up to 30 places each.</w:t>
            </w:r>
          </w:p>
          <w:p w:rsidR="00BF6749" w:rsidRDefault="00C87555">
            <w:pPr>
              <w:rPr>
                <w:rFonts w:ascii="Times New Roman" w:hAnsi="Times New Roman"/>
                <w:noProof/>
                <w:sz w:val="20"/>
                <w:szCs w:val="20"/>
              </w:rPr>
            </w:pPr>
            <w:r>
              <w:rPr>
                <w:rFonts w:ascii="Times New Roman" w:hAnsi="Times New Roman"/>
                <w:noProof/>
                <w:color w:val="006100"/>
                <w:sz w:val="20"/>
                <w:szCs w:val="20"/>
              </w:rPr>
              <w:t>The facilities will be built/reconstructed in accordance with the principles of universal design and will be low-capacity, thus fulfilling the conditions of the UN Convention on the Rights of Persons with Disabilitie</w:t>
            </w:r>
            <w:r>
              <w:rPr>
                <w:rFonts w:ascii="Times New Roman" w:hAnsi="Times New Roman"/>
                <w:noProof/>
                <w:color w:val="006100"/>
                <w:sz w:val="20"/>
                <w:szCs w:val="20"/>
              </w:rPr>
              <w:t xml:space="preserve">s.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9</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high-quality long-term socio-health care – Investment 1: Enhancement of community-based social care capacities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Expansion of outpatient service capacities (indicator: minimum number of places created)</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387</w:t>
            </w:r>
          </w:p>
        </w:tc>
        <w:tc>
          <w:tcPr>
            <w:tcW w:w="993" w:type="dxa"/>
            <w:tcBorders>
              <w:top w:val="nil"/>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2024</w:t>
            </w:r>
          </w:p>
        </w:tc>
        <w:tc>
          <w:tcPr>
            <w:tcW w:w="301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387 places for outpatient services in new outpatient facilities (e.g. daily stationary, rehabilitation centre) shall be created with an average capacity of 20 places through the construction of new buildings or the renovation of existing buildings. Th</w:t>
            </w:r>
            <w:r>
              <w:rPr>
                <w:rFonts w:ascii="Times New Roman" w:hAnsi="Times New Roman"/>
                <w:noProof/>
                <w:color w:val="006100"/>
                <w:sz w:val="20"/>
                <w:szCs w:val="20"/>
              </w:rPr>
              <w:t>ese facilities shall partly serve as respite care for informal carers. The facilities shall be built/reconstructed in accordance with the principles of universal design and shall be low-capacity, thus fulfilling the terms of the UN Convention on the Rights</w:t>
            </w:r>
            <w:r>
              <w:rPr>
                <w:rFonts w:ascii="Times New Roman" w:hAnsi="Times New Roman"/>
                <w:noProof/>
                <w:color w:val="006100"/>
                <w:sz w:val="20"/>
                <w:szCs w:val="20"/>
              </w:rPr>
              <w:t xml:space="preserve"> of Persons with Disabilities.</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10</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high-quality long-term socio-health care – Investment 1: Enhancement of community-based social care capacities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Expansion of outpatient service capacities (indicator: minimum number of places </w:t>
            </w:r>
            <w:r>
              <w:rPr>
                <w:rFonts w:ascii="Times New Roman" w:hAnsi="Times New Roman"/>
                <w:noProof/>
                <w:color w:val="006100"/>
                <w:sz w:val="20"/>
                <w:szCs w:val="20"/>
              </w:rPr>
              <w:t>created)</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2580</w:t>
            </w:r>
          </w:p>
        </w:tc>
        <w:tc>
          <w:tcPr>
            <w:tcW w:w="993" w:type="dxa"/>
            <w:tcBorders>
              <w:top w:val="nil"/>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nil"/>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Of the overall objective to create 2585 places for outpatient services in new outpatient facilities (e.g. daily stationary, rehabilitation centre) with an average capacity of 20 places, at least 2580 places shall be created through the construction of new </w:t>
            </w:r>
            <w:r>
              <w:rPr>
                <w:rFonts w:ascii="Times New Roman" w:hAnsi="Times New Roman"/>
                <w:noProof/>
                <w:color w:val="006100"/>
                <w:sz w:val="20"/>
                <w:szCs w:val="20"/>
              </w:rPr>
              <w:t>buildings or the renovation of existing buildings. These facilities shall partly serve as respite care for informal carers. The facilities shall be built/reconstructed in accordance with the principles of universal design and shall be low-capacity, thus fu</w:t>
            </w:r>
            <w:r>
              <w:rPr>
                <w:rFonts w:ascii="Times New Roman" w:hAnsi="Times New Roman"/>
                <w:noProof/>
                <w:color w:val="006100"/>
                <w:sz w:val="20"/>
                <w:szCs w:val="20"/>
              </w:rPr>
              <w:t xml:space="preserve">lfilling the terms of the UN Convention on the Rights of Persons with Disabilities.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11</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13 – accessible and high-quality long-term socio-health care – Investment 2: Extension and restoration of after-care and nursing capacities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Extension and </w:t>
            </w:r>
            <w:r>
              <w:rPr>
                <w:rFonts w:ascii="Times New Roman" w:hAnsi="Times New Roman"/>
                <w:noProof/>
                <w:color w:val="006100"/>
                <w:sz w:val="20"/>
                <w:szCs w:val="20"/>
              </w:rPr>
              <w:t>renewal of home nursing providers (indicator: number of providers supported)</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91</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Investment in the physical and technical equipment of 91 new and existing home nursing agencies. It will support the establishment of at least 11 new ones </w:t>
            </w:r>
            <w:r>
              <w:rPr>
                <w:rFonts w:ascii="Times New Roman" w:hAnsi="Times New Roman"/>
                <w:noProof/>
                <w:color w:val="006100"/>
                <w:sz w:val="20"/>
                <w:szCs w:val="20"/>
              </w:rPr>
              <w:t>and the re-equipment of at least 80 existing home nursing agencies.</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12</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13 – accessible and high-quality long-term socio-health care – Investment 2: Extension and restoration of after-care and nursing capacities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Creation of post-care beds by </w:t>
            </w:r>
            <w:r>
              <w:rPr>
                <w:rFonts w:ascii="Times New Roman" w:hAnsi="Times New Roman"/>
                <w:noProof/>
                <w:color w:val="006100"/>
                <w:sz w:val="20"/>
                <w:szCs w:val="20"/>
              </w:rPr>
              <w:t>reconstructing existing acute and chronic beds (indicator: minimum number of aftercare beds reconstructed)</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650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2026</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At least 650 after-care beds shall be created by utilizing freed up capacities of chronic and acute care following the optimisation of the hospital network. After-care beds will serve to treat patients after hospitalisation in acute beds.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13</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high-quality long-term socio-health care – Investment 3: Extension and restoration of palliative care capacities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Expansion and renewal of residential palliative care capacities (indicator: number of bed places created and restor</w:t>
            </w:r>
            <w:r>
              <w:rPr>
                <w:rFonts w:ascii="Times New Roman" w:hAnsi="Times New Roman"/>
                <w:noProof/>
                <w:color w:val="006100"/>
                <w:sz w:val="20"/>
                <w:szCs w:val="20"/>
              </w:rPr>
              <w:t>ed)</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270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Q3</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This investment comprises the creation of at least 270 beds by construction of new hospices (20 beds on average) and reconstruction of existing hospices. Hospices will be used for long-term palliative care for patients whose cond</w:t>
            </w:r>
            <w:r>
              <w:rPr>
                <w:rFonts w:ascii="Times New Roman" w:hAnsi="Times New Roman"/>
                <w:noProof/>
                <w:color w:val="006100"/>
                <w:sz w:val="20"/>
                <w:szCs w:val="20"/>
              </w:rPr>
              <w:t>ition or family situation does not allow for palliative treatment at home.  The beds of palliative compartments shall be created by reconstructing existing beds. Some of them result from the reprofiling of the long-term sick compartments, part of which res</w:t>
            </w:r>
            <w:r>
              <w:rPr>
                <w:rFonts w:ascii="Times New Roman" w:hAnsi="Times New Roman"/>
                <w:noProof/>
                <w:color w:val="006100"/>
                <w:sz w:val="20"/>
                <w:szCs w:val="20"/>
              </w:rPr>
              <w:t xml:space="preserve">ults from acute beds released by network optimisation.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14</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13 – accessible and high-quality long-term socio-health care – Investment 3: Extension and restoration of palliative care capacities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95" w:type="dxa"/>
            <w:gridSpan w:val="2"/>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Extension and renewal of the mobile hospices network </w:t>
            </w:r>
            <w:r>
              <w:rPr>
                <w:rFonts w:ascii="Times New Roman" w:hAnsi="Times New Roman"/>
                <w:noProof/>
                <w:color w:val="006100"/>
                <w:sz w:val="20"/>
                <w:szCs w:val="20"/>
              </w:rPr>
              <w:t>(indicator: number of new and rebuilt providers)</w:t>
            </w:r>
          </w:p>
        </w:tc>
        <w:tc>
          <w:tcPr>
            <w:tcW w:w="117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0</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2025</w:t>
            </w:r>
          </w:p>
        </w:tc>
        <w:tc>
          <w:tcPr>
            <w:tcW w:w="3019"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As part of this investment in the physical and technical equipment of new and existing mobile hospices, at least 20 new mobile hospices and at least 6 existing ones will be supported.</w:t>
            </w:r>
          </w:p>
        </w:tc>
      </w:tr>
    </w:tbl>
    <w:p w:rsidR="00BF6749" w:rsidRDefault="00BF6749">
      <w:pPr>
        <w:spacing w:before="120" w:after="120" w:line="240" w:lineRule="auto"/>
        <w:jc w:val="both"/>
        <w:rPr>
          <w:rFonts w:ascii="Times New Roman" w:hAnsi="Times New Roman"/>
          <w:b/>
          <w:bCs/>
          <w:noProof/>
          <w:sz w:val="24"/>
          <w:szCs w:val="24"/>
        </w:rPr>
        <w:sectPr w:rsidR="00BF6749">
          <w:headerReference w:type="even" r:id="rId168"/>
          <w:headerReference w:type="default" r:id="rId169"/>
          <w:footerReference w:type="even" r:id="rId170"/>
          <w:footerReference w:type="default" r:id="rId171"/>
          <w:headerReference w:type="first" r:id="rId172"/>
          <w:footerReference w:type="first" r:id="rId173"/>
          <w:pgSz w:w="16839" w:h="11907" w:orient="landscape"/>
          <w:pgMar w:top="568" w:right="1134" w:bottom="1418" w:left="1134" w:header="709" w:footer="709" w:gutter="0"/>
          <w:cols w:space="720"/>
          <w:docGrid w:linePitch="360"/>
        </w:sectPr>
      </w:pPr>
    </w:p>
    <w:p w:rsidR="00BF6749" w:rsidRDefault="00C87555">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 14: Improve the business environment</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Slovakia’s business environment has slowly been losing ground. Frequent changes to the legislative environment and high regulatory burden entail costs for businesses, costly and lengthy insolvency procedures hinder resource reallocation, and an opaque publ</w:t>
      </w:r>
      <w:r>
        <w:rPr>
          <w:rFonts w:ascii="Times New Roman" w:eastAsia="Times New Roman" w:hAnsi="Times New Roman"/>
          <w:noProof/>
          <w:sz w:val="24"/>
          <w:szCs w:val="24"/>
        </w:rPr>
        <w:t xml:space="preserve">ic procurement framework slows down investment and leads to sub-optimal procurement.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component of the Slovak recovery and resilience plan aims at making various improvements to the business environment. The measures aim at reducing administrative bur</w:t>
      </w:r>
      <w:r>
        <w:rPr>
          <w:rFonts w:ascii="Times New Roman" w:eastAsia="Times New Roman" w:hAnsi="Times New Roman"/>
          <w:noProof/>
          <w:sz w:val="24"/>
          <w:szCs w:val="24"/>
        </w:rPr>
        <w:t xml:space="preserve">den to businesses, upgrading and digitalising the insolvency framework, and improving public procurement procedures.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 is expected that no measure in this component does significant harm to environmental objectives within the meaning of Article 17 of Reg</w:t>
      </w:r>
      <w:r>
        <w:rPr>
          <w:rFonts w:ascii="Times New Roman" w:eastAsia="Times New Roman" w:hAnsi="Times New Roman"/>
          <w:noProof/>
          <w:sz w:val="24"/>
          <w:szCs w:val="24"/>
        </w:rPr>
        <w:t xml:space="preserve">ulation (EU) 2020/852, taking into account the description of the measures and the mitigating steps set out in the recovery and resilience plan in accordance with the DNSH Technical Guidance (2021/C58/01).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component thereby contributes to addressing </w:t>
      </w:r>
      <w:r>
        <w:rPr>
          <w:rFonts w:ascii="Times New Roman" w:eastAsia="Times New Roman" w:hAnsi="Times New Roman"/>
          <w:noProof/>
          <w:sz w:val="24"/>
          <w:szCs w:val="24"/>
        </w:rPr>
        <w:t>Country Specific Recommendation 4 of 2020 to ensure a favourable business environment as well as to Country Specific Recommendation 3 of 2019 by addressing public procurement challenges.</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 Reform 1: Reducing regulatory burden for businesses</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heavy administ</w:t>
      </w:r>
      <w:r>
        <w:rPr>
          <w:rFonts w:ascii="Times New Roman" w:eastAsia="Times New Roman" w:hAnsi="Times New Roman"/>
          <w:noProof/>
          <w:sz w:val="24"/>
          <w:szCs w:val="24"/>
        </w:rPr>
        <w:t>rative and regulatory burden negatively affects investment and innovation, especially for small and medium-sized enterprises. Despite government efforts, administrative burden is not being reduced enough and the Slovak business environment is slowly losing</w:t>
      </w:r>
      <w:r>
        <w:rPr>
          <w:rFonts w:ascii="Times New Roman" w:eastAsia="Times New Roman" w:hAnsi="Times New Roman"/>
          <w:noProof/>
          <w:sz w:val="24"/>
          <w:szCs w:val="24"/>
        </w:rPr>
        <w:t xml:space="preserve"> ground in international comparisons.</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reform shall reduce the administrative burden to businesses by introducing the following tools: the ex ante evaluation of planned transposition legislation to prevent unjustified gold plating; the ex post evaluati</w:t>
      </w:r>
      <w:r>
        <w:rPr>
          <w:rFonts w:ascii="Times New Roman" w:eastAsia="Times New Roman" w:hAnsi="Times New Roman"/>
          <w:noProof/>
          <w:sz w:val="24"/>
          <w:szCs w:val="24"/>
        </w:rPr>
        <w:t>on of the effectiveness and justification of already introduced regulation; the 1-in-2-out rule that ensures new legislation does not increase administrative cost for businesses; and packages of individual measures based on stakeholder consultations that a</w:t>
      </w:r>
      <w:r>
        <w:rPr>
          <w:rFonts w:ascii="Times New Roman" w:eastAsia="Times New Roman" w:hAnsi="Times New Roman"/>
          <w:noProof/>
          <w:sz w:val="24"/>
          <w:szCs w:val="24"/>
        </w:rPr>
        <w:t xml:space="preserve">re suited to simplify administrative requirements to businesses.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implementation of the reform shall be completed  by 31 December 2024.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b/>
          <w:noProof/>
          <w:sz w:val="24"/>
          <w:szCs w:val="24"/>
        </w:rPr>
        <w:t xml:space="preserve">Reform 2: Harmonising and digitalising insolvency procedures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Slovakia’s insolvency proceedings are lengthy and cos</w:t>
      </w:r>
      <w:r>
        <w:rPr>
          <w:rFonts w:ascii="Times New Roman" w:eastAsia="Times New Roman" w:hAnsi="Times New Roman"/>
          <w:noProof/>
          <w:sz w:val="24"/>
          <w:szCs w:val="24"/>
        </w:rPr>
        <w:t>tly. Proper early warning mechanisms are lacking, there are no specialised courts for dealing with insolvency procedures, and the lack of a fully digitalised workflow slows down processes.</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This reform shall establish unified and digitalised insolvency and </w:t>
      </w:r>
      <w:r>
        <w:rPr>
          <w:rFonts w:ascii="Times New Roman" w:eastAsia="Times New Roman" w:hAnsi="Times New Roman"/>
          <w:noProof/>
          <w:sz w:val="24"/>
          <w:szCs w:val="24"/>
        </w:rPr>
        <w:t xml:space="preserve">restructuring procedures that improve their transparency, time and cost. It shall put in place an improved and harmonised insolvency framework, including early warning tools and insolvency specialisation in business courts. </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legislation concerning earl</w:t>
      </w:r>
      <w:r>
        <w:rPr>
          <w:rFonts w:ascii="Times New Roman" w:eastAsia="Times New Roman" w:hAnsi="Times New Roman"/>
          <w:noProof/>
          <w:sz w:val="24"/>
          <w:szCs w:val="24"/>
        </w:rPr>
        <w:t xml:space="preserve">y warning mechanisms shall enter into force by 31 January 2022. The respective legislative amendments of Act No 7/2005 on bankruptcy and restructuring, Act No 328/1991 on bankruptcy and composition, Act No 7/2005 on bankruptcy and restructuring and Act No </w:t>
      </w:r>
      <w:r>
        <w:rPr>
          <w:rFonts w:ascii="Times New Roman" w:eastAsia="Times New Roman" w:hAnsi="Times New Roman"/>
          <w:noProof/>
          <w:sz w:val="24"/>
          <w:szCs w:val="24"/>
        </w:rPr>
        <w:t xml:space="preserve">8/2005 on trustees, Act No 757/2004 on courts and Act No 371/2004 on the seats and districts of the courts of the Slovak Republic shall enter into force by 31 March 2023.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implementation of the reform shall be completed by 31 March 2023.</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 xml:space="preserve"> Reform 3: Pub</w:t>
      </w:r>
      <w:r>
        <w:rPr>
          <w:rFonts w:ascii="Times New Roman" w:eastAsia="Times New Roman" w:hAnsi="Times New Roman"/>
          <w:b/>
          <w:noProof/>
          <w:sz w:val="24"/>
        </w:rPr>
        <w:t>lic procurement procedures</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complexity and length of the public procurement verification procedures remains a blocking factor for potential beneficiaries. In addition, there is scope to increase the use of quality related and lifecycle cost criteria. At</w:t>
      </w:r>
      <w:r>
        <w:rPr>
          <w:rFonts w:ascii="Times New Roman" w:eastAsia="Times New Roman" w:hAnsi="Times New Roman"/>
          <w:noProof/>
          <w:sz w:val="24"/>
          <w:szCs w:val="24"/>
        </w:rPr>
        <w:t xml:space="preserve"> the same time, proper safeguards need to be ensured. In the context of distrust towards public institutions, public buyers need to make more effort to regain confidence from businesses, media and the public at large. Benefits of professionalization effort</w:t>
      </w:r>
      <w:r>
        <w:rPr>
          <w:rFonts w:ascii="Times New Roman" w:eastAsia="Times New Roman" w:hAnsi="Times New Roman"/>
          <w:noProof/>
          <w:sz w:val="24"/>
          <w:szCs w:val="24"/>
        </w:rPr>
        <w:t>s so far are only emerging slowly.</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reform of public procurement shall simplify and accelerate procedures while ensuring proper safeguards. It also aims at improving control by digitalising and automating award and evaluation of contracts, and price col</w:t>
      </w:r>
      <w:r>
        <w:rPr>
          <w:rFonts w:ascii="Times New Roman" w:eastAsia="Times New Roman" w:hAnsi="Times New Roman"/>
          <w:noProof/>
          <w:sz w:val="24"/>
          <w:szCs w:val="24"/>
        </w:rPr>
        <w:t>lection and analysis. The legislative reform shall regulate both above-limit and below-limit public procedures as well as those with low value. Public procurement procedures shall be simplified and shortened, control procedures improved, and transparency i</w:t>
      </w:r>
      <w:r>
        <w:rPr>
          <w:rFonts w:ascii="Times New Roman" w:eastAsia="Times New Roman" w:hAnsi="Times New Roman"/>
          <w:noProof/>
          <w:sz w:val="24"/>
          <w:szCs w:val="24"/>
        </w:rPr>
        <w:t>ncreased in particular by setting up a single, public electronic platform for the entire procurement process, including for below-threshold and low-value contracts. All changes, particularly as proper safeguards such as transparency requirements, review pr</w:t>
      </w:r>
      <w:r>
        <w:rPr>
          <w:rFonts w:ascii="Times New Roman" w:eastAsia="Times New Roman" w:hAnsi="Times New Roman"/>
          <w:noProof/>
          <w:sz w:val="24"/>
          <w:szCs w:val="24"/>
        </w:rPr>
        <w:t>ocedures and the separation of tasks and competences are concerned, shall fully comply with EU law. In order to improve the use of quality criteria, rules for green public procurement are expected to be strengthened. It is expected that a further strengthe</w:t>
      </w:r>
      <w:r>
        <w:rPr>
          <w:rFonts w:ascii="Times New Roman" w:eastAsia="Times New Roman" w:hAnsi="Times New Roman"/>
          <w:noProof/>
          <w:sz w:val="24"/>
          <w:szCs w:val="24"/>
        </w:rPr>
        <w:t>ning of the use of quality criteria shall be achieved through non-regulatory means. The measure shall enhance further professionalisation of public procurement by building capacities of the Public Procurement Office. Specifically, the provision of training</w:t>
      </w:r>
      <w:r>
        <w:rPr>
          <w:rFonts w:ascii="Times New Roman" w:eastAsia="Times New Roman" w:hAnsi="Times New Roman"/>
          <w:noProof/>
          <w:sz w:val="24"/>
          <w:szCs w:val="24"/>
        </w:rPr>
        <w:t>s in various formats to improve the application of –reformed- public procurement procedures shall take place.</w:t>
      </w:r>
    </w:p>
    <w:p w:rsidR="00BF6749" w:rsidRDefault="00C87555">
      <w:pPr>
        <w:spacing w:before="120"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reform of the Public Procurement Act shall enter into force by 31 March 2022. The single electronic platform shall be operational by 30 June </w:t>
      </w:r>
      <w:r>
        <w:rPr>
          <w:rFonts w:ascii="Times New Roman" w:eastAsia="Times New Roman" w:hAnsi="Times New Roman"/>
          <w:noProof/>
          <w:sz w:val="24"/>
          <w:szCs w:val="24"/>
        </w:rPr>
        <w:t>2023.</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 xml:space="preserve">Investment 1: Capacities for reforms to reduce regulatory burden </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rPr>
        <w:t>The swift implementation of reforms to reduce administrative burden requires temporary capacities, in particular lawyers and analysts, in the responsible public bodies.</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This investment therefore envisages temporary project teams to design and carry out reform 1. It shall comprise legal experts and analysts. The ex ante and ex post evaluations and the application of the 1-in-2-out rule shall be carried out. Online reportin</w:t>
      </w:r>
      <w:r>
        <w:rPr>
          <w:rFonts w:ascii="Times New Roman" w:eastAsia="Times New Roman" w:hAnsi="Times New Roman"/>
          <w:noProof/>
          <w:sz w:val="24"/>
          <w:szCs w:val="24"/>
        </w:rPr>
        <w:t xml:space="preserve">g of the compliance check of the 1-in-2-out principle (virtual account) shall confirm that the rule is put into practice. </w:t>
      </w:r>
    </w:p>
    <w:p w:rsidR="00BF6749" w:rsidRDefault="00C87555">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of the investment shall be completed by 30 June 2025.</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b/>
          <w:noProof/>
          <w:sz w:val="24"/>
        </w:rPr>
        <w:t>Investment 2: Digitalisation of insolvency processes</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rPr>
        <w:t>The lac</w:t>
      </w:r>
      <w:r>
        <w:rPr>
          <w:rFonts w:ascii="Times New Roman" w:eastAsia="Times New Roman" w:hAnsi="Times New Roman"/>
          <w:noProof/>
          <w:sz w:val="24"/>
        </w:rPr>
        <w:t>k of a comprehensive digital system is one of the key reasons for the backlog of insolvency proceedings. The current insolvency register works essentially as a publishing platform, but does not allow for digital case handling across actors involved. This c</w:t>
      </w:r>
      <w:r>
        <w:rPr>
          <w:rFonts w:ascii="Times New Roman" w:eastAsia="Times New Roman" w:hAnsi="Times New Roman"/>
          <w:noProof/>
          <w:sz w:val="24"/>
        </w:rPr>
        <w:t>ontributes to lengthy procedures with negative implications for the business environment and for efficient resource reallocation.</w:t>
      </w:r>
    </w:p>
    <w:p w:rsidR="00BF6749" w:rsidRDefault="00C87555">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 investment shall fully digitalise insolvency procedures in order to shorten them and reduce the cost for entrepreneurs. Th</w:t>
      </w:r>
      <w:r>
        <w:rPr>
          <w:rFonts w:ascii="Times New Roman" w:eastAsia="Times New Roman" w:hAnsi="Times New Roman"/>
          <w:noProof/>
          <w:sz w:val="24"/>
          <w:szCs w:val="24"/>
        </w:rPr>
        <w:t>is shall comprise digitalising liquidation, bankruptcy, restructuring and debt discharge, including pre-insolvency proceedings. Various actors shall be connected to it, such as courts, creditors, and the public.</w:t>
      </w:r>
    </w:p>
    <w:p w:rsidR="00BF6749" w:rsidRDefault="00C87555">
      <w:pPr>
        <w:spacing w:before="120" w:after="120" w:line="240" w:lineRule="auto"/>
        <w:jc w:val="both"/>
        <w:rPr>
          <w:rFonts w:ascii="Times New Roman" w:hAnsi="Times New Roman"/>
          <w:noProof/>
          <w:sz w:val="24"/>
        </w:rPr>
      </w:pPr>
      <w:r>
        <w:rPr>
          <w:rFonts w:ascii="Times New Roman" w:eastAsia="Times New Roman" w:hAnsi="Times New Roman"/>
          <w:noProof/>
          <w:sz w:val="24"/>
          <w:szCs w:val="24"/>
        </w:rPr>
        <w:t>The implementation of the investment shall b</w:t>
      </w:r>
      <w:r>
        <w:rPr>
          <w:rFonts w:ascii="Times New Roman" w:eastAsia="Times New Roman" w:hAnsi="Times New Roman"/>
          <w:noProof/>
          <w:sz w:val="24"/>
          <w:szCs w:val="24"/>
        </w:rPr>
        <w:t xml:space="preserve">e completed </w:t>
      </w:r>
      <w:r>
        <w:rPr>
          <w:rFonts w:ascii="Times New Roman" w:eastAsia="Times New Roman" w:hAnsi="Times New Roman"/>
          <w:noProof/>
          <w:sz w:val="24"/>
        </w:rPr>
        <w:t>by 30 June 2024.</w:t>
      </w:r>
      <w:r>
        <w:rPr>
          <w:rFonts w:ascii="Times New Roman" w:eastAsia="Times New Roman" w:hAnsi="Times New Roman"/>
          <w:b/>
          <w:noProof/>
          <w:sz w:val="24"/>
        </w:rPr>
        <w:t xml:space="preserve"> </w:t>
      </w:r>
    </w:p>
    <w:p w:rsidR="00BF6749" w:rsidRDefault="00BF6749">
      <w:pPr>
        <w:spacing w:before="120" w:after="120" w:line="240" w:lineRule="auto"/>
        <w:jc w:val="both"/>
        <w:rPr>
          <w:rFonts w:ascii="Times New Roman" w:hAnsi="Times New Roman"/>
          <w:noProof/>
          <w:sz w:val="24"/>
          <w:szCs w:val="24"/>
        </w:rPr>
        <w:sectPr w:rsidR="00BF6749">
          <w:headerReference w:type="even" r:id="rId174"/>
          <w:headerReference w:type="default" r:id="rId175"/>
          <w:footerReference w:type="even" r:id="rId176"/>
          <w:footerReference w:type="default" r:id="rId177"/>
          <w:headerReference w:type="first" r:id="rId178"/>
          <w:footerReference w:type="first" r:id="rId179"/>
          <w:pgSz w:w="11907" w:h="16839"/>
          <w:pgMar w:top="1134" w:right="1418" w:bottom="1134" w:left="1418" w:header="709" w:footer="709" w:gutter="0"/>
          <w:cols w:space="720"/>
          <w:docGrid w:linePitch="360"/>
        </w:sectPr>
      </w:pPr>
    </w:p>
    <w:p w:rsidR="00BF6749" w:rsidRDefault="00BF6749">
      <w:pPr>
        <w:spacing w:before="120" w:after="120" w:line="240" w:lineRule="auto"/>
        <w:jc w:val="both"/>
        <w:rPr>
          <w:rFonts w:ascii="Times New Roman" w:hAnsi="Times New Roman"/>
          <w:noProof/>
          <w:sz w:val="24"/>
          <w:szCs w:val="24"/>
        </w:rPr>
      </w:pP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Milestones, targets, indicators, and timetable for monitoring and implementation for non-repayable financial support</w:t>
      </w:r>
    </w:p>
    <w:p w:rsidR="00BF6749" w:rsidRDefault="00BF6749">
      <w:pPr>
        <w:spacing w:before="120" w:after="120" w:line="240" w:lineRule="auto"/>
        <w:ind w:left="850"/>
        <w:jc w:val="both"/>
        <w:rPr>
          <w:rFonts w:ascii="Times New Roman" w:hAnsi="Times New Roman"/>
          <w:b/>
          <w:bCs/>
          <w:noProof/>
          <w:sz w:val="24"/>
          <w:szCs w:val="24"/>
          <w:u w:val="single"/>
        </w:rPr>
      </w:pPr>
    </w:p>
    <w:tbl>
      <w:tblPr>
        <w:tblW w:w="0" w:type="auto"/>
        <w:tblLayout w:type="fixed"/>
        <w:tblLook w:val="04A0" w:firstRow="1" w:lastRow="0" w:firstColumn="1" w:lastColumn="0" w:noHBand="0" w:noVBand="1"/>
      </w:tblPr>
      <w:tblGrid>
        <w:gridCol w:w="675"/>
        <w:gridCol w:w="993"/>
        <w:gridCol w:w="1134"/>
        <w:gridCol w:w="2090"/>
        <w:gridCol w:w="1035"/>
        <w:gridCol w:w="1127"/>
        <w:gridCol w:w="1134"/>
        <w:gridCol w:w="709"/>
        <w:gridCol w:w="992"/>
        <w:gridCol w:w="709"/>
        <w:gridCol w:w="3968"/>
      </w:tblGrid>
      <w:tr w:rsidR="00BF6749">
        <w:trPr>
          <w:trHeight w:val="720"/>
        </w:trPr>
        <w:tc>
          <w:tcPr>
            <w:tcW w:w="675" w:type="dxa"/>
            <w:tcBorders>
              <w:top w:val="single" w:sz="8" w:space="0" w:color="auto"/>
              <w:left w:val="single" w:sz="8" w:space="0" w:color="auto"/>
              <w:bottom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tc>
        <w:tc>
          <w:tcPr>
            <w:tcW w:w="993"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Related measure (Reform or </w:t>
            </w:r>
            <w:r>
              <w:rPr>
                <w:rFonts w:ascii="Times New Roman" w:eastAsia="Times New Roman" w:hAnsi="Times New Roman"/>
                <w:b/>
                <w:bCs/>
                <w:noProof/>
                <w:sz w:val="20"/>
                <w:szCs w:val="20"/>
              </w:rPr>
              <w:t>Investment)</w:t>
            </w:r>
          </w:p>
        </w:tc>
        <w:tc>
          <w:tcPr>
            <w:tcW w:w="1134"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tc>
        <w:tc>
          <w:tcPr>
            <w:tcW w:w="2090" w:type="dxa"/>
            <w:tcBorders>
              <w:top w:val="single" w:sz="8" w:space="0" w:color="auto"/>
              <w:left w:val="single" w:sz="8" w:space="0" w:color="auto"/>
              <w:bottom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tc>
        <w:tc>
          <w:tcPr>
            <w:tcW w:w="1035"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tc>
        <w:tc>
          <w:tcPr>
            <w:tcW w:w="2970"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1701"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968"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Description and clear definition of each milestone and target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r>
      <w:tr w:rsidR="00BF6749">
        <w:trPr>
          <w:trHeight w:val="540"/>
        </w:trPr>
        <w:tc>
          <w:tcPr>
            <w:tcW w:w="675"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2090"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035" w:type="dxa"/>
            <w:tcBorders>
              <w:top w:val="single" w:sz="8" w:space="0" w:color="auto"/>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127"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Measurement unit</w:t>
            </w:r>
          </w:p>
        </w:tc>
        <w:tc>
          <w:tcPr>
            <w:tcW w:w="1134"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Background</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Target</w:t>
            </w:r>
          </w:p>
        </w:tc>
        <w:tc>
          <w:tcPr>
            <w:tcW w:w="992"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709"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3968"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r>
      <w:tr w:rsidR="00BF6749">
        <w:trPr>
          <w:trHeight w:val="21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14 – Improve the business environment -  Reform 1:Reducing the regulatory burden on business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introduction of the new regulatory burden reduction tools:—Implementation of the “1in-2out” rule – Introduction of ex-post evalua</w:t>
            </w:r>
            <w:r>
              <w:rPr>
                <w:rFonts w:ascii="Times New Roman" w:hAnsi="Times New Roman"/>
                <w:noProof/>
                <w:color w:val="006100"/>
                <w:sz w:val="20"/>
                <w:szCs w:val="20"/>
              </w:rPr>
              <w:t>tion of existing regulations (legislative and non-legislative materials) – Introduction of protection against unjustified goldplating</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resolutions updating the Unified Methodology for the Assessment of Selected Impacts</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government resolutions updating the Unified Methodology for the Assessment of Selected Impacts and introducing new tools to reduce regulatory burden:—Introduction of the “1-in-2out” rule into 1Q/2022—Introduction of ex-post evaluation o</w:t>
            </w:r>
            <w:r>
              <w:rPr>
                <w:rFonts w:ascii="Times New Roman" w:hAnsi="Times New Roman"/>
                <w:noProof/>
                <w:color w:val="006100"/>
                <w:sz w:val="20"/>
                <w:szCs w:val="20"/>
              </w:rPr>
              <w:t>f existing regulations (legislative materials up to 1Q/2022 and non-legislative materials up to 1Q/2023) as regards their effectiveness and justification – Introduction of protection against unjustified goldplating by 4Q/2022 – Investment implementation to</w:t>
            </w:r>
            <w:r>
              <w:rPr>
                <w:rFonts w:ascii="Times New Roman" w:hAnsi="Times New Roman"/>
                <w:noProof/>
                <w:color w:val="006100"/>
                <w:sz w:val="20"/>
                <w:szCs w:val="20"/>
              </w:rPr>
              <w:t xml:space="preserve"> implement measures to reduce the regulatory burden on business.</w:t>
            </w:r>
          </w:p>
        </w:tc>
      </w:tr>
      <w:tr w:rsidR="00BF6749">
        <w:trPr>
          <w:trHeight w:val="21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14 – Improve the business environment -  Investment 1:Reducing the regulatory burden on business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1in-2out rule, ex ante evaluation to prevent goldplating and ex post evaluations of existing regulation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Evaluations carried out by the Ministry of Economy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2025</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Online reporting of the compliance check of the 1-in-2-out principle (virtual </w:t>
            </w:r>
            <w:r>
              <w:rPr>
                <w:rFonts w:ascii="Times New Roman" w:hAnsi="Times New Roman"/>
                <w:noProof/>
                <w:color w:val="006100"/>
                <w:sz w:val="20"/>
                <w:szCs w:val="20"/>
              </w:rPr>
              <w:t xml:space="preserve">account) shall confirm that the rule is put into practice: Control of submitted legislative materials (500 per year) / Preparation of trainings for submitters of legislative and non-legislative materials (1 per year) / Number of consultations provided for </w:t>
            </w:r>
            <w:r>
              <w:rPr>
                <w:rFonts w:ascii="Times New Roman" w:hAnsi="Times New Roman"/>
                <w:noProof/>
                <w:color w:val="006100"/>
                <w:sz w:val="20"/>
                <w:szCs w:val="20"/>
              </w:rPr>
              <w:t>submitters (100 per year) / Number of virtual account updates on MH SR website (12 per year) -  Q4 / 2024</w:t>
            </w:r>
          </w:p>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Regular ex-post evaluation of the effectiveness and justification of existing regulations: Review of submitted legislative materials (50 in 2022, 100 </w:t>
            </w:r>
            <w:r>
              <w:rPr>
                <w:rFonts w:ascii="Times New Roman" w:hAnsi="Times New Roman"/>
                <w:noProof/>
                <w:color w:val="006100"/>
                <w:sz w:val="20"/>
                <w:szCs w:val="20"/>
              </w:rPr>
              <w:t>in the following years). Training for submitters of legislative materials (once a year) and to provide consultations.  A mechanism will be developed to control the application of the principle of ex-post evaluation  - Q4 / 2024</w:t>
            </w:r>
          </w:p>
          <w:p w:rsidR="00BF6749" w:rsidRDefault="00C87555">
            <w:pPr>
              <w:rPr>
                <w:rFonts w:ascii="Times New Roman" w:hAnsi="Times New Roman"/>
                <w:noProof/>
                <w:sz w:val="20"/>
                <w:szCs w:val="20"/>
              </w:rPr>
            </w:pPr>
            <w:r>
              <w:rPr>
                <w:rFonts w:ascii="Times New Roman" w:hAnsi="Times New Roman"/>
                <w:noProof/>
                <w:color w:val="006100"/>
                <w:sz w:val="20"/>
                <w:szCs w:val="20"/>
              </w:rPr>
              <w:t>Implementation of protection</w:t>
            </w:r>
            <w:r>
              <w:rPr>
                <w:rFonts w:ascii="Times New Roman" w:hAnsi="Times New Roman"/>
                <w:noProof/>
                <w:color w:val="006100"/>
                <w:sz w:val="20"/>
                <w:szCs w:val="20"/>
              </w:rPr>
              <w:t xml:space="preserve"> against unjustified goldplating: Control of submitted evaluations of legislative materials (40 per year) / Trainings for submitters of legislative materials (1x per year) / Number of consultations (30 per year) / A mechanism for monitoring the application</w:t>
            </w:r>
            <w:r>
              <w:rPr>
                <w:rFonts w:ascii="Times New Roman" w:hAnsi="Times New Roman"/>
                <w:noProof/>
                <w:color w:val="006100"/>
                <w:sz w:val="20"/>
                <w:szCs w:val="20"/>
              </w:rPr>
              <w:t xml:space="preserve"> of the principle of protection against unjustified goldplating will be developed. - Q2 / 2025.</w:t>
            </w:r>
          </w:p>
        </w:tc>
      </w:tr>
      <w:tr w:rsidR="00BF6749">
        <w:trPr>
          <w:trHeight w:val="12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3</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14 – Improve the business environment -  Reform 1: Reducing regulatory burden on business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Reduction of the administrative burden on entrepreneurs</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3 packages with 300 measures to reduce administrative burden</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Entry into force of  three packages reducing administrative burden for businesses, each containing at least 100 measures, and leading to savings for entrepreneurs. </w:t>
            </w:r>
          </w:p>
        </w:tc>
      </w:tr>
      <w:tr w:rsidR="00BF6749">
        <w:trPr>
          <w:trHeight w:val="30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4</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14 – Improve the business environment -  Reform 2:Reform of the insolvency framework – adaptation of legislation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Reform of the insolvency framework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a set of laws governing insolvency proceedings.</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laws which shall establish the legal framework for the unification and full digitalisation of the liquidation, bankruptcy, restructuring and discharge of debt and, where appropriate, the resolution of impending bankruptcy, as well as th</w:t>
            </w:r>
            <w:r>
              <w:rPr>
                <w:rFonts w:ascii="Times New Roman" w:hAnsi="Times New Roman"/>
                <w:noProof/>
                <w:color w:val="006100"/>
                <w:sz w:val="20"/>
                <w:szCs w:val="20"/>
              </w:rPr>
              <w:t xml:space="preserve">e modification of the legal and procedural frameworks for the digitalisation of forced liquidation processes. It includes the introduction of early warning tools and creates an insolvency specialisation at the level of business courts.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government and </w:t>
            </w:r>
            <w:r>
              <w:rPr>
                <w:rFonts w:ascii="Times New Roman" w:hAnsi="Times New Roman"/>
                <w:noProof/>
                <w:color w:val="006100"/>
                <w:sz w:val="20"/>
                <w:szCs w:val="20"/>
              </w:rPr>
              <w:t>parliament approve a set of laws:—A new law on non-public financial restructuring and public preventive restructuring;—Amendment to Act No 7/2005 on Bankruptcy and Restructuring, – Amendment to Act No 8/2005 on Administrators, – Amendment to Act No 328/199</w:t>
            </w:r>
            <w:r>
              <w:rPr>
                <w:rFonts w:ascii="Times New Roman" w:hAnsi="Times New Roman"/>
                <w:noProof/>
                <w:color w:val="006100"/>
                <w:sz w:val="20"/>
                <w:szCs w:val="20"/>
              </w:rPr>
              <w:t>1 on bankruptcy and arrangement;—Amendment to Act No 757/2004 on Courts;—Amendment to Act No 371/2004 on the seats and districts of the courts of the Slovak Republic.</w:t>
            </w:r>
          </w:p>
        </w:tc>
      </w:tr>
      <w:tr w:rsidR="00BF6749">
        <w:trPr>
          <w:trHeight w:val="235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5</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14 – Improve the business environment -  Investment 2:Digitalisation of insolvency </w:t>
            </w:r>
            <w:r>
              <w:rPr>
                <w:rFonts w:ascii="Times New Roman" w:hAnsi="Times New Roman"/>
                <w:noProof/>
                <w:color w:val="006100"/>
                <w:sz w:val="20"/>
                <w:szCs w:val="20"/>
              </w:rPr>
              <w:t>processes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Target</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 single, fully digitised insolvency process is fully operational.</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of insolvency procedures done via unified digital process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100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single fully digitised insolvency process has been tested and launched and is used in all </w:t>
            </w:r>
            <w:r>
              <w:rPr>
                <w:rFonts w:ascii="Times New Roman" w:hAnsi="Times New Roman"/>
                <w:noProof/>
                <w:color w:val="006100"/>
                <w:sz w:val="20"/>
                <w:szCs w:val="20"/>
              </w:rPr>
              <w:t>insolvency proceedings. Entry into operation of a public administration information system (technical framework) focusing on insolvency law and exit processes with multi-user modules (custodians, creditors, courts, the public, realisation of assets) and fu</w:t>
            </w:r>
            <w:r>
              <w:rPr>
                <w:rFonts w:ascii="Times New Roman" w:hAnsi="Times New Roman"/>
                <w:noProof/>
                <w:color w:val="006100"/>
                <w:sz w:val="20"/>
                <w:szCs w:val="20"/>
              </w:rPr>
              <w:t>rther functionalities for early warning of impending insolvency, discharge of debt of natural persons, cross-border exchange of information, provision of statistical and analytical data and disclosure of information.</w:t>
            </w:r>
          </w:p>
        </w:tc>
      </w:tr>
      <w:tr w:rsidR="00BF6749">
        <w:trPr>
          <w:trHeight w:val="7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6</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14 – Improve the business </w:t>
            </w:r>
            <w:r>
              <w:rPr>
                <w:rFonts w:ascii="Times New Roman" w:hAnsi="Times New Roman"/>
                <w:noProof/>
                <w:color w:val="006100"/>
                <w:sz w:val="20"/>
                <w:szCs w:val="20"/>
              </w:rPr>
              <w:t>environment -  Reform 3: Reform of public procurement – adaptation of legislation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Reform of  the Public Procurement Procedures Act </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revised Act on Public Procurement Procedures by Parliament</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An amendment to </w:t>
            </w:r>
            <w:r>
              <w:rPr>
                <w:rFonts w:ascii="Times New Roman" w:hAnsi="Times New Roman"/>
                <w:noProof/>
                <w:color w:val="006100"/>
                <w:sz w:val="20"/>
                <w:szCs w:val="20"/>
              </w:rPr>
              <w:t>the Public Procurement Procedures Act approved by the Government and the Parliament and entered into force will ensure:</w:t>
            </w:r>
          </w:p>
          <w:p w:rsidR="00BF6749" w:rsidRDefault="00C87555">
            <w:pPr>
              <w:rPr>
                <w:rFonts w:ascii="Times New Roman" w:hAnsi="Times New Roman"/>
                <w:noProof/>
                <w:sz w:val="20"/>
                <w:szCs w:val="20"/>
              </w:rPr>
            </w:pPr>
            <w:r>
              <w:rPr>
                <w:rFonts w:ascii="Times New Roman" w:hAnsi="Times New Roman"/>
                <w:noProof/>
                <w:color w:val="006100"/>
                <w:sz w:val="20"/>
                <w:szCs w:val="20"/>
              </w:rPr>
              <w:t>— Accelerating and simplifying the procurement procedure.</w:t>
            </w:r>
          </w:p>
          <w:p w:rsidR="00BF6749" w:rsidRDefault="00C87555">
            <w:pPr>
              <w:rPr>
                <w:rFonts w:ascii="Times New Roman" w:hAnsi="Times New Roman"/>
                <w:noProof/>
                <w:sz w:val="20"/>
                <w:szCs w:val="20"/>
              </w:rPr>
            </w:pPr>
            <w:r>
              <w:rPr>
                <w:rFonts w:ascii="Times New Roman" w:hAnsi="Times New Roman"/>
                <w:noProof/>
                <w:color w:val="006100"/>
                <w:sz w:val="20"/>
                <w:szCs w:val="20"/>
              </w:rPr>
              <w:t>— Accelerating the process also with a view to exercising the rights of the ca</w:t>
            </w:r>
            <w:r>
              <w:rPr>
                <w:rFonts w:ascii="Times New Roman" w:hAnsi="Times New Roman"/>
                <w:noProof/>
                <w:color w:val="006100"/>
                <w:sz w:val="20"/>
                <w:szCs w:val="20"/>
              </w:rPr>
              <w:t>ndidates, tenderers, participants and other persons concerned.</w:t>
            </w:r>
          </w:p>
          <w:p w:rsidR="00BF6749" w:rsidRDefault="00C87555">
            <w:pPr>
              <w:rPr>
                <w:rFonts w:ascii="Times New Roman" w:hAnsi="Times New Roman"/>
                <w:noProof/>
                <w:sz w:val="20"/>
                <w:szCs w:val="20"/>
              </w:rPr>
            </w:pPr>
            <w:r>
              <w:rPr>
                <w:rFonts w:ascii="Times New Roman" w:hAnsi="Times New Roman"/>
                <w:noProof/>
                <w:color w:val="006100"/>
                <w:sz w:val="20"/>
                <w:szCs w:val="20"/>
              </w:rPr>
              <w:t>—Improving control of public procurement by automating the award and evaluation of contracts and ensuring efficient collection and analysis of price data.</w:t>
            </w:r>
          </w:p>
          <w:p w:rsidR="00BF6749" w:rsidRDefault="00C87555">
            <w:pPr>
              <w:rPr>
                <w:rFonts w:ascii="Times New Roman" w:hAnsi="Times New Roman"/>
                <w:noProof/>
                <w:sz w:val="20"/>
                <w:szCs w:val="20"/>
              </w:rPr>
            </w:pPr>
            <w:r>
              <w:rPr>
                <w:rFonts w:ascii="Times New Roman" w:hAnsi="Times New Roman"/>
                <w:noProof/>
                <w:color w:val="006100"/>
                <w:sz w:val="20"/>
                <w:szCs w:val="20"/>
              </w:rPr>
              <w:t>— Ensure proper safeguards, in particu</w:t>
            </w:r>
            <w:r>
              <w:rPr>
                <w:rFonts w:ascii="Times New Roman" w:hAnsi="Times New Roman"/>
                <w:noProof/>
                <w:color w:val="006100"/>
                <w:sz w:val="20"/>
                <w:szCs w:val="20"/>
              </w:rPr>
              <w:t>lar as regards transparency and any proposed amendments will be in line with both the relevant Directives of the European Parliament and of the Council as well as the rules laid down in the Treaty on the Functioning of the EU.</w:t>
            </w:r>
          </w:p>
        </w:tc>
      </w:tr>
      <w:tr w:rsidR="00BF6749">
        <w:trPr>
          <w:trHeight w:val="105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7</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14 – Improve the business </w:t>
            </w:r>
            <w:r>
              <w:rPr>
                <w:rFonts w:ascii="Times New Roman" w:hAnsi="Times New Roman"/>
                <w:noProof/>
                <w:color w:val="006100"/>
                <w:sz w:val="20"/>
                <w:szCs w:val="20"/>
              </w:rPr>
              <w:t>environment -  Reform 3: Reform of public procurement – digitalisation of public procurement processes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209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Digitalisation of public procurement processes through a single electronic platform.</w:t>
            </w:r>
          </w:p>
        </w:tc>
        <w:tc>
          <w:tcPr>
            <w:tcW w:w="103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single electronic platform is fully operational as reg</w:t>
            </w:r>
            <w:r>
              <w:rPr>
                <w:rFonts w:ascii="Times New Roman" w:hAnsi="Times New Roman"/>
                <w:noProof/>
                <w:color w:val="006100"/>
                <w:sz w:val="20"/>
                <w:szCs w:val="20"/>
              </w:rPr>
              <w:t xml:space="preserve">ards the 7 new functionalities. </w:t>
            </w:r>
          </w:p>
        </w:tc>
        <w:tc>
          <w:tcPr>
            <w:tcW w:w="112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968"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Digitalisation of public procurement processes shall be tested and fully operational, including interoperability with the information system of the Central reference data management (IS CSRÚ) pursuant to Act No </w:t>
            </w:r>
            <w:r>
              <w:rPr>
                <w:rFonts w:ascii="Times New Roman" w:hAnsi="Times New Roman"/>
                <w:noProof/>
                <w:color w:val="006100"/>
                <w:sz w:val="20"/>
                <w:szCs w:val="20"/>
              </w:rPr>
              <w:t>305/2013 Coll. allowing for automatic completion of contracting entity data, the extension of the scope to all goods and services, and the monitoring of price evolution of goods and services. The system for price evolution of goods and services are expecte</w:t>
            </w:r>
            <w:r>
              <w:rPr>
                <w:rFonts w:ascii="Times New Roman" w:hAnsi="Times New Roman"/>
                <w:noProof/>
                <w:color w:val="006100"/>
                <w:sz w:val="20"/>
                <w:szCs w:val="20"/>
              </w:rPr>
              <w:t>d to be filled gradually. Features:</w:t>
            </w:r>
          </w:p>
          <w:p w:rsidR="00BF6749" w:rsidRDefault="00C87555">
            <w:pPr>
              <w:rPr>
                <w:rFonts w:ascii="Times New Roman" w:hAnsi="Times New Roman"/>
                <w:noProof/>
                <w:sz w:val="20"/>
                <w:szCs w:val="20"/>
              </w:rPr>
            </w:pPr>
            <w:r>
              <w:rPr>
                <w:rFonts w:ascii="Times New Roman" w:hAnsi="Times New Roman"/>
                <w:noProof/>
                <w:color w:val="006100"/>
                <w:sz w:val="20"/>
                <w:szCs w:val="20"/>
              </w:rPr>
              <w:t>—Submission of below-threshold works, supplies and services not only those normally available on the market;</w:t>
            </w:r>
          </w:p>
          <w:p w:rsidR="00BF6749" w:rsidRDefault="00C87555">
            <w:pPr>
              <w:rPr>
                <w:rFonts w:ascii="Times New Roman" w:hAnsi="Times New Roman"/>
                <w:noProof/>
                <w:sz w:val="20"/>
                <w:szCs w:val="20"/>
              </w:rPr>
            </w:pPr>
            <w:r>
              <w:rPr>
                <w:rFonts w:ascii="Times New Roman" w:hAnsi="Times New Roman"/>
                <w:noProof/>
                <w:color w:val="006100"/>
                <w:sz w:val="20"/>
                <w:szCs w:val="20"/>
              </w:rPr>
              <w:t>— Award of a contract with a criterion other than price;</w:t>
            </w:r>
          </w:p>
          <w:p w:rsidR="00BF6749" w:rsidRDefault="00C87555">
            <w:pPr>
              <w:rPr>
                <w:rFonts w:ascii="Times New Roman" w:hAnsi="Times New Roman"/>
                <w:noProof/>
                <w:sz w:val="20"/>
                <w:szCs w:val="20"/>
              </w:rPr>
            </w:pPr>
            <w:r>
              <w:rPr>
                <w:rFonts w:ascii="Times New Roman" w:hAnsi="Times New Roman"/>
                <w:noProof/>
                <w:color w:val="006100"/>
                <w:sz w:val="20"/>
                <w:szCs w:val="20"/>
              </w:rPr>
              <w:t>—Market research for low value contracts;</w:t>
            </w:r>
          </w:p>
          <w:p w:rsidR="00BF6749" w:rsidRDefault="00C87555">
            <w:pPr>
              <w:rPr>
                <w:rFonts w:ascii="Times New Roman" w:hAnsi="Times New Roman"/>
                <w:noProof/>
                <w:sz w:val="20"/>
                <w:szCs w:val="20"/>
              </w:rPr>
            </w:pPr>
            <w:r>
              <w:rPr>
                <w:rFonts w:ascii="Times New Roman" w:hAnsi="Times New Roman"/>
                <w:noProof/>
                <w:color w:val="006100"/>
                <w:sz w:val="20"/>
                <w:szCs w:val="20"/>
              </w:rPr>
              <w:t>— Publicatio</w:t>
            </w:r>
            <w:r>
              <w:rPr>
                <w:rFonts w:ascii="Times New Roman" w:hAnsi="Times New Roman"/>
                <w:noProof/>
                <w:color w:val="006100"/>
                <w:sz w:val="20"/>
                <w:szCs w:val="20"/>
              </w:rPr>
              <w:t>n of low value contracts;</w:t>
            </w:r>
          </w:p>
          <w:p w:rsidR="00BF6749" w:rsidRDefault="00C87555">
            <w:pPr>
              <w:rPr>
                <w:rFonts w:ascii="Times New Roman" w:hAnsi="Times New Roman"/>
                <w:noProof/>
                <w:sz w:val="20"/>
                <w:szCs w:val="20"/>
              </w:rPr>
            </w:pPr>
            <w:r>
              <w:rPr>
                <w:rFonts w:ascii="Times New Roman" w:hAnsi="Times New Roman"/>
                <w:noProof/>
                <w:color w:val="006100"/>
                <w:sz w:val="20"/>
                <w:szCs w:val="20"/>
              </w:rPr>
              <w:t>— Creating a price monitoring functionality;</w:t>
            </w:r>
          </w:p>
          <w:p w:rsidR="00BF6749" w:rsidRDefault="00C87555">
            <w:pPr>
              <w:rPr>
                <w:rFonts w:ascii="Times New Roman" w:hAnsi="Times New Roman"/>
                <w:noProof/>
                <w:sz w:val="20"/>
                <w:szCs w:val="20"/>
              </w:rPr>
            </w:pPr>
            <w:r>
              <w:rPr>
                <w:rFonts w:ascii="Times New Roman" w:hAnsi="Times New Roman"/>
                <w:noProof/>
                <w:color w:val="006100"/>
                <w:sz w:val="20"/>
                <w:szCs w:val="20"/>
              </w:rPr>
              <w:t>— Creation of the functionality for automated ranking of tenders;</w:t>
            </w:r>
          </w:p>
          <w:p w:rsidR="00BF6749" w:rsidRDefault="00C87555">
            <w:pPr>
              <w:rPr>
                <w:rFonts w:ascii="Times New Roman" w:hAnsi="Times New Roman"/>
                <w:noProof/>
                <w:sz w:val="20"/>
                <w:szCs w:val="20"/>
              </w:rPr>
            </w:pPr>
            <w:r>
              <w:rPr>
                <w:rFonts w:ascii="Times New Roman" w:hAnsi="Times New Roman"/>
                <w:noProof/>
                <w:color w:val="006100"/>
                <w:sz w:val="20"/>
                <w:szCs w:val="20"/>
              </w:rPr>
              <w:t>—Integration with the information system of the Central reference data management (IS CSRÚ) pursuant to Act No 305/2013</w:t>
            </w:r>
            <w:r>
              <w:rPr>
                <w:rFonts w:ascii="Times New Roman" w:hAnsi="Times New Roman"/>
                <w:noProof/>
                <w:color w:val="006100"/>
                <w:sz w:val="20"/>
                <w:szCs w:val="20"/>
              </w:rPr>
              <w:t xml:space="preserve"> Coll.</w:t>
            </w:r>
          </w:p>
        </w:tc>
      </w:tr>
    </w:tbl>
    <w:p w:rsidR="00BF6749" w:rsidRDefault="00BF6749">
      <w:pPr>
        <w:spacing w:before="120" w:after="120" w:line="240" w:lineRule="auto"/>
        <w:jc w:val="both"/>
        <w:rPr>
          <w:rFonts w:ascii="Times New Roman" w:hAnsi="Times New Roman"/>
          <w:noProof/>
          <w:sz w:val="24"/>
          <w:szCs w:val="24"/>
          <w:lang w:val="en-US"/>
        </w:rPr>
        <w:sectPr w:rsidR="00BF6749">
          <w:headerReference w:type="even" r:id="rId180"/>
          <w:headerReference w:type="default" r:id="rId181"/>
          <w:footerReference w:type="even" r:id="rId182"/>
          <w:footerReference w:type="default" r:id="rId183"/>
          <w:headerReference w:type="first" r:id="rId184"/>
          <w:footerReference w:type="first" r:id="rId185"/>
          <w:pgSz w:w="16839" w:h="11907" w:orient="landscape"/>
          <w:pgMar w:top="568" w:right="1134" w:bottom="1418" w:left="1134" w:header="709" w:footer="709" w:gutter="0"/>
          <w:cols w:space="720"/>
          <w:docGrid w:linePitch="360"/>
        </w:sectPr>
      </w:pPr>
    </w:p>
    <w:p w:rsidR="00BF6749" w:rsidRDefault="00C87555">
      <w:pPr>
        <w:keepNext/>
        <w:tabs>
          <w:tab w:val="left" w:pos="850"/>
        </w:tabs>
        <w:spacing w:before="360" w:after="120" w:line="240" w:lineRule="auto"/>
        <w:jc w:val="both"/>
        <w:outlineLvl w:val="0"/>
        <w:rPr>
          <w:rFonts w:ascii="Times New Roman" w:hAnsi="Times New Roman"/>
          <w:b/>
          <w:bCs/>
          <w:smallCaps/>
          <w:noProof/>
          <w:sz w:val="24"/>
        </w:rPr>
      </w:pPr>
      <w:r>
        <w:rPr>
          <w:rFonts w:ascii="Times New Roman" w:hAnsi="Times New Roman"/>
          <w:b/>
          <w:smallCaps/>
          <w:noProof/>
          <w:sz w:val="24"/>
        </w:rPr>
        <w:t xml:space="preserve">COMPONENT 15: </w:t>
      </w:r>
      <w:r>
        <w:rPr>
          <w:rFonts w:ascii="Times New Roman" w:hAnsi="Times New Roman"/>
          <w:b/>
          <w:bCs/>
          <w:smallCaps/>
          <w:noProof/>
          <w:sz w:val="24"/>
        </w:rPr>
        <w:t>Judicial reform</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Slovakia, specific concerns on the overall integrity of its justice system were raised, and trust in the judiciary ranks poorly compared to other EU countries. Corruption continues to pose a challenge and corruption perceptions remain problematic.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This</w:t>
      </w:r>
      <w:r>
        <w:rPr>
          <w:rFonts w:ascii="Times New Roman" w:hAnsi="Times New Roman"/>
          <w:noProof/>
          <w:sz w:val="24"/>
          <w:szCs w:val="24"/>
        </w:rPr>
        <w:t xml:space="preserve"> component of the Slovak recovery and resilience plan aims at further increasing the efficiency, integrity and independence of the justice system as well as at fighting corruption. The aim of the reform of the judicial map is to introduce the specialisatio</w:t>
      </w:r>
      <w:r>
        <w:rPr>
          <w:rFonts w:ascii="Times New Roman" w:hAnsi="Times New Roman"/>
          <w:noProof/>
          <w:sz w:val="24"/>
          <w:szCs w:val="24"/>
        </w:rPr>
        <w:t>n of judges and thus create scope for better and faster court decisions. The investments connected to the reform of the judicial map have two overarching aims. The first aim is to upgrade existing premises and construct or procure new premises for key cour</w:t>
      </w:r>
      <w:r>
        <w:rPr>
          <w:rFonts w:ascii="Times New Roman" w:hAnsi="Times New Roman"/>
          <w:noProof/>
          <w:sz w:val="24"/>
          <w:szCs w:val="24"/>
        </w:rPr>
        <w:t xml:space="preserve">ts in the new judicial map. The second aim is to invest in analytical capacities, digital technologies and the electronicisation of judicial processes, in order to contribute to better quality and faster services and increased procedural transparency, and </w:t>
      </w:r>
      <w:r>
        <w:rPr>
          <w:rFonts w:ascii="Times New Roman" w:hAnsi="Times New Roman"/>
          <w:noProof/>
          <w:sz w:val="24"/>
          <w:szCs w:val="24"/>
        </w:rPr>
        <w:t>to reduce the scope for corrupt practices.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It is expected that no measure in this component does significant harm to environmental objectives within the meaning of Article 17 of Regulation (EU) 2020/852, taking into account the description of the measures </w:t>
      </w:r>
      <w:r>
        <w:rPr>
          <w:rFonts w:ascii="Times New Roman" w:hAnsi="Times New Roman"/>
          <w:noProof/>
          <w:sz w:val="24"/>
          <w:szCs w:val="24"/>
        </w:rPr>
        <w:t xml:space="preserve">and the mitigating steps set out in the recovery and resilience plan in accordance with the DNSH Technical Guidance (2021/C58/01).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component contributes to addressing Country Specific Recommendation  2019.4 and Country Specific Recommendation 2020.4,</w:t>
      </w:r>
      <w:r>
        <w:rPr>
          <w:rFonts w:ascii="Times New Roman" w:hAnsi="Times New Roman"/>
          <w:noProof/>
          <w:sz w:val="24"/>
        </w:rPr>
        <w:t xml:space="preserve"> namely to improve the effectiveness and to address integrity concerns in the justice system, as well as to increase efforts to detect and to prosecute corruption, and ensure effective supervision and enforcement of the anti-money laundering framework.</w:t>
      </w: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w:t>
      </w:r>
      <w:r>
        <w:rPr>
          <w:rFonts w:ascii="Times New Roman" w:hAnsi="Times New Roman"/>
          <w:b/>
          <w:noProof/>
          <w:sz w:val="24"/>
        </w:rPr>
        <w:t>form 1: Reorganising the judicial map</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fragmentation of Slovakia’s judicial system undermines its effectiveness. Judges are unable to specialise to a sufficient degree, hampering efficiency and quality of court decisions. Moreover, the system’s heteroge</w:t>
      </w:r>
      <w:r>
        <w:rPr>
          <w:rFonts w:ascii="Times New Roman" w:hAnsi="Times New Roman"/>
          <w:noProof/>
          <w:sz w:val="24"/>
        </w:rPr>
        <w:t xml:space="preserve">neity results in a lack of transparency.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This reform therefore shall improve the efficiency and quality of the judiciary. To this end, it shall reorganise the system of courts by streamlining it and thereby allowing for a greater specialisation of judges </w:t>
      </w:r>
      <w:r>
        <w:rPr>
          <w:rFonts w:ascii="Times New Roman" w:hAnsi="Times New Roman"/>
          <w:noProof/>
          <w:sz w:val="24"/>
          <w:szCs w:val="24"/>
        </w:rPr>
        <w:t>in criminal, civil, commercial and family justice, paving the way for better and faster court decisions. It shall comprise a new network of first instance administrative and ordinary courts (including municipal courts), appeal courts, and a Supreme Adminis</w:t>
      </w:r>
      <w:r>
        <w:rPr>
          <w:rFonts w:ascii="Times New Roman" w:hAnsi="Times New Roman"/>
          <w:noProof/>
          <w:sz w:val="24"/>
          <w:szCs w:val="24"/>
        </w:rPr>
        <w:t xml:space="preserve">trative Court.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The main legislation implementing the reform of the judicial map shall enter into force by 31 December 2021. The transition of the judiciary system to a smaller number of courts and with specialised judges shall be completed by 31 March </w:t>
      </w:r>
      <w:r>
        <w:rPr>
          <w:rFonts w:ascii="Times New Roman" w:hAnsi="Times New Roman"/>
          <w:noProof/>
          <w:sz w:val="24"/>
        </w:rPr>
        <w:t>2023.</w:t>
      </w: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2:</w:t>
      </w:r>
      <w:r>
        <w:rPr>
          <w:rFonts w:ascii="Times New Roman" w:hAnsi="Times New Roman"/>
          <w:noProof/>
          <w:sz w:val="24"/>
        </w:rPr>
        <w:t xml:space="preserve"> </w:t>
      </w:r>
      <w:r>
        <w:rPr>
          <w:rFonts w:ascii="Times New Roman" w:hAnsi="Times New Roman"/>
          <w:b/>
          <w:noProof/>
          <w:sz w:val="24"/>
        </w:rPr>
        <w:t>Fighting corruption and strengthening the integrity and independence of the judiciary</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high level of perceived corruption is coupled with a lack of trust in the judiciary. A particular concern is the lack of means to prosecute corruptio</w:t>
      </w:r>
      <w:r>
        <w:rPr>
          <w:rFonts w:ascii="Times New Roman" w:hAnsi="Times New Roman"/>
          <w:noProof/>
          <w:sz w:val="24"/>
          <w:szCs w:val="24"/>
        </w:rPr>
        <w:t>n and money laundering.</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This reform entails a package of legislative changes aimed at improving judicial integrity and independence, and fighting corruption and money laundering more effectively. This reform shall be implemented in compliance with Article </w:t>
      </w:r>
      <w:r>
        <w:rPr>
          <w:rFonts w:ascii="Times New Roman" w:hAnsi="Times New Roman"/>
          <w:noProof/>
          <w:sz w:val="24"/>
        </w:rPr>
        <w:t>19 TEU to ensure effective judicial protection.</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To strengthen judicial integrity and independence:</w:t>
      </w:r>
    </w:p>
    <w:p w:rsidR="00BF6749" w:rsidRDefault="00C87555">
      <w:pPr>
        <w:numPr>
          <w:ilvl w:val="0"/>
          <w:numId w:val="33"/>
        </w:numPr>
        <w:spacing w:before="120" w:after="120" w:line="240" w:lineRule="auto"/>
        <w:ind w:left="0"/>
        <w:jc w:val="both"/>
        <w:rPr>
          <w:rFonts w:ascii="Times New Roman" w:hAnsi="Times New Roman"/>
          <w:noProof/>
          <w:sz w:val="24"/>
          <w:szCs w:val="24"/>
          <w:lang w:val="en-US"/>
        </w:rPr>
      </w:pPr>
      <w:r>
        <w:rPr>
          <w:rFonts w:ascii="Times New Roman" w:hAnsi="Times New Roman"/>
          <w:noProof/>
          <w:sz w:val="24"/>
          <w:szCs w:val="24"/>
          <w:lang w:val="en-US"/>
        </w:rPr>
        <w:t>The Supreme Administrative Court shall be established with the power to act as a disciplinary court for judges, prosecutors, bailiffs, notaries and administr</w:t>
      </w:r>
      <w:r>
        <w:rPr>
          <w:rFonts w:ascii="Times New Roman" w:hAnsi="Times New Roman"/>
          <w:noProof/>
          <w:sz w:val="24"/>
          <w:szCs w:val="24"/>
          <w:lang w:val="en-US"/>
        </w:rPr>
        <w:t>ators (linked to reform 1).</w:t>
      </w:r>
    </w:p>
    <w:p w:rsidR="00BF6749" w:rsidRDefault="00C87555">
      <w:pPr>
        <w:numPr>
          <w:ilvl w:val="0"/>
          <w:numId w:val="33"/>
        </w:numPr>
        <w:spacing w:before="120" w:after="120" w:line="240" w:lineRule="auto"/>
        <w:ind w:left="0"/>
        <w:jc w:val="both"/>
        <w:rPr>
          <w:rFonts w:ascii="Times New Roman" w:hAnsi="Times New Roman"/>
          <w:noProof/>
          <w:sz w:val="24"/>
          <w:szCs w:val="24"/>
          <w:lang w:val="en-US"/>
        </w:rPr>
      </w:pPr>
      <w:r>
        <w:rPr>
          <w:rFonts w:ascii="Times New Roman" w:hAnsi="Times New Roman"/>
          <w:noProof/>
          <w:sz w:val="24"/>
          <w:szCs w:val="24"/>
          <w:lang w:val="en-US"/>
        </w:rPr>
        <w:t>The Judicial Council shall receive more competences in the verification of assets and judicial expertise of judges. Moreover, a regional principle shall be introduced to the election to the Judicial Council to ensure better repr</w:t>
      </w:r>
      <w:r>
        <w:rPr>
          <w:rFonts w:ascii="Times New Roman" w:hAnsi="Times New Roman"/>
          <w:noProof/>
          <w:sz w:val="24"/>
          <w:szCs w:val="24"/>
          <w:lang w:val="en-US"/>
        </w:rPr>
        <w:t>esentativeness.</w:t>
      </w:r>
    </w:p>
    <w:p w:rsidR="00BF6749" w:rsidRDefault="00C87555">
      <w:pPr>
        <w:numPr>
          <w:ilvl w:val="0"/>
          <w:numId w:val="33"/>
        </w:numPr>
        <w:spacing w:before="120" w:after="120" w:line="240" w:lineRule="auto"/>
        <w:ind w:left="0"/>
        <w:jc w:val="both"/>
        <w:rPr>
          <w:rFonts w:ascii="Times New Roman" w:hAnsi="Times New Roman"/>
          <w:noProof/>
          <w:sz w:val="24"/>
          <w:szCs w:val="24"/>
          <w:lang w:val="en-US"/>
        </w:rPr>
      </w:pPr>
      <w:r>
        <w:rPr>
          <w:rFonts w:ascii="Times New Roman" w:hAnsi="Times New Roman"/>
          <w:noProof/>
          <w:sz w:val="24"/>
          <w:szCs w:val="24"/>
          <w:lang w:val="en-US"/>
        </w:rPr>
        <w:t xml:space="preserve">The election of judges to the Constitutional Court shall be improved and made more transparent by several means, such as a safeguard against parliamentary passivity in electing judges, the introduction of a rotational principle election of </w:t>
      </w:r>
      <w:r>
        <w:rPr>
          <w:rFonts w:ascii="Times New Roman" w:hAnsi="Times New Roman"/>
          <w:noProof/>
          <w:sz w:val="24"/>
          <w:szCs w:val="24"/>
          <w:lang w:val="en-US"/>
        </w:rPr>
        <w:t>judges to reduce the risk of having too many judges selected by a particular political party. Public hearings shall be introduced for the election of key judges (of the Constitutional Court, the Attorney General and the Special Prosecutor).</w:t>
      </w:r>
    </w:p>
    <w:p w:rsidR="00BF6749" w:rsidRDefault="00C87555">
      <w:pPr>
        <w:numPr>
          <w:ilvl w:val="0"/>
          <w:numId w:val="33"/>
        </w:numPr>
        <w:spacing w:before="120" w:after="120" w:line="240" w:lineRule="auto"/>
        <w:ind w:left="0"/>
        <w:jc w:val="both"/>
        <w:rPr>
          <w:rFonts w:ascii="Times New Roman" w:hAnsi="Times New Roman"/>
          <w:noProof/>
          <w:sz w:val="24"/>
          <w:szCs w:val="24"/>
          <w:lang w:val="en-US"/>
        </w:rPr>
      </w:pPr>
      <w:r>
        <w:rPr>
          <w:rFonts w:ascii="Times New Roman" w:hAnsi="Times New Roman"/>
          <w:noProof/>
          <w:sz w:val="24"/>
          <w:szCs w:val="24"/>
          <w:lang w:val="en-US"/>
        </w:rPr>
        <w:t>Rules on the ex</w:t>
      </w:r>
      <w:r>
        <w:rPr>
          <w:rFonts w:ascii="Times New Roman" w:hAnsi="Times New Roman"/>
          <w:noProof/>
          <w:sz w:val="24"/>
          <w:szCs w:val="24"/>
          <w:lang w:val="en-US"/>
        </w:rPr>
        <w:t>ercise of the judicial profession shall be amended, including an age limit of 67 years for judges and 72 years for constitutional judges.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To ensure effective supervision and enforcement of the anti-money laundering framework:</w:t>
      </w:r>
    </w:p>
    <w:p w:rsidR="00BF6749" w:rsidRDefault="00C87555">
      <w:pPr>
        <w:numPr>
          <w:ilvl w:val="0"/>
          <w:numId w:val="32"/>
        </w:numPr>
        <w:spacing w:before="120" w:after="120" w:line="240" w:lineRule="auto"/>
        <w:ind w:left="0"/>
        <w:jc w:val="both"/>
        <w:rPr>
          <w:rFonts w:ascii="Times New Roman" w:hAnsi="Times New Roman"/>
          <w:noProof/>
          <w:sz w:val="24"/>
          <w:szCs w:val="24"/>
          <w:lang w:val="en-US"/>
        </w:rPr>
      </w:pPr>
      <w:r>
        <w:rPr>
          <w:rFonts w:ascii="Times New Roman" w:hAnsi="Times New Roman"/>
          <w:noProof/>
          <w:sz w:val="24"/>
          <w:szCs w:val="24"/>
          <w:lang w:val="en-US"/>
        </w:rPr>
        <w:t xml:space="preserve">The Office for the Management </w:t>
      </w:r>
      <w:r>
        <w:rPr>
          <w:rFonts w:ascii="Times New Roman" w:hAnsi="Times New Roman"/>
          <w:noProof/>
          <w:sz w:val="24"/>
          <w:szCs w:val="24"/>
          <w:lang w:val="en-US"/>
        </w:rPr>
        <w:t>of Seized Assets shall be set up, along with an improved legal framework allowing for more effective asset seizing and management. This measure is linked to anti-money laundering efforts in component 16</w:t>
      </w:r>
      <w:r>
        <w:rPr>
          <w:rFonts w:ascii="Times New Roman" w:hAnsi="Times New Roman"/>
          <w:noProof/>
          <w:sz w:val="24"/>
          <w:lang w:val="en-US"/>
        </w:rPr>
        <w:t xml:space="preserve"> of the Slovak recovery and resilience plan</w:t>
      </w:r>
      <w:r>
        <w:rPr>
          <w:rFonts w:ascii="Times New Roman" w:hAnsi="Times New Roman"/>
          <w:noProof/>
          <w:sz w:val="24"/>
          <w:szCs w:val="24"/>
          <w:lang w:val="en-US"/>
        </w:rPr>
        <w:t>.</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To detect</w:t>
      </w:r>
      <w:r>
        <w:rPr>
          <w:rFonts w:ascii="Times New Roman" w:hAnsi="Times New Roman"/>
          <w:noProof/>
          <w:sz w:val="24"/>
          <w:szCs w:val="24"/>
        </w:rPr>
        <w:t xml:space="preserve"> and prosecute corruption:</w:t>
      </w:r>
    </w:p>
    <w:p w:rsidR="00BF6749" w:rsidRDefault="00C87555">
      <w:pPr>
        <w:numPr>
          <w:ilvl w:val="0"/>
          <w:numId w:val="31"/>
        </w:numPr>
        <w:spacing w:before="120" w:after="120" w:line="240" w:lineRule="auto"/>
        <w:ind w:left="0"/>
        <w:jc w:val="both"/>
        <w:rPr>
          <w:rFonts w:ascii="Times New Roman" w:hAnsi="Times New Roman"/>
          <w:noProof/>
          <w:sz w:val="24"/>
          <w:szCs w:val="24"/>
          <w:lang w:val="en-US"/>
        </w:rPr>
      </w:pPr>
      <w:r>
        <w:rPr>
          <w:rFonts w:ascii="Times New Roman" w:hAnsi="Times New Roman"/>
          <w:noProof/>
          <w:sz w:val="24"/>
          <w:szCs w:val="24"/>
          <w:lang w:val="en-US"/>
        </w:rPr>
        <w:t>New criminal offences shall be introduced if judges abuse laws and if public servants ask for or promise undue advantages.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A part of these legislative changes was planned for 31 December 2020. The entire package of legislation sh</w:t>
      </w:r>
      <w:r>
        <w:rPr>
          <w:rFonts w:ascii="Times New Roman" w:hAnsi="Times New Roman"/>
          <w:noProof/>
          <w:sz w:val="24"/>
          <w:szCs w:val="24"/>
        </w:rPr>
        <w:t>all enter into force by 30 September 2021.</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implementation of the reform shall be completed by 30 September 2021. </w:t>
      </w: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1: Buildings for the reorganised court system</w:t>
      </w:r>
    </w:p>
    <w:p w:rsidR="00BF6749" w:rsidRDefault="00C87555">
      <w:pPr>
        <w:spacing w:before="120" w:after="120" w:line="240" w:lineRule="auto"/>
        <w:jc w:val="both"/>
        <w:rPr>
          <w:rFonts w:ascii="Times New Roman" w:hAnsi="Times New Roman"/>
          <w:noProof/>
          <w:sz w:val="24"/>
          <w:lang w:val="en"/>
        </w:rPr>
      </w:pPr>
      <w:r>
        <w:rPr>
          <w:rFonts w:ascii="Times New Roman" w:hAnsi="Times New Roman"/>
          <w:noProof/>
          <w:sz w:val="24"/>
          <w:lang w:val="en"/>
        </w:rPr>
        <w:t xml:space="preserve">The new judicial map brought about by reform 1of this component, </w:t>
      </w:r>
      <w:r>
        <w:rPr>
          <w:rFonts w:ascii="Times New Roman" w:hAnsi="Times New Roman"/>
          <w:i/>
          <w:noProof/>
          <w:sz w:val="24"/>
          <w:u w:val="single"/>
        </w:rPr>
        <w:t>Reorganising th</w:t>
      </w:r>
      <w:r>
        <w:rPr>
          <w:rFonts w:ascii="Times New Roman" w:hAnsi="Times New Roman"/>
          <w:i/>
          <w:noProof/>
          <w:sz w:val="24"/>
          <w:u w:val="single"/>
        </w:rPr>
        <w:t xml:space="preserve">e judicial map, </w:t>
      </w:r>
      <w:r>
        <w:rPr>
          <w:rFonts w:ascii="Times New Roman" w:hAnsi="Times New Roman"/>
          <w:i/>
          <w:noProof/>
          <w:sz w:val="24"/>
          <w:u w:val="single"/>
          <w:lang w:val="en"/>
        </w:rPr>
        <w:t xml:space="preserve"> </w:t>
      </w:r>
      <w:r>
        <w:rPr>
          <w:rFonts w:ascii="Times New Roman" w:hAnsi="Times New Roman"/>
          <w:noProof/>
          <w:sz w:val="24"/>
          <w:lang w:val="en"/>
        </w:rPr>
        <w:t>requires some new buildings, and currently available court buildings require thorough renovation or adaptation.</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lang w:val="en"/>
        </w:rPr>
        <w:t>This investment shall expand capacity or upgrade existing or, where appropriate, build or procure new suitable premises for key</w:t>
      </w:r>
      <w:r>
        <w:rPr>
          <w:rFonts w:ascii="Times New Roman" w:hAnsi="Times New Roman"/>
          <w:noProof/>
          <w:sz w:val="24"/>
          <w:lang w:val="en"/>
        </w:rPr>
        <w:t xml:space="preserve"> courts in the new judicial map</w:t>
      </w:r>
      <w:r>
        <w:rPr>
          <w:rFonts w:ascii="Times New Roman" w:hAnsi="Times New Roman"/>
          <w:noProof/>
          <w:sz w:val="24"/>
        </w:rPr>
        <w:t>. Specifically, at least 80 500 m2 of court buildings shall be built or acquired, and at least 77 500 m2 of court buildings shall be renovated. Renovations shall achieve an average primary energy savings of at least 30%. It i</w:t>
      </w:r>
      <w:r>
        <w:rPr>
          <w:rFonts w:ascii="Times New Roman" w:hAnsi="Times New Roman"/>
          <w:noProof/>
          <w:sz w:val="24"/>
        </w:rPr>
        <w:t>s expected that this concerns at least the renovation of 25 first instance ordinary courts, the construction of two new municipal courts, the construction of the Supreme Administrative Court, and the construction or renovation of three first instance admin</w:t>
      </w:r>
      <w:r>
        <w:rPr>
          <w:rFonts w:ascii="Times New Roman" w:hAnsi="Times New Roman"/>
          <w:noProof/>
          <w:sz w:val="24"/>
        </w:rPr>
        <w:t>istrative courts, three ordinary courts of appeal and three first instance ordinary courts.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The implementation of the investment shall be completed by 31 December 2024. </w:t>
      </w: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rFonts w:ascii="Times New Roman" w:hAnsi="Times New Roman"/>
          <w:noProof/>
          <w:sz w:val="24"/>
        </w:rPr>
      </w:pPr>
      <w:r>
        <w:rPr>
          <w:rFonts w:ascii="Times New Roman" w:hAnsi="Times New Roman"/>
          <w:b/>
          <w:noProof/>
          <w:sz w:val="24"/>
        </w:rPr>
        <w:t>Investment 2: Digitalisation and analytical capacities</w:t>
      </w:r>
      <w:r>
        <w:rPr>
          <w:rFonts w:ascii="Times New Roman" w:hAnsi="Times New Roman"/>
          <w:noProof/>
          <w:sz w:val="24"/>
        </w:rPr>
        <w:t xml:space="preserve">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judicial system has </w:t>
      </w:r>
      <w:r>
        <w:rPr>
          <w:rFonts w:ascii="Times New Roman" w:eastAsia="Times New Roman" w:hAnsi="Times New Roman"/>
          <w:noProof/>
          <w:sz w:val="24"/>
          <w:szCs w:val="24"/>
        </w:rPr>
        <w:t>signi</w:t>
      </w:r>
      <w:r>
        <w:rPr>
          <w:rFonts w:ascii="Times New Roman" w:eastAsia="Times New Roman" w:hAnsi="Times New Roman"/>
          <w:noProof/>
          <w:sz w:val="24"/>
          <w:szCs w:val="24"/>
        </w:rPr>
        <w:t>ficant room for improvement of the use</w:t>
      </w:r>
      <w:r>
        <w:rPr>
          <w:rFonts w:ascii="Times New Roman" w:hAnsi="Times New Roman"/>
          <w:noProof/>
          <w:sz w:val="24"/>
          <w:szCs w:val="24"/>
        </w:rPr>
        <w:t xml:space="preserve"> of digital technologies, in view of increasing effectiveness and transparency. This comprises ensuring digitally and centrally available court files and IT equipment in courts.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This investment shall further improve th</w:t>
      </w:r>
      <w:r>
        <w:rPr>
          <w:rFonts w:ascii="Times New Roman" w:hAnsi="Times New Roman"/>
          <w:noProof/>
          <w:sz w:val="24"/>
          <w:szCs w:val="24"/>
        </w:rPr>
        <w:t>e effectiveness of the judiciary by providing the reformed network with equipment for digital case handling, and by setting up the necessary systems. To this end, an electronic business register and an electronic, centralised judicial management system sha</w:t>
      </w:r>
      <w:r>
        <w:rPr>
          <w:rFonts w:ascii="Times New Roman" w:hAnsi="Times New Roman"/>
          <w:noProof/>
          <w:sz w:val="24"/>
          <w:szCs w:val="24"/>
        </w:rPr>
        <w:t xml:space="preserve">ll be set up. The latter shall allow for a fully electronic management of court files. It shall be complemented by an analytical support platform providing a digital, searchable case law database that shall aid judges and speed up decisions. As regards IT </w:t>
      </w:r>
      <w:r>
        <w:rPr>
          <w:rFonts w:ascii="Times New Roman" w:hAnsi="Times New Roman"/>
          <w:noProof/>
          <w:sz w:val="24"/>
          <w:szCs w:val="24"/>
        </w:rPr>
        <w:t>equipment, the investment shall equip at least 6 000 court staff with notebooks, docking stations, monitors and phones. The investment also comprises further necessary digital infrastructure for courts, such as video-conferencing technology and wireless in</w:t>
      </w:r>
      <w:r>
        <w:rPr>
          <w:rFonts w:ascii="Times New Roman" w:hAnsi="Times New Roman"/>
          <w:noProof/>
          <w:sz w:val="24"/>
          <w:szCs w:val="24"/>
        </w:rPr>
        <w:t>ternet.</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implementation of the investment shall be completed by 30 June 2026. </w:t>
      </w:r>
    </w:p>
    <w:p w:rsidR="00BF6749" w:rsidRDefault="00BF6749">
      <w:pPr>
        <w:spacing w:before="120" w:after="120" w:line="240" w:lineRule="auto"/>
        <w:jc w:val="both"/>
        <w:rPr>
          <w:rFonts w:ascii="Times New Roman" w:hAnsi="Times New Roman"/>
          <w:noProof/>
          <w:sz w:val="24"/>
        </w:rPr>
        <w:sectPr w:rsidR="00BF6749">
          <w:headerReference w:type="even" r:id="rId186"/>
          <w:headerReference w:type="default" r:id="rId187"/>
          <w:footerReference w:type="even" r:id="rId188"/>
          <w:footerReference w:type="default" r:id="rId189"/>
          <w:headerReference w:type="first" r:id="rId190"/>
          <w:footerReference w:type="first" r:id="rId191"/>
          <w:pgSz w:w="11907" w:h="16839"/>
          <w:pgMar w:top="1134" w:right="1418" w:bottom="1134" w:left="1418" w:header="709" w:footer="709" w:gutter="0"/>
          <w:cols w:space="720"/>
          <w:docGrid w:linePitch="360"/>
        </w:sectPr>
      </w:pP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 xml:space="preserve">Milestones, targets, indicators, and timetable for monitoring and implementation for non-repayable financial </w:t>
      </w:r>
      <w:r>
        <w:rPr>
          <w:rFonts w:ascii="Times New Roman" w:hAnsi="Times New Roman"/>
          <w:b/>
          <w:noProof/>
          <w:sz w:val="24"/>
          <w:u w:val="single"/>
        </w:rPr>
        <w:t>support</w:t>
      </w:r>
    </w:p>
    <w:p w:rsidR="00BF6749" w:rsidRDefault="00BF6749">
      <w:pPr>
        <w:spacing w:before="120" w:after="120" w:line="240" w:lineRule="auto"/>
        <w:ind w:left="850"/>
        <w:jc w:val="both"/>
        <w:rPr>
          <w:rFonts w:ascii="Times New Roman" w:hAnsi="Times New Roman"/>
          <w:i/>
          <w:iCs/>
          <w:noProof/>
          <w:color w:val="4F81BD"/>
          <w:sz w:val="24"/>
        </w:rPr>
      </w:pPr>
    </w:p>
    <w:tbl>
      <w:tblPr>
        <w:tblW w:w="0" w:type="auto"/>
        <w:tblInd w:w="120" w:type="dxa"/>
        <w:tblLayout w:type="fixed"/>
        <w:tblLook w:val="04A0" w:firstRow="1" w:lastRow="0" w:firstColumn="1" w:lastColumn="0" w:noHBand="0" w:noVBand="1"/>
      </w:tblPr>
      <w:tblGrid>
        <w:gridCol w:w="697"/>
        <w:gridCol w:w="1617"/>
        <w:gridCol w:w="1157"/>
        <w:gridCol w:w="1271"/>
        <w:gridCol w:w="1271"/>
        <w:gridCol w:w="1042"/>
        <w:gridCol w:w="957"/>
        <w:gridCol w:w="614"/>
        <w:gridCol w:w="700"/>
        <w:gridCol w:w="1294"/>
        <w:gridCol w:w="3946"/>
      </w:tblGrid>
      <w:tr w:rsidR="00BF6749">
        <w:trPr>
          <w:trHeight w:val="900"/>
        </w:trPr>
        <w:tc>
          <w:tcPr>
            <w:tcW w:w="69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61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Related measure (Reform or Investment)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15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271"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1271"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 </w:t>
            </w:r>
          </w:p>
        </w:tc>
        <w:tc>
          <w:tcPr>
            <w:tcW w:w="2613"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1994"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946"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Description and clear definition of each </w:t>
            </w:r>
            <w:r>
              <w:rPr>
                <w:rFonts w:ascii="Times New Roman" w:eastAsia="Times New Roman" w:hAnsi="Times New Roman"/>
                <w:b/>
                <w:bCs/>
                <w:noProof/>
                <w:sz w:val="20"/>
                <w:szCs w:val="20"/>
              </w:rPr>
              <w:t>milestone and target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r>
      <w:tr w:rsidR="00BF6749">
        <w:trPr>
          <w:trHeight w:val="990"/>
        </w:trPr>
        <w:tc>
          <w:tcPr>
            <w:tcW w:w="69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61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157"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271"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271"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Measurement unit</w:t>
            </w:r>
          </w:p>
        </w:tc>
        <w:tc>
          <w:tcPr>
            <w:tcW w:w="957"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Background</w:t>
            </w:r>
          </w:p>
        </w:tc>
        <w:tc>
          <w:tcPr>
            <w:tcW w:w="614"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Target</w:t>
            </w:r>
          </w:p>
        </w:tc>
        <w:tc>
          <w:tcPr>
            <w:tcW w:w="700"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1294"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3946"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r>
      <w:tr w:rsidR="00BF6749">
        <w:trPr>
          <w:trHeight w:val="123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15 – Reform of the judiciary – Reform 1:Reform of the Judicial Map – Legislation</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Definition of a new judicial map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Residences and districts Act</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2021</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entry into force of the legislative amendment shall define a new system of courts. </w:t>
            </w:r>
          </w:p>
          <w:p w:rsidR="00BF6749" w:rsidRDefault="00C87555">
            <w:pPr>
              <w:rPr>
                <w:rFonts w:ascii="Times New Roman" w:hAnsi="Times New Roman"/>
                <w:noProof/>
                <w:sz w:val="20"/>
                <w:szCs w:val="20"/>
              </w:rPr>
            </w:pPr>
            <w:r>
              <w:rPr>
                <w:rFonts w:ascii="Times New Roman" w:hAnsi="Times New Roman"/>
                <w:noProof/>
                <w:color w:val="006100"/>
                <w:sz w:val="20"/>
                <w:szCs w:val="20"/>
              </w:rPr>
              <w:t>The changes of judicial map shall adjust the network of first instance ordinary courts, create administrative courts, adjust ordinary courts of appeal and create the Su</w:t>
            </w:r>
            <w:r>
              <w:rPr>
                <w:rFonts w:ascii="Times New Roman" w:hAnsi="Times New Roman"/>
                <w:noProof/>
                <w:color w:val="006100"/>
                <w:sz w:val="20"/>
                <w:szCs w:val="20"/>
              </w:rPr>
              <w:t xml:space="preserve">preme Administrative Court of the Slovak Republic. </w:t>
            </w:r>
          </w:p>
        </w:tc>
      </w:tr>
      <w:tr w:rsidR="00BF6749">
        <w:trPr>
          <w:trHeight w:val="1230"/>
        </w:trPr>
        <w:tc>
          <w:tcPr>
            <w:tcW w:w="697"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w:t>
            </w:r>
          </w:p>
        </w:tc>
        <w:tc>
          <w:tcPr>
            <w:tcW w:w="1617"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15 – Reform of the judiciary – Reform 1:Reform of the Judicial Map – Legislation</w:t>
            </w:r>
          </w:p>
        </w:tc>
        <w:tc>
          <w:tcPr>
            <w:tcW w:w="1157"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271"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introduction of the new court network </w:t>
            </w:r>
          </w:p>
        </w:tc>
        <w:tc>
          <w:tcPr>
            <w:tcW w:w="1271"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Reorganized court network is operational</w:t>
            </w:r>
          </w:p>
        </w:tc>
        <w:tc>
          <w:tcPr>
            <w:tcW w:w="1042"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1294"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946" w:type="dxa"/>
            <w:tcBorders>
              <w:top w:val="single" w:sz="8" w:space="0" w:color="auto"/>
              <w:left w:val="single" w:sz="8" w:space="0" w:color="auto"/>
              <w:bottom w:val="single" w:sz="8" w:space="0" w:color="auto"/>
              <w:right w:val="single" w:sz="8" w:space="0" w:color="auto"/>
            </w:tcBorders>
            <w:shd w:val="clear" w:color="auto" w:fill="C6F1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The </w:t>
            </w:r>
            <w:r>
              <w:rPr>
                <w:rFonts w:ascii="Times New Roman" w:hAnsi="Times New Roman"/>
                <w:noProof/>
                <w:color w:val="006100"/>
                <w:sz w:val="20"/>
                <w:szCs w:val="20"/>
              </w:rPr>
              <w:t>transition of the administration of justice to a smaller number of courts is completed and judges have been designated to a specialisation (among civil, family, criminal and commercial law) in at least 3 court agendas in each new judicial district (Q1/2023</w:t>
            </w:r>
            <w:r>
              <w:rPr>
                <w:rFonts w:ascii="Times New Roman" w:hAnsi="Times New Roman"/>
                <w:noProof/>
                <w:color w:val="006100"/>
                <w:sz w:val="20"/>
                <w:szCs w:val="20"/>
              </w:rPr>
              <w:t>). The new network of first instance ordinary and administrative courts, the ordinary courts of appeal and the Supreme Administrative Court of the Slovak Republic (Q1/2023) is established and operational.</w:t>
            </w:r>
          </w:p>
        </w:tc>
      </w:tr>
      <w:tr w:rsidR="00BF6749">
        <w:trPr>
          <w:trHeight w:val="148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3</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15 – Reform of the judiciary – Investment 1: </w:t>
            </w:r>
            <w:r>
              <w:rPr>
                <w:rFonts w:ascii="Times New Roman" w:hAnsi="Times New Roman"/>
                <w:noProof/>
                <w:color w:val="006100"/>
                <w:sz w:val="20"/>
                <w:szCs w:val="20"/>
              </w:rPr>
              <w:t>reorganisation of courts – renovation of buildings</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Target</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Reconstructed area of court buildings in m²)</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Area (m2)</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77 500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Of the overall objective to reconstruct 86000 square metres of court buildings, at least 77500 square metres shall be recon</w:t>
            </w:r>
            <w:r>
              <w:rPr>
                <w:rFonts w:ascii="Times New Roman" w:hAnsi="Times New Roman"/>
                <w:noProof/>
                <w:color w:val="006100"/>
                <w:sz w:val="20"/>
                <w:szCs w:val="20"/>
              </w:rPr>
              <w:t>structed with a view to modernising and increasing their capacity as a result of the increase in judicial staff and judges in the merged judicial districts. The design documentation for reconstructions shall be prepared by Q2/2022.</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61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4</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15 – Reform of the </w:t>
            </w:r>
            <w:r>
              <w:rPr>
                <w:rFonts w:ascii="Times New Roman" w:hAnsi="Times New Roman"/>
                <w:noProof/>
                <w:color w:val="006100"/>
                <w:sz w:val="20"/>
                <w:szCs w:val="20"/>
              </w:rPr>
              <w:t>judiciary – Investment 1:Reorganisation of courts – Construction/procurement of new buildings</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Target</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Area of court buildings constructed or purchased ( in m²)</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Area (m2)</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80 500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Of the overall objective to construct or purchase 89216 square </w:t>
            </w:r>
            <w:r>
              <w:rPr>
                <w:rFonts w:ascii="Times New Roman" w:hAnsi="Times New Roman"/>
                <w:noProof/>
                <w:color w:val="006100"/>
                <w:sz w:val="20"/>
                <w:szCs w:val="20"/>
              </w:rPr>
              <w:t>metres of modern buildings for the needs of the largest courts in the judicial system (urban courts, certain appeal courts and administrative courts), at least 80500 square metres shall be constructed or purchased. The design documentation for reconstructi</w:t>
            </w:r>
            <w:r>
              <w:rPr>
                <w:rFonts w:ascii="Times New Roman" w:hAnsi="Times New Roman"/>
                <w:noProof/>
                <w:color w:val="006100"/>
                <w:sz w:val="20"/>
                <w:szCs w:val="20"/>
              </w:rPr>
              <w:t>ons shall be prepared by Q2/2022.</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214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5</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15 – Reform of the judiciary – Reform 2:Fighting corruption and strengthening the integrity and independence of the judiciary</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Package of laws to fight corruption and strengthen integrity and independence of </w:t>
            </w:r>
            <w:r>
              <w:rPr>
                <w:rFonts w:ascii="Times New Roman" w:hAnsi="Times New Roman"/>
                <w:noProof/>
                <w:color w:val="006100"/>
                <w:sz w:val="20"/>
                <w:szCs w:val="20"/>
              </w:rPr>
              <w:t>the justice system</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Judicial Reform Act, the Constitutional Act, the amended Act on the Public Prosecutor’s Office, the amended Criminal Code, and the Disciplinary Rules of the Supreme Administration of the Court of Justice of the Sl</w:t>
            </w:r>
            <w:r>
              <w:rPr>
                <w:rFonts w:ascii="Times New Roman" w:hAnsi="Times New Roman"/>
                <w:noProof/>
                <w:color w:val="006100"/>
                <w:sz w:val="20"/>
                <w:szCs w:val="20"/>
              </w:rPr>
              <w:t xml:space="preserve">ovak Republic </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Q3</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2021</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Act on the Management of Frozen Assets, the Judicial Reform Act, the Constitutional Act, the amended Act on the Public Prosecutor’s Office, and the amended criminal code. the adoption of the Disciplinary Rules for the Supreme Admini</w:t>
            </w:r>
            <w:r>
              <w:rPr>
                <w:rFonts w:ascii="Times New Roman" w:hAnsi="Times New Roman"/>
                <w:noProof/>
                <w:color w:val="006100"/>
                <w:sz w:val="20"/>
                <w:szCs w:val="20"/>
              </w:rPr>
              <w:t xml:space="preserve">strative Court of the Slovak Republic </w:t>
            </w:r>
          </w:p>
        </w:tc>
      </w:tr>
      <w:tr w:rsidR="00BF6749">
        <w:trPr>
          <w:trHeight w:val="100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6</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15 – Reform of the judiciary – Investment 2:Supporting instruments for reform of the Judicial Map – Commercial Register and Centralised System of Judicial Governance</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Development and handover of an IT </w:t>
            </w:r>
            <w:r>
              <w:rPr>
                <w:rFonts w:ascii="Times New Roman" w:hAnsi="Times New Roman"/>
                <w:noProof/>
                <w:color w:val="006100"/>
                <w:sz w:val="20"/>
                <w:szCs w:val="20"/>
              </w:rPr>
              <w:t>system – Business Register</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Full electronic communication of the Commercial Register with firms and courts </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Q3</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service of a modern IT system enabling entrepreneurs and courts to carry out business register activities fully electronical</w:t>
            </w:r>
            <w:r>
              <w:rPr>
                <w:rFonts w:ascii="Times New Roman" w:hAnsi="Times New Roman"/>
                <w:noProof/>
                <w:color w:val="006100"/>
                <w:sz w:val="20"/>
                <w:szCs w:val="20"/>
              </w:rPr>
              <w:t>ly.</w:t>
            </w:r>
          </w:p>
        </w:tc>
      </w:tr>
      <w:tr w:rsidR="00BF6749">
        <w:trPr>
          <w:trHeight w:val="2145"/>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7</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15 – Reform of the judiciary – Investment 2:Supporting instruments for reform of the Judicial Map – Commercial Register and Centralised System of Judicial Governance</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Development and handover of IS – Centralised Judicial Management System</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New court files can be handled digitally</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2025</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Entry into service of a modern IT system enabling the digital management of court files. The launch of a centralised judicial management system includes the migration of all courts’ existing data from </w:t>
            </w:r>
            <w:r>
              <w:rPr>
                <w:rFonts w:ascii="Times New Roman" w:hAnsi="Times New Roman"/>
                <w:noProof/>
                <w:color w:val="006100"/>
                <w:sz w:val="20"/>
                <w:szCs w:val="20"/>
              </w:rPr>
              <w:t>existing local databases, the digitalisation of all new court cases, the interconnection of all courts and links with other relevant public administration systems.</w:t>
            </w:r>
          </w:p>
        </w:tc>
      </w:tr>
      <w:tr w:rsidR="00BF6749">
        <w:trPr>
          <w:trHeight w:val="183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8</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15 – Reform of the judiciary – Investment 2: </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target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Modernisation of court IT equipment for the court staff </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Number</w:t>
            </w: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0</w:t>
            </w: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right"/>
              <w:rPr>
                <w:rFonts w:ascii="Times New Roman" w:hAnsi="Times New Roman"/>
                <w:noProof/>
                <w:sz w:val="20"/>
                <w:szCs w:val="20"/>
              </w:rPr>
            </w:pPr>
            <w:r>
              <w:rPr>
                <w:rFonts w:ascii="Times New Roman" w:hAnsi="Times New Roman"/>
                <w:noProof/>
                <w:color w:val="006100"/>
                <w:sz w:val="20"/>
                <w:szCs w:val="20"/>
              </w:rPr>
              <w:t xml:space="preserve"> 6 000</w:t>
            </w: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digital equipment of the courts to make their work more efficient, to equip them with technology for the efficient conduct of hearings and acts at a distance shall be pur</w:t>
            </w:r>
            <w:r>
              <w:rPr>
                <w:rFonts w:ascii="Times New Roman" w:hAnsi="Times New Roman"/>
                <w:noProof/>
                <w:color w:val="006100"/>
                <w:sz w:val="20"/>
                <w:szCs w:val="20"/>
              </w:rPr>
              <w:t>chased and delivered. Of the overall objective to equip 6100 court staff, the modernisation of IT equipment (new notebooks, docking stations, monitors, phones) will be carried out for at least 6 000  court staff as reorganised after the reform of the judic</w:t>
            </w:r>
            <w:r>
              <w:rPr>
                <w:rFonts w:ascii="Times New Roman" w:hAnsi="Times New Roman"/>
                <w:noProof/>
                <w:color w:val="006100"/>
                <w:sz w:val="20"/>
                <w:szCs w:val="20"/>
              </w:rPr>
              <w:t xml:space="preserve">ial map. </w:t>
            </w:r>
          </w:p>
        </w:tc>
      </w:tr>
      <w:tr w:rsidR="00BF6749">
        <w:trPr>
          <w:trHeight w:val="1380"/>
        </w:trPr>
        <w:tc>
          <w:tcPr>
            <w:tcW w:w="69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9</w:t>
            </w:r>
          </w:p>
        </w:tc>
        <w:tc>
          <w:tcPr>
            <w:tcW w:w="16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15 – Reform of the judiciary – Investment 2:Judicial Map Reform Support Tools – Analytic Support Platform</w:t>
            </w:r>
          </w:p>
        </w:tc>
        <w:tc>
          <w:tcPr>
            <w:tcW w:w="11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Creation of an analytical support platform for access to case law in courts</w:t>
            </w:r>
          </w:p>
        </w:tc>
        <w:tc>
          <w:tcPr>
            <w:tcW w:w="127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Analytical support platform is fully operational.</w:t>
            </w:r>
          </w:p>
        </w:tc>
        <w:tc>
          <w:tcPr>
            <w:tcW w:w="104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95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61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70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129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94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analytical support platform on case law is operational and available to courts, enabling judges to use the case law database in order to speed up the process of studying files.</w:t>
            </w:r>
          </w:p>
        </w:tc>
      </w:tr>
    </w:tbl>
    <w:p w:rsidR="00BF6749" w:rsidRDefault="00BF6749">
      <w:pPr>
        <w:spacing w:before="120" w:after="120" w:line="240" w:lineRule="auto"/>
        <w:jc w:val="both"/>
        <w:rPr>
          <w:rFonts w:ascii="Times New Roman" w:hAnsi="Times New Roman"/>
          <w:noProof/>
          <w:sz w:val="24"/>
          <w:szCs w:val="24"/>
        </w:rPr>
        <w:sectPr w:rsidR="00BF6749">
          <w:headerReference w:type="even" r:id="rId192"/>
          <w:headerReference w:type="default" r:id="rId193"/>
          <w:footerReference w:type="even" r:id="rId194"/>
          <w:footerReference w:type="default" r:id="rId195"/>
          <w:headerReference w:type="first" r:id="rId196"/>
          <w:footerReference w:type="first" r:id="rId197"/>
          <w:pgSz w:w="16839" w:h="11907" w:orient="landscape"/>
          <w:pgMar w:top="568" w:right="1134" w:bottom="1418" w:left="1134" w:header="709" w:footer="709" w:gutter="0"/>
          <w:cols w:space="720"/>
          <w:docGrid w:linePitch="360"/>
        </w:sectPr>
      </w:pPr>
    </w:p>
    <w:p w:rsidR="00BF6749" w:rsidRDefault="00C87555">
      <w:pPr>
        <w:keepNext/>
        <w:tabs>
          <w:tab w:val="left" w:pos="850"/>
        </w:tabs>
        <w:spacing w:before="120" w:after="120" w:line="240" w:lineRule="auto"/>
        <w:jc w:val="both"/>
        <w:outlineLvl w:val="0"/>
        <w:rPr>
          <w:rFonts w:ascii="Times New Roman" w:hAnsi="Times New Roman"/>
          <w:b/>
          <w:smallCaps/>
          <w:noProof/>
          <w:sz w:val="24"/>
        </w:rPr>
      </w:pPr>
      <w:r>
        <w:rPr>
          <w:rFonts w:ascii="Times New Roman" w:hAnsi="Times New Roman"/>
          <w:b/>
          <w:smallCaps/>
          <w:noProof/>
          <w:sz w:val="24"/>
        </w:rPr>
        <w:t>COMPONENT 16: Fight against corruption and money laundering, security and protection of the population</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Slovakia ranks poorly in corruption perception indicators and trust in the police. Governance is fragmented and has limited capacity, hindering public se</w:t>
      </w:r>
      <w:r>
        <w:rPr>
          <w:rFonts w:ascii="Times New Roman" w:hAnsi="Times New Roman"/>
          <w:noProof/>
          <w:sz w:val="24"/>
        </w:rPr>
        <w:t xml:space="preserve">rvice delivery and public investment, and financial crime is insufficiently tackled.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key objectives of this component 16 of the Slovak recovery and resilience plan are to strengthen efforts to detect and prosecute corruption, fight against environment</w:t>
      </w:r>
      <w:r>
        <w:rPr>
          <w:rFonts w:ascii="Times New Roman" w:hAnsi="Times New Roman"/>
          <w:noProof/>
          <w:sz w:val="24"/>
        </w:rPr>
        <w:t xml:space="preserve">al crime, step up capacities of anti-money laundering efforts, optimise crisis management and strengthen administrative capacities at different levels of the government.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w:t>
      </w:r>
      <w:r>
        <w:rPr>
          <w:rFonts w:ascii="Times New Roman" w:hAnsi="Times New Roman"/>
          <w:noProof/>
          <w:sz w:val="24"/>
          <w:szCs w:val="24"/>
        </w:rPr>
        <w:t>al objectives within the meaning of Article 17 of Regulation (EU) 2020/852, taking into account the description of the measures and the mitigating steps set out in the recovery and resilience plan in accordance with the DNSH Technical Guidance (2021/C58/01</w:t>
      </w:r>
      <w:r>
        <w:rPr>
          <w:rFonts w:ascii="Times New Roman" w:hAnsi="Times New Roman"/>
          <w:noProof/>
          <w:sz w:val="24"/>
          <w:szCs w:val="24"/>
        </w:rPr>
        <w:t xml:space="preserve">).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It thereby contributes to addressing Country Specific Recommendation 4 of 2020, in particular to ensure effective supervision and enforcement of the anti-money laundering framework, and to ensure a favourable business environment and quality public </w:t>
      </w:r>
      <w:r>
        <w:rPr>
          <w:rFonts w:ascii="Times New Roman" w:hAnsi="Times New Roman"/>
          <w:noProof/>
          <w:sz w:val="24"/>
        </w:rPr>
        <w:t>services. Country Specific Recommendation 4 of 2019 is also addressed, including as regards increased efforts to detect and prosecute corruption.</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1: Making the fight against corruption and money laundering more effective</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New trends in international </w:t>
      </w:r>
      <w:r>
        <w:rPr>
          <w:rFonts w:ascii="Times New Roman" w:hAnsi="Times New Roman"/>
          <w:noProof/>
          <w:sz w:val="24"/>
        </w:rPr>
        <w:t xml:space="preserve">organised crime, including misuse of legal entities for money laundering purposes, are putting pressure on Slovakia to upgrade its anti-money laundering framework in order to prevent and combat economic crime.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This reform aims at enhancing the fight again</w:t>
      </w:r>
      <w:r>
        <w:rPr>
          <w:rFonts w:ascii="Times New Roman" w:hAnsi="Times New Roman"/>
          <w:noProof/>
          <w:sz w:val="24"/>
        </w:rPr>
        <w:t>st money laundering and corruption. It shall improve the legal framework for asset freezing including the setting up of an office managing such assets and the competence of the police to verify their origin. It shall also introduce a central accounts regis</w:t>
      </w:r>
      <w:r>
        <w:rPr>
          <w:rFonts w:ascii="Times New Roman" w:hAnsi="Times New Roman"/>
          <w:noProof/>
          <w:sz w:val="24"/>
        </w:rPr>
        <w:t xml:space="preserve">ter.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completed by 31 March 2022.</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1: Tools and capacity for the fight against corruption and money laundering</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fight against corruption and money laundering requires appropriate tools, including digit</w:t>
      </w:r>
      <w:r>
        <w:rPr>
          <w:rFonts w:ascii="Times New Roman" w:hAnsi="Times New Roman"/>
          <w:noProof/>
          <w:sz w:val="24"/>
        </w:rPr>
        <w:t>al solutions, and capacities.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This investment shall provide several tools and capacity building measures to support reform 1. This shall include digital software solutions for financial investigations and for the central accounts register. Financial invest</w:t>
      </w:r>
      <w:r>
        <w:rPr>
          <w:rFonts w:ascii="Times New Roman" w:hAnsi="Times New Roman"/>
          <w:noProof/>
          <w:sz w:val="24"/>
          <w:szCs w:val="24"/>
        </w:rPr>
        <w:t>igations capacities in the police force shall be strengthened through trainings and equipment as well as a reorganisation, which shall create the National Centre for Special Crimes (NCODK) together with the regional offices and analytical services of the N</w:t>
      </w:r>
      <w:r>
        <w:rPr>
          <w:rFonts w:ascii="Times New Roman" w:hAnsi="Times New Roman"/>
          <w:noProof/>
          <w:sz w:val="24"/>
          <w:szCs w:val="24"/>
        </w:rPr>
        <w:t>ational Criminal Agency (NAKA). In addition, steps shall be taken to make the whistleblower’s office fully operational, in order to support the fight against corruption. This includes the provision of technical equipment.</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investme</w:t>
      </w:r>
      <w:r>
        <w:rPr>
          <w:rFonts w:ascii="Times New Roman" w:hAnsi="Times New Roman"/>
          <w:noProof/>
          <w:sz w:val="24"/>
        </w:rPr>
        <w:t>nt shall be completed by 31 December 2023.</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2: Modernising and building capacity of the police force</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structures and capacities of the police force are outdated and lack specialised services dealing with new forms of crime and criminal analysis. T</w:t>
      </w:r>
      <w:r>
        <w:rPr>
          <w:rFonts w:ascii="Times New Roman" w:hAnsi="Times New Roman"/>
          <w:noProof/>
          <w:sz w:val="24"/>
        </w:rPr>
        <w:t>he reform shall overhaul the organisation of the police force, strengthening analytical capacities and a crime technology service as well as environmental crime investigations. It shall set up a criminal engineer service, criminal analysis units and a unit</w:t>
      </w:r>
      <w:r>
        <w:rPr>
          <w:rFonts w:ascii="Times New Roman" w:hAnsi="Times New Roman"/>
          <w:noProof/>
          <w:sz w:val="24"/>
        </w:rPr>
        <w:t xml:space="preserve"> to combat environmental crime and staff and equip it appropriately.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completed by 31 December 2021.</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2: Equipping and digitalising the police force</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Insufficient digitalisation of the police force leads </w:t>
      </w:r>
      <w:r>
        <w:rPr>
          <w:rFonts w:ascii="Times New Roman" w:hAnsi="Times New Roman"/>
          <w:noProof/>
          <w:sz w:val="24"/>
        </w:rPr>
        <w:t>to inefficiencies in several areas. The reorganisation (of reform 2) requires retraining, renovations and additional equipment.</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This investment shall build capacities of the police force and digitalise processes in order to make it more effective. Training</w:t>
      </w:r>
      <w:r>
        <w:rPr>
          <w:rFonts w:ascii="Times New Roman" w:hAnsi="Times New Roman"/>
          <w:noProof/>
          <w:sz w:val="24"/>
        </w:rPr>
        <w:t xml:space="preserve"> and equipment shall be provided to at least 310 staff in the units established under reform 2 of this component, </w:t>
      </w:r>
      <w:r>
        <w:rPr>
          <w:rFonts w:ascii="Times New Roman" w:hAnsi="Times New Roman"/>
          <w:i/>
          <w:noProof/>
          <w:sz w:val="24"/>
        </w:rPr>
        <w:t>Modernising and building capacity of the police force</w:t>
      </w:r>
      <w:r>
        <w:rPr>
          <w:rFonts w:ascii="Times New Roman" w:hAnsi="Times New Roman"/>
          <w:noProof/>
          <w:sz w:val="24"/>
        </w:rPr>
        <w:t xml:space="preserve">. Police buildings with a floor area of at least 45 000 m2 shall be renovated, achieving </w:t>
      </w:r>
      <w:r>
        <w:rPr>
          <w:rFonts w:ascii="Times New Roman" w:hAnsi="Times New Roman"/>
          <w:noProof/>
          <w:sz w:val="24"/>
        </w:rPr>
        <w:t>on average at least 30 % primary energy savings, and at least 700 clean vehicles purchased. Digitalisation efforts shall include setting up an automated road traffic infringement system and an electronic residence permit process.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The implementation of the investment shall be completed by 30 June 2026. </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3: Optimising crisis management</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Multiple crises, including the pandemic, have shown weaknesses in crisis response mechanisms.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This reform shall optimise crisis management and </w:t>
      </w:r>
      <w:r>
        <w:rPr>
          <w:rFonts w:ascii="Times New Roman" w:hAnsi="Times New Roman"/>
          <w:noProof/>
          <w:sz w:val="24"/>
        </w:rPr>
        <w:t>respective capacities and the efficient coordination of rescue services. This shall include a clear definition of the roles and cooperative arrangements of the emergency response services of the integrated rescue system, the establishment of common procedu</w:t>
      </w:r>
      <w:r>
        <w:rPr>
          <w:rFonts w:ascii="Times New Roman" w:hAnsi="Times New Roman"/>
          <w:noProof/>
          <w:sz w:val="24"/>
        </w:rPr>
        <w:t xml:space="preserve">res for crisis reaction, and a joint coordination mechanism. It shall also lay out a network of Integrated Security Centres (see investment 2 of this component, </w:t>
      </w:r>
      <w:r>
        <w:rPr>
          <w:rFonts w:ascii="Times New Roman" w:hAnsi="Times New Roman"/>
          <w:i/>
          <w:noProof/>
          <w:sz w:val="24"/>
        </w:rPr>
        <w:t>Equipping and digitalising the police force</w:t>
      </w:r>
      <w:r>
        <w:rPr>
          <w:rFonts w:ascii="Times New Roman" w:hAnsi="Times New Roman"/>
          <w:noProof/>
          <w:sz w:val="24"/>
        </w:rPr>
        <w:t>).</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w:t>
      </w:r>
      <w:r>
        <w:rPr>
          <w:rFonts w:ascii="Times New Roman" w:hAnsi="Times New Roman"/>
          <w:noProof/>
          <w:sz w:val="24"/>
        </w:rPr>
        <w:t>ed by 31 March 2023.</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3: Modernisation of the fire and rescue system</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Integrated crisis management requires appropriate infrastructure for its coordination. Outdated and fragmented communication and information infrastructure of the emergency resp</w:t>
      </w:r>
      <w:r>
        <w:rPr>
          <w:rFonts w:ascii="Times New Roman" w:hAnsi="Times New Roman"/>
          <w:noProof/>
          <w:sz w:val="24"/>
        </w:rPr>
        <w:t>onse services slows down crisis response. In addition, part of the fire rescue service infrastructure is in unsatisfactory technical condition.</w:t>
      </w:r>
    </w:p>
    <w:p w:rsidR="00BF6749" w:rsidRDefault="00C87555">
      <w:pPr>
        <w:spacing w:before="120" w:after="120" w:line="240" w:lineRule="auto"/>
        <w:jc w:val="both"/>
        <w:rPr>
          <w:rFonts w:ascii="Times New Roman" w:hAnsi="Times New Roman"/>
          <w:b/>
          <w:noProof/>
          <w:sz w:val="24"/>
        </w:rPr>
      </w:pPr>
      <w:r>
        <w:rPr>
          <w:rFonts w:ascii="Times New Roman" w:hAnsi="Times New Roman"/>
          <w:noProof/>
          <w:sz w:val="24"/>
        </w:rPr>
        <w:t>This investment aims at providing the necessary physical and digital infrastructure for full implementation of r</w:t>
      </w:r>
      <w:r>
        <w:rPr>
          <w:rFonts w:ascii="Times New Roman" w:hAnsi="Times New Roman"/>
          <w:noProof/>
          <w:sz w:val="24"/>
        </w:rPr>
        <w:t xml:space="preserve">eform 3 of this component, </w:t>
      </w:r>
      <w:r>
        <w:rPr>
          <w:rFonts w:ascii="Times New Roman" w:hAnsi="Times New Roman"/>
          <w:i/>
          <w:noProof/>
          <w:sz w:val="24"/>
        </w:rPr>
        <w:t>Optimising crisis management</w:t>
      </w:r>
      <w:r>
        <w:rPr>
          <w:rFonts w:ascii="Times New Roman" w:hAnsi="Times New Roman"/>
          <w:noProof/>
          <w:sz w:val="24"/>
        </w:rPr>
        <w:t>. To this end, it shall support the construction of two new building housing new Integrated Service Centres, as well as interoperable IT technology for all rescue services. In addition, at least four n</w:t>
      </w:r>
      <w:r>
        <w:rPr>
          <w:rFonts w:ascii="Times New Roman" w:hAnsi="Times New Roman"/>
          <w:noProof/>
          <w:sz w:val="24"/>
        </w:rPr>
        <w:t>ew firefighting stations shall be built and at least 3 renovated and modernised. Renovations shall achieve on average at least 30 % primary energy savings.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investment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4: Streamlining,</w:t>
      </w:r>
      <w:r>
        <w:rPr>
          <w:rFonts w:ascii="Times New Roman" w:hAnsi="Times New Roman"/>
          <w:b/>
          <w:noProof/>
          <w:sz w:val="24"/>
        </w:rPr>
        <w:t xml:space="preserve"> optimising and strengthening administrative capacity at different levels of government</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Public investment is held back by a lack of administrative capacity in implementation at several levels. Sizeable investment envisaged in the plan implies the need to f</w:t>
      </w:r>
      <w:r>
        <w:rPr>
          <w:rFonts w:ascii="Times New Roman" w:hAnsi="Times New Roman"/>
          <w:noProof/>
          <w:sz w:val="24"/>
        </w:rPr>
        <w:t xml:space="preserve">urther increase capacities for managing these investments. In addition, service delivery is hampered by fragmented governance at municipal level.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This reform shall strengthen administrative capacities both at local level and at national level for implemen</w:t>
      </w:r>
      <w:r>
        <w:rPr>
          <w:rFonts w:ascii="Times New Roman" w:hAnsi="Times New Roman"/>
          <w:noProof/>
          <w:sz w:val="24"/>
        </w:rPr>
        <w:t xml:space="preserve">ting the reforms and investments of the Slovak recovery and resilience plan. To this end, the National Implementation and Coordination Authority for the Slovak RRP (NIKA) shall be set up. The entering into force of the Recovery and Resilience Facility Act </w:t>
      </w:r>
      <w:r>
        <w:rPr>
          <w:rFonts w:ascii="Times New Roman" w:hAnsi="Times New Roman"/>
          <w:noProof/>
          <w:sz w:val="24"/>
        </w:rPr>
        <w:t>shall be in place by the time of the first payment request and at that moment not depart in any material way from the description provided in the final Slovak plan. A repository system for recording and storing all relevant data related to the implementati</w:t>
      </w:r>
      <w:r>
        <w:rPr>
          <w:rFonts w:ascii="Times New Roman" w:hAnsi="Times New Roman"/>
          <w:noProof/>
          <w:sz w:val="24"/>
        </w:rPr>
        <w:t>on of the recovery and resilience plan - the achievement of milestones and targets, data on final recipients, contractors, subcontractors and beneficial owners - should be confirmed to be operational by 31 December 2021. Slovakia shall submit a dedicated a</w:t>
      </w:r>
      <w:r>
        <w:rPr>
          <w:rFonts w:ascii="Times New Roman" w:hAnsi="Times New Roman"/>
          <w:noProof/>
          <w:sz w:val="24"/>
        </w:rPr>
        <w:t xml:space="preserve">udit report confirming the effectiveness of the functionalities of the repository system.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Media and communication activities are also expected to be supported. At local level, at least 20 shared service centres shall be set up to improve the efficiency of</w:t>
      </w:r>
      <w:r>
        <w:rPr>
          <w:rFonts w:ascii="Times New Roman" w:hAnsi="Times New Roman"/>
          <w:noProof/>
          <w:sz w:val="24"/>
        </w:rPr>
        <w:t xml:space="preserve"> public service delivery at the local level, particularly in disadvantaged regions. Moreover, to enhance public staff skills, a learning platform shall be set up and both current and transferred or newly recruited staff shall receive training.</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Recovery</w:t>
      </w:r>
      <w:r>
        <w:rPr>
          <w:rFonts w:ascii="Times New Roman" w:hAnsi="Times New Roman"/>
          <w:noProof/>
          <w:sz w:val="24"/>
          <w:szCs w:val="24"/>
        </w:rPr>
        <w:t xml:space="preserve"> and Resilience Facility Act shall enter into force by 31 December 2021. Audit report confirming repository system functionalities shall be completed by 31 December 2021. The IT system for NIKA shall be functional by 30 September 2022. At least 20 shared s</w:t>
      </w:r>
      <w:r>
        <w:rPr>
          <w:rFonts w:ascii="Times New Roman" w:hAnsi="Times New Roman"/>
          <w:noProof/>
          <w:sz w:val="24"/>
          <w:szCs w:val="24"/>
        </w:rPr>
        <w:t>ervice centres shall be established by 31 December 2024. Trainings are expected to start on 1 January 2023 and shall be completed by 30 June 2026.</w:t>
      </w:r>
    </w:p>
    <w:p w:rsidR="00BF6749" w:rsidRDefault="00BF6749">
      <w:pPr>
        <w:spacing w:before="120" w:after="120" w:line="240" w:lineRule="auto"/>
        <w:ind w:left="567"/>
        <w:jc w:val="both"/>
        <w:rPr>
          <w:rFonts w:ascii="Times New Roman" w:hAnsi="Times New Roman"/>
          <w:noProof/>
          <w:sz w:val="24"/>
        </w:rPr>
      </w:pPr>
    </w:p>
    <w:p w:rsidR="00BF6749" w:rsidRDefault="00BF6749">
      <w:pPr>
        <w:spacing w:before="120" w:after="120" w:line="240" w:lineRule="auto"/>
        <w:jc w:val="both"/>
        <w:rPr>
          <w:rFonts w:ascii="Times New Roman" w:hAnsi="Times New Roman"/>
          <w:noProof/>
          <w:sz w:val="24"/>
        </w:rPr>
        <w:sectPr w:rsidR="00BF6749">
          <w:headerReference w:type="even" r:id="rId198"/>
          <w:headerReference w:type="default" r:id="rId199"/>
          <w:footerReference w:type="even" r:id="rId200"/>
          <w:footerReference w:type="default" r:id="rId201"/>
          <w:headerReference w:type="first" r:id="rId202"/>
          <w:footerReference w:type="first" r:id="rId203"/>
          <w:pgSz w:w="11907" w:h="16839"/>
          <w:pgMar w:top="1134" w:right="1418" w:bottom="1134" w:left="1418" w:header="709" w:footer="709" w:gutter="0"/>
          <w:cols w:space="720"/>
          <w:docGrid w:linePitch="360"/>
        </w:sectPr>
      </w:pP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ind w:left="850"/>
        <w:jc w:val="both"/>
        <w:rPr>
          <w:rFonts w:ascii="Times New Roman" w:hAnsi="Times New Roman"/>
          <w:b/>
          <w:bCs/>
          <w:noProof/>
          <w:sz w:val="24"/>
          <w:szCs w:val="24"/>
          <w:u w:val="single"/>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 xml:space="preserve">Milestones, targets, indicators, and </w:t>
      </w:r>
      <w:r>
        <w:rPr>
          <w:rFonts w:ascii="Times New Roman" w:hAnsi="Times New Roman"/>
          <w:b/>
          <w:bCs/>
          <w:noProof/>
          <w:sz w:val="24"/>
          <w:szCs w:val="24"/>
          <w:u w:val="single"/>
        </w:rPr>
        <w:t>timetable for monitoring and implementation for non-repayable financial support</w:t>
      </w:r>
    </w:p>
    <w:p w:rsidR="00BF6749" w:rsidRDefault="00BF6749">
      <w:pPr>
        <w:spacing w:before="120" w:after="120" w:line="240" w:lineRule="auto"/>
        <w:ind w:left="850"/>
        <w:jc w:val="both"/>
        <w:rPr>
          <w:rFonts w:ascii="Times New Roman" w:hAnsi="Times New Roman"/>
          <w:b/>
          <w:bCs/>
          <w:noProof/>
          <w:sz w:val="24"/>
          <w:szCs w:val="24"/>
          <w:u w:val="single"/>
        </w:rPr>
      </w:pPr>
    </w:p>
    <w:tbl>
      <w:tblPr>
        <w:tblW w:w="14560" w:type="dxa"/>
        <w:tblLayout w:type="fixed"/>
        <w:tblLook w:val="04A0" w:firstRow="1" w:lastRow="0" w:firstColumn="1" w:lastColumn="0" w:noHBand="0" w:noVBand="1"/>
      </w:tblPr>
      <w:tblGrid>
        <w:gridCol w:w="817"/>
        <w:gridCol w:w="1423"/>
        <w:gridCol w:w="1120"/>
        <w:gridCol w:w="1001"/>
        <w:gridCol w:w="1239"/>
        <w:gridCol w:w="1120"/>
        <w:gridCol w:w="1326"/>
        <w:gridCol w:w="993"/>
        <w:gridCol w:w="1275"/>
        <w:gridCol w:w="851"/>
        <w:gridCol w:w="3395"/>
      </w:tblGrid>
      <w:tr w:rsidR="00BF6749">
        <w:trPr>
          <w:trHeight w:val="900"/>
        </w:trPr>
        <w:tc>
          <w:tcPr>
            <w:tcW w:w="817"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Seq. Num.</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c>
          <w:tcPr>
            <w:tcW w:w="1423"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Related measure (Reform or Investment)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c>
          <w:tcPr>
            <w:tcW w:w="1120"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Milestone / Target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c>
          <w:tcPr>
            <w:tcW w:w="1001"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Name</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c>
          <w:tcPr>
            <w:tcW w:w="1239"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Qualitative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milestones)</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c>
          <w:tcPr>
            <w:tcW w:w="3439"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Quantitative indicators</w:t>
            </w:r>
            <w:r>
              <w:rPr>
                <w:rFonts w:ascii="Times New Roman" w:hAnsi="Times New Roman"/>
                <w:noProof/>
                <w:sz w:val="20"/>
                <w:szCs w:val="20"/>
              </w:rPr>
              <w:t xml:space="preserve">  </w:t>
            </w:r>
            <w:r>
              <w:rPr>
                <w:rFonts w:ascii="Times New Roman" w:eastAsia="Times New Roman" w:hAnsi="Times New Roman"/>
                <w:b/>
                <w:bCs/>
                <w:noProof/>
                <w:sz w:val="20"/>
                <w:szCs w:val="20"/>
              </w:rPr>
              <w:t xml:space="preserve"> (for targets)</w:t>
            </w:r>
          </w:p>
        </w:tc>
        <w:tc>
          <w:tcPr>
            <w:tcW w:w="2126"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 xml:space="preserve">Indicative timeline for completion </w:t>
            </w:r>
          </w:p>
        </w:tc>
        <w:tc>
          <w:tcPr>
            <w:tcW w:w="3395" w:type="dxa"/>
            <w:vMerge w:val="restart"/>
            <w:tcBorders>
              <w:top w:val="single" w:sz="8" w:space="0" w:color="auto"/>
              <w:left w:val="nil"/>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Description and clear definition of each milestone and target</w:t>
            </w:r>
          </w:p>
          <w:p w:rsidR="00BF6749" w:rsidRDefault="00C87555">
            <w:pPr>
              <w:rPr>
                <w:rFonts w:ascii="Times New Roman" w:hAnsi="Times New Roman"/>
                <w:noProof/>
                <w:sz w:val="20"/>
                <w:szCs w:val="20"/>
              </w:rPr>
            </w:pPr>
            <w:r>
              <w:rPr>
                <w:rFonts w:ascii="Times New Roman" w:eastAsia="Times New Roman" w:hAnsi="Times New Roman"/>
                <w:noProof/>
                <w:sz w:val="20"/>
                <w:szCs w:val="20"/>
              </w:rPr>
              <w:t xml:space="preserve"> </w:t>
            </w:r>
          </w:p>
        </w:tc>
      </w:tr>
      <w:tr w:rsidR="00BF6749">
        <w:trPr>
          <w:trHeight w:val="540"/>
        </w:trPr>
        <w:tc>
          <w:tcPr>
            <w:tcW w:w="817"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c>
          <w:tcPr>
            <w:tcW w:w="1423"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c>
          <w:tcPr>
            <w:tcW w:w="1120"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c>
          <w:tcPr>
            <w:tcW w:w="1001"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c>
          <w:tcPr>
            <w:tcW w:w="1239"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Measurement unit</w:t>
            </w:r>
          </w:p>
        </w:tc>
        <w:tc>
          <w:tcPr>
            <w:tcW w:w="1326"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Background</w:t>
            </w:r>
          </w:p>
        </w:tc>
        <w:tc>
          <w:tcPr>
            <w:tcW w:w="993"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Target</w:t>
            </w:r>
          </w:p>
        </w:tc>
        <w:tc>
          <w:tcPr>
            <w:tcW w:w="1275"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851" w:type="dxa"/>
            <w:tcBorders>
              <w:top w:val="nil"/>
              <w:left w:val="nil"/>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3395" w:type="dxa"/>
            <w:vMerge/>
            <w:tcBorders>
              <w:left w:val="single" w:sz="8" w:space="0" w:color="auto"/>
              <w:bottom w:val="single" w:sz="8" w:space="0" w:color="auto"/>
              <w:right w:val="single" w:sz="8" w:space="0" w:color="auto"/>
            </w:tcBorders>
            <w:shd w:val="clear" w:color="auto" w:fill="BDD7EE"/>
            <w:vAlign w:val="center"/>
          </w:tcPr>
          <w:p w:rsidR="00BF6749" w:rsidRDefault="00BF6749">
            <w:pPr>
              <w:rPr>
                <w:rFonts w:ascii="Times New Roman" w:hAnsi="Times New Roman"/>
                <w:noProof/>
                <w:sz w:val="20"/>
                <w:szCs w:val="20"/>
              </w:rPr>
            </w:pPr>
          </w:p>
        </w:tc>
      </w:tr>
      <w:tr w:rsidR="00BF6749">
        <w:trPr>
          <w:trHeight w:val="11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16  – Fight against corruption and money laundering - Reform 1:Making the fight against corruption and AML more effective</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Reforms to streamline and improve financial investigations </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act 312/2020 on asset fre</w:t>
            </w:r>
            <w:r>
              <w:rPr>
                <w:rFonts w:ascii="Times New Roman" w:hAnsi="Times New Roman"/>
                <w:noProof/>
                <w:color w:val="006100"/>
                <w:sz w:val="20"/>
                <w:szCs w:val="20"/>
              </w:rPr>
              <w:t xml:space="preserve">ezing and of an act establishing a Central Accounts Register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legislation which shall establish a framework for the entry into operation of the Central Accounts Register. The police’s authority to check property in the</w:t>
            </w:r>
            <w:r>
              <w:rPr>
                <w:rFonts w:ascii="Times New Roman" w:hAnsi="Times New Roman"/>
                <w:noProof/>
                <w:color w:val="006100"/>
                <w:sz w:val="20"/>
                <w:szCs w:val="20"/>
              </w:rPr>
              <w:t xml:space="preserve"> event of a discrepancy between legal income and used property will be expanded. An office for the management of seized assets is operational and possibilities for asset freezing expanded.</w:t>
            </w:r>
          </w:p>
        </w:tc>
      </w:tr>
      <w:tr w:rsidR="00BF6749">
        <w:trPr>
          <w:trHeight w:val="11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corruption and money laundering - Investment </w:t>
            </w:r>
            <w:r>
              <w:rPr>
                <w:rFonts w:ascii="Times New Roman" w:hAnsi="Times New Roman"/>
                <w:noProof/>
                <w:color w:val="006100"/>
                <w:sz w:val="20"/>
                <w:szCs w:val="20"/>
              </w:rPr>
              <w:t>1:</w:t>
            </w:r>
            <w:r>
              <w:rPr>
                <w:rFonts w:ascii="Times New Roman" w:hAnsi="Times New Roman"/>
                <w:noProof/>
                <w:color w:val="006100"/>
                <w:sz w:val="20"/>
                <w:szCs w:val="20"/>
                <w:lang w:val="en-US"/>
              </w:rPr>
              <w:t>Tools and capacity for the fight against corruption and money laundering</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Providing necessary Infrastructure to support the fight against money laundering and corruption </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AML-related and whistleblower infrastructure is fully operational.</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Completion of the following steps: </w:t>
            </w:r>
          </w:p>
          <w:p w:rsidR="00BF6749" w:rsidRDefault="00C87555">
            <w:pPr>
              <w:jc w:val="both"/>
              <w:rPr>
                <w:rFonts w:ascii="Times New Roman" w:hAnsi="Times New Roman"/>
                <w:noProof/>
                <w:sz w:val="20"/>
                <w:szCs w:val="20"/>
              </w:rPr>
            </w:pPr>
            <w:r>
              <w:rPr>
                <w:rFonts w:ascii="Times New Roman" w:hAnsi="Times New Roman"/>
                <w:noProof/>
                <w:color w:val="006100"/>
                <w:sz w:val="20"/>
                <w:szCs w:val="20"/>
              </w:rPr>
              <w:t xml:space="preserve">- Purchase of the “go AML” software tool until Q4/2022 and implementing it by Q3/2023. </w:t>
            </w:r>
          </w:p>
          <w:p w:rsidR="00BF6749" w:rsidRDefault="00C87555">
            <w:pPr>
              <w:jc w:val="both"/>
              <w:rPr>
                <w:rFonts w:ascii="Times New Roman" w:hAnsi="Times New Roman"/>
                <w:noProof/>
                <w:sz w:val="20"/>
                <w:szCs w:val="20"/>
              </w:rPr>
            </w:pPr>
            <w:r>
              <w:rPr>
                <w:rFonts w:ascii="Times New Roman" w:hAnsi="Times New Roman"/>
                <w:noProof/>
                <w:color w:val="006100"/>
                <w:sz w:val="20"/>
                <w:szCs w:val="20"/>
              </w:rPr>
              <w:t>- Launch of a test version of the Central Accounts Register with all in the Act predefined functionalities with access to data</w:t>
            </w:r>
            <w:r>
              <w:rPr>
                <w:rFonts w:ascii="Times New Roman" w:hAnsi="Times New Roman"/>
                <w:noProof/>
                <w:color w:val="006100"/>
                <w:sz w:val="20"/>
                <w:szCs w:val="20"/>
              </w:rPr>
              <w:t xml:space="preserve"> up to Q2/2022 and subsequent launch of the final version in Q4/2022.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Operationalisation and full technical equipment of the whistle-blower protection office until Q3/2022.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Launch of the LISA (Central Information System Police Data Collection System </w:t>
            </w:r>
            <w:r>
              <w:rPr>
                <w:rFonts w:ascii="Times New Roman" w:hAnsi="Times New Roman"/>
                <w:noProof/>
                <w:color w:val="006100"/>
                <w:sz w:val="20"/>
                <w:szCs w:val="20"/>
              </w:rPr>
              <w:t>– single platform for financial investigation services – NAKA, NCODK, FSJ) by Q4/2023.</w:t>
            </w:r>
          </w:p>
          <w:p w:rsidR="00BF6749" w:rsidRDefault="00C87555">
            <w:pPr>
              <w:rPr>
                <w:rFonts w:ascii="Times New Roman" w:hAnsi="Times New Roman"/>
                <w:noProof/>
                <w:sz w:val="20"/>
                <w:szCs w:val="20"/>
              </w:rPr>
            </w:pPr>
            <w:r>
              <w:rPr>
                <w:rFonts w:ascii="Times New Roman" w:hAnsi="Times New Roman"/>
                <w:noProof/>
                <w:color w:val="006100"/>
                <w:sz w:val="20"/>
                <w:szCs w:val="20"/>
              </w:rPr>
              <w:t>- Adaptation of premises and ICT equipment of NCODK and NAKA units for financial investigation and verification of the origin of assets by regional level (model 1 + 4) t</w:t>
            </w:r>
            <w:r>
              <w:rPr>
                <w:rFonts w:ascii="Times New Roman" w:hAnsi="Times New Roman"/>
                <w:noProof/>
                <w:color w:val="006100"/>
                <w:sz w:val="20"/>
                <w:szCs w:val="20"/>
              </w:rPr>
              <w:t>o Q4/2023.</w:t>
            </w:r>
          </w:p>
        </w:tc>
      </w:tr>
      <w:tr w:rsidR="00BF6749">
        <w:trPr>
          <w:trHeight w:val="124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3</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16 - Fight against corruption and money laundering - Investment 1:</w:t>
            </w:r>
            <w:r>
              <w:rPr>
                <w:rFonts w:ascii="Times New Roman" w:hAnsi="Times New Roman"/>
                <w:noProof/>
                <w:color w:val="006100"/>
                <w:sz w:val="20"/>
                <w:szCs w:val="20"/>
                <w:lang w:val="en-US"/>
              </w:rPr>
              <w:t>Tools and capacity for the fight against corruption and money laundering</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Target</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Retraining police officers in financial investigations and analytical activities</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Number</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240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Establishment of the NAKA Analytical Centre and the Regional Analytical and Financial Investigation Offices of the NAKA and also establishment Regional Analytical and Financial Investigation Offices of the National Centre of Special Crimes (NCODK) </w:t>
            </w:r>
            <w:r>
              <w:rPr>
                <w:rFonts w:ascii="Times New Roman" w:hAnsi="Times New Roman"/>
                <w:noProof/>
                <w:color w:val="006100"/>
                <w:sz w:val="20"/>
                <w:szCs w:val="20"/>
              </w:rPr>
              <w:t>in Q1/2022.</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Of the overall objective to train 266 staff, at least 240 police staff attended training, workshops and seminars with the participation of foreign and national lecturers, cooperation in training with CEPOL and EUROPOL.</w:t>
            </w:r>
          </w:p>
        </w:tc>
      </w:tr>
      <w:tr w:rsidR="00BF6749">
        <w:trPr>
          <w:trHeight w:val="73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4</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w:t>
            </w:r>
            <w:r>
              <w:rPr>
                <w:rFonts w:ascii="Times New Roman" w:hAnsi="Times New Roman"/>
                <w:noProof/>
                <w:color w:val="006100"/>
                <w:sz w:val="20"/>
                <w:szCs w:val="20"/>
              </w:rPr>
              <w:t>corruption and money laundering - Reform 2:Modernisation and capacity building of the police force</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Implementation of organisational changes to police to increase the efficiency of crime detection, investigation and detection of corruption</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Organis</w:t>
            </w:r>
            <w:r>
              <w:rPr>
                <w:rFonts w:ascii="Times New Roman" w:hAnsi="Times New Roman"/>
                <w:noProof/>
                <w:color w:val="006100"/>
                <w:sz w:val="20"/>
                <w:szCs w:val="20"/>
              </w:rPr>
              <w:t>ational change of the police force is effective.</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Organisational changes aimed at creating a unit for detecting and investigating environmental crime (centre and regions), extending the analytical capacities of the police force to the region</w:t>
            </w:r>
            <w:r>
              <w:rPr>
                <w:rFonts w:ascii="Times New Roman" w:hAnsi="Times New Roman"/>
                <w:noProof/>
                <w:color w:val="006100"/>
                <w:sz w:val="20"/>
                <w:szCs w:val="20"/>
              </w:rPr>
              <w:t xml:space="preserve">al level, establishing a new unit for crime technology services (centre and regions). </w:t>
            </w:r>
          </w:p>
        </w:tc>
      </w:tr>
      <w:tr w:rsidR="00BF6749">
        <w:trPr>
          <w:trHeight w:val="10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5</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corruption and money laundering - Investment 2: </w:t>
            </w:r>
            <w:r>
              <w:rPr>
                <w:rFonts w:ascii="Times New Roman" w:hAnsi="Times New Roman"/>
                <w:noProof/>
                <w:color w:val="006100"/>
                <w:sz w:val="20"/>
                <w:szCs w:val="20"/>
                <w:lang w:val="en-US"/>
              </w:rPr>
              <w:t>Equipping and digitalising the police force</w:t>
            </w:r>
            <w:r>
              <w:rPr>
                <w:rFonts w:ascii="Times New Roman" w:hAnsi="Times New Roman"/>
                <w:noProof/>
                <w:color w:val="006100"/>
                <w:sz w:val="20"/>
                <w:szCs w:val="20"/>
              </w:rPr>
              <w:t xml:space="preserve"> – training and equipment</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Target</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Training and equipment </w:t>
            </w:r>
            <w:r>
              <w:rPr>
                <w:rFonts w:ascii="Times New Roman" w:hAnsi="Times New Roman"/>
                <w:noProof/>
                <w:color w:val="006100"/>
                <w:sz w:val="20"/>
                <w:szCs w:val="20"/>
              </w:rPr>
              <w:t>related to the police reform are rolled out</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Number of trained staff</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310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Training of at least 310 police officers (environmental crime 200, criminal analyses 60, criminal technology services 50) in Q4/2022. Provide training for at least 300 </w:t>
            </w:r>
            <w:r>
              <w:rPr>
                <w:rFonts w:ascii="Times New Roman" w:hAnsi="Times New Roman"/>
                <w:noProof/>
                <w:color w:val="006100"/>
                <w:sz w:val="20"/>
                <w:szCs w:val="20"/>
              </w:rPr>
              <w:t>police officers to improve the quality of communication to victims of crime for police officers in Q4/2022.</w:t>
            </w:r>
          </w:p>
        </w:tc>
      </w:tr>
      <w:tr w:rsidR="00BF6749">
        <w:trPr>
          <w:trHeight w:val="10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6</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16 - Fight against corruption and money laundering - Investment 2:</w:t>
            </w:r>
            <w:r>
              <w:rPr>
                <w:rFonts w:ascii="Times New Roman" w:hAnsi="Times New Roman"/>
                <w:noProof/>
                <w:color w:val="006100"/>
                <w:sz w:val="20"/>
                <w:szCs w:val="20"/>
                <w:lang w:val="en-US"/>
              </w:rPr>
              <w:t>Equipping and digitalising</w:t>
            </w:r>
            <w:r>
              <w:rPr>
                <w:rFonts w:ascii="Times New Roman" w:hAnsi="Times New Roman"/>
                <w:noProof/>
                <w:color w:val="006100"/>
                <w:sz w:val="20"/>
                <w:szCs w:val="20"/>
              </w:rPr>
              <w:t xml:space="preserve"> the police force – renewal of the vehicle fleet</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Target</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Purchase of new vehicles (10 % of the fleet) of electric and hybrid vehicles</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Number</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both"/>
              <w:rPr>
                <w:rFonts w:ascii="Times New Roman" w:hAnsi="Times New Roman"/>
                <w:noProof/>
                <w:sz w:val="20"/>
                <w:szCs w:val="20"/>
              </w:rPr>
            </w:pPr>
            <w:r>
              <w:rPr>
                <w:rFonts w:ascii="Times New Roman" w:hAnsi="Times New Roman"/>
                <w:noProof/>
                <w:color w:val="006100"/>
                <w:sz w:val="20"/>
                <w:szCs w:val="20"/>
              </w:rPr>
              <w:t>700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Of the overall objective to renew 705 vehicles of the police fleet by electric and hybrid vehicles (326 vehicles by Q2/2022 and 379 vehicles by Q4/20</w:t>
            </w:r>
            <w:r>
              <w:rPr>
                <w:rFonts w:ascii="Times New Roman" w:hAnsi="Times New Roman"/>
                <w:noProof/>
                <w:color w:val="006100"/>
                <w:sz w:val="20"/>
                <w:szCs w:val="20"/>
              </w:rPr>
              <w:t>22), at least 700 police vehicles shall be replaced.</w:t>
            </w:r>
          </w:p>
        </w:tc>
      </w:tr>
      <w:tr w:rsidR="00BF6749">
        <w:trPr>
          <w:trHeight w:val="10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7</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corruption and money laundering - Investment 2: </w:t>
            </w:r>
            <w:r>
              <w:rPr>
                <w:rFonts w:ascii="Times New Roman" w:hAnsi="Times New Roman"/>
                <w:noProof/>
                <w:color w:val="006100"/>
                <w:sz w:val="20"/>
                <w:szCs w:val="20"/>
                <w:lang w:val="en-US"/>
              </w:rPr>
              <w:t>Equipping and digitalising</w:t>
            </w:r>
            <w:r>
              <w:rPr>
                <w:rFonts w:ascii="Times New Roman" w:hAnsi="Times New Roman"/>
                <w:noProof/>
                <w:color w:val="006100"/>
                <w:sz w:val="20"/>
                <w:szCs w:val="20"/>
              </w:rPr>
              <w:t xml:space="preserve"> the Police Force – Reconstruction of buildings</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Extent of the renovated floor area of police buildings to reduce the energy intensity of buildings </w:t>
            </w:r>
          </w:p>
          <w:p w:rsidR="00BF6749" w:rsidRDefault="00C87555">
            <w:pPr>
              <w:rPr>
                <w:rFonts w:ascii="Times New Roman" w:hAnsi="Times New Roman"/>
                <w:noProof/>
                <w:sz w:val="20"/>
                <w:szCs w:val="20"/>
              </w:rPr>
            </w:pPr>
            <w:r>
              <w:rPr>
                <w:rFonts w:ascii="Times New Roman" w:hAnsi="Times New Roman"/>
                <w:noProof/>
                <w:color w:val="006100"/>
                <w:sz w:val="20"/>
                <w:szCs w:val="20"/>
              </w:rPr>
              <w:t>(in m²)</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Number</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45.000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Of the overall objective to renovate 49965 square metres of building floor area, at least 45 000 square metres in police b</w:t>
            </w:r>
            <w:r>
              <w:rPr>
                <w:rFonts w:ascii="Times New Roman" w:hAnsi="Times New Roman"/>
                <w:noProof/>
                <w:color w:val="006100"/>
                <w:sz w:val="20"/>
                <w:szCs w:val="20"/>
              </w:rPr>
              <w:t>uildings shall be renovated to reduce their energy intensity. At least 5 buildings will be renovated by Q4/2023. Technical, material and spatial provision of criminal analysis units, criminal technology services and environmental crime units according to t</w:t>
            </w:r>
            <w:r>
              <w:rPr>
                <w:rFonts w:ascii="Times New Roman" w:hAnsi="Times New Roman"/>
                <w:noProof/>
                <w:color w:val="006100"/>
                <w:sz w:val="20"/>
                <w:szCs w:val="20"/>
              </w:rPr>
              <w:t>he material inventory of Q4/2024.</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70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8</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corruption and money laundering - Investment 2: </w:t>
            </w:r>
            <w:r>
              <w:rPr>
                <w:rFonts w:ascii="Times New Roman" w:hAnsi="Times New Roman"/>
                <w:noProof/>
                <w:color w:val="006100"/>
                <w:sz w:val="20"/>
                <w:szCs w:val="20"/>
                <w:lang w:val="en-US"/>
              </w:rPr>
              <w:t>Equipping and digitalising</w:t>
            </w:r>
            <w:r>
              <w:rPr>
                <w:rFonts w:ascii="Times New Roman" w:hAnsi="Times New Roman"/>
                <w:noProof/>
                <w:color w:val="006100"/>
                <w:sz w:val="20"/>
                <w:szCs w:val="20"/>
              </w:rPr>
              <w:t xml:space="preserve"> the Police Force – new Foreign Residents Registration Information System (IS ECU)</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Electronicising residence </w:t>
            </w:r>
            <w:r>
              <w:rPr>
                <w:rFonts w:ascii="Times New Roman" w:hAnsi="Times New Roman"/>
                <w:noProof/>
                <w:color w:val="006100"/>
                <w:sz w:val="20"/>
                <w:szCs w:val="20"/>
              </w:rPr>
              <w:t>permit processes to simplify processes for the public</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operation of the new system</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full operation of the new Foreign Residents Information System with the following key functionalities: submission of an application for re</w:t>
            </w:r>
            <w:r>
              <w:rPr>
                <w:rFonts w:ascii="Times New Roman" w:hAnsi="Times New Roman"/>
                <w:noProof/>
                <w:color w:val="006100"/>
                <w:sz w:val="20"/>
                <w:szCs w:val="20"/>
              </w:rPr>
              <w:t>sidence and renewal, registration of residence, computerisation of the application for a document, notification modules and computerisation of communication in the course of the procedure.</w:t>
            </w:r>
          </w:p>
        </w:tc>
      </w:tr>
      <w:tr w:rsidR="00BF6749">
        <w:trPr>
          <w:trHeight w:val="61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9</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corruption and money laundering - Investment 2: </w:t>
            </w:r>
            <w:r>
              <w:rPr>
                <w:rFonts w:ascii="Times New Roman" w:hAnsi="Times New Roman"/>
                <w:noProof/>
                <w:color w:val="006100"/>
                <w:sz w:val="20"/>
                <w:szCs w:val="20"/>
                <w:lang w:val="en-US"/>
              </w:rPr>
              <w:t>Equipping and digitalising</w:t>
            </w:r>
            <w:r>
              <w:rPr>
                <w:rFonts w:ascii="Times New Roman" w:hAnsi="Times New Roman"/>
                <w:noProof/>
                <w:color w:val="006100"/>
                <w:sz w:val="20"/>
                <w:szCs w:val="20"/>
              </w:rPr>
              <w:t xml:space="preserve"> the police force – Automated system for detecting road traffic offences</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Automation of the system for detecting road traffic infringements into full oper</w:t>
            </w:r>
            <w:r>
              <w:rPr>
                <w:rFonts w:ascii="Times New Roman" w:hAnsi="Times New Roman"/>
                <w:noProof/>
                <w:color w:val="006100"/>
                <w:sz w:val="20"/>
                <w:szCs w:val="20"/>
              </w:rPr>
              <w:t>ation</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Deployment of full operation of 3 modules</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Automation of the recording of infringements of road traffic rules. Full operation of the system with modules: (1) recording and identifying road traffic infringements, (2) modifications to the </w:t>
            </w:r>
            <w:r>
              <w:rPr>
                <w:rFonts w:ascii="Times New Roman" w:hAnsi="Times New Roman"/>
                <w:noProof/>
                <w:color w:val="006100"/>
                <w:sz w:val="20"/>
                <w:szCs w:val="20"/>
              </w:rPr>
              <w:t>existing system for automatic generation of decisions, and (3) statistics, reporting and analysis.</w:t>
            </w:r>
          </w:p>
        </w:tc>
      </w:tr>
      <w:tr w:rsidR="00BF6749">
        <w:trPr>
          <w:trHeight w:val="54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10</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16 - Fight against corruption and money laundering - Reform 3:Optimising crisis management</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optimised crisis management</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Entry into force of  the amended act  129/2002 on the integrated rescue system</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Q1</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2023</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The concept of optimising crisis management shall clearly define the relationships between the emergency response services of the integrated rescue system, establi</w:t>
            </w:r>
            <w:r>
              <w:rPr>
                <w:rFonts w:ascii="Times New Roman" w:hAnsi="Times New Roman"/>
                <w:noProof/>
                <w:color w:val="006100"/>
                <w:sz w:val="20"/>
                <w:szCs w:val="20"/>
              </w:rPr>
              <w:t>sh common procedures for dealing with crisis situations, provide for joint coordination between the components, taking into account both the strategic and operational levels of crisis management, and propose a network of integrated security centres. The le</w:t>
            </w:r>
            <w:r>
              <w:rPr>
                <w:rFonts w:ascii="Times New Roman" w:hAnsi="Times New Roman"/>
                <w:noProof/>
                <w:color w:val="006100"/>
                <w:sz w:val="20"/>
                <w:szCs w:val="20"/>
              </w:rPr>
              <w:t>gislation shall enter into force by Q1 2023.</w:t>
            </w:r>
          </w:p>
        </w:tc>
      </w:tr>
      <w:tr w:rsidR="00BF6749">
        <w:trPr>
          <w:trHeight w:val="75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11</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16 - Fight against corruption and money laundering - Investment 3:Modernisation of the fire and rescue system – building a network of Integrated Security Centres</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Construction and operationalisation of</w:t>
            </w:r>
            <w:r>
              <w:rPr>
                <w:rFonts w:ascii="Times New Roman" w:hAnsi="Times New Roman"/>
                <w:noProof/>
                <w:color w:val="006100"/>
                <w:sz w:val="20"/>
                <w:szCs w:val="20"/>
              </w:rPr>
              <w:t xml:space="preserve"> Integrated Security Centres</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Number</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At least 2 Integrated Security Centres will be constructed and made operational, improving the operational management of the rescue services of the integrated rescue system, including information support thr</w:t>
            </w:r>
            <w:r>
              <w:rPr>
                <w:rFonts w:ascii="Times New Roman" w:hAnsi="Times New Roman"/>
                <w:noProof/>
                <w:color w:val="006100"/>
                <w:sz w:val="20"/>
                <w:szCs w:val="20"/>
              </w:rPr>
              <w:t>ough the establishment of Integrated Security Centres.</w:t>
            </w:r>
          </w:p>
        </w:tc>
      </w:tr>
      <w:tr w:rsidR="00BF6749">
        <w:trPr>
          <w:trHeight w:val="1410"/>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12</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16 - Fight against corruption and money laundering - Investment 3:Modernisation of the fire and rescue system – renewal of fire station buildings</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Target</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Modernisation of firefighting stations</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sz w:val="20"/>
                <w:szCs w:val="20"/>
              </w:rPr>
            </w:pP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N</w:t>
            </w:r>
            <w:r>
              <w:rPr>
                <w:rFonts w:ascii="Times New Roman" w:hAnsi="Times New Roman"/>
                <w:noProof/>
                <w:color w:val="006100"/>
                <w:sz w:val="20"/>
                <w:szCs w:val="20"/>
              </w:rPr>
              <w:t>umber</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7</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Completion of construction works for at least 4 new firefighting stations and the reconstruction of at least 3 existing firefighting stations.  </w:t>
            </w:r>
          </w:p>
        </w:tc>
      </w:tr>
      <w:tr w:rsidR="00BF6749">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13</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16 - Fight against corruption and money laundering - Investment 4:Strengthening </w:t>
            </w:r>
            <w:r>
              <w:rPr>
                <w:rFonts w:ascii="Times New Roman" w:hAnsi="Times New Roman"/>
                <w:noProof/>
                <w:color w:val="006100"/>
                <w:sz w:val="20"/>
                <w:szCs w:val="20"/>
              </w:rPr>
              <w:t>administrative capacity at different levels of government – establishment of a National Implementation and Coordination Authority</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0000"/>
                <w:sz w:val="20"/>
                <w:szCs w:val="20"/>
              </w:rPr>
            </w:pPr>
            <w:r>
              <w:rPr>
                <w:rFonts w:ascii="Times New Roman" w:hAnsi="Times New Roman"/>
                <w:noProof/>
                <w:color w:val="0061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Minimising implementation risk by establishing a coordination, financial and implementing body (NIKA) for the Recove</w:t>
            </w:r>
            <w:r>
              <w:rPr>
                <w:rFonts w:ascii="Times New Roman" w:hAnsi="Times New Roman"/>
                <w:noProof/>
                <w:color w:val="006100"/>
                <w:sz w:val="20"/>
                <w:szCs w:val="20"/>
              </w:rPr>
              <w:t>ry and Resilience Facility</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Establishment and capacity building for RRP authority</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0000"/>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Q3</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2022</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NIKA will be established by Q3 2021. It will be the coordinating, financial and implementing body for the Recovery and Resilience Facility. The subsequent </w:t>
            </w:r>
            <w:r>
              <w:rPr>
                <w:rFonts w:ascii="Times New Roman" w:hAnsi="Times New Roman"/>
                <w:noProof/>
                <w:color w:val="006100"/>
                <w:sz w:val="20"/>
                <w:szCs w:val="20"/>
              </w:rPr>
              <w:t>steps entail: Strengthening the capacity of NIKA and government audit by Q4/2021. A new IT system for the purposes of NIKA is in place by Q3/2022.</w:t>
            </w:r>
          </w:p>
          <w:p w:rsidR="00BF6749" w:rsidRDefault="00BF6749">
            <w:pPr>
              <w:rPr>
                <w:rFonts w:ascii="Times New Roman" w:hAnsi="Times New Roman"/>
                <w:noProof/>
                <w:color w:val="006100"/>
                <w:sz w:val="20"/>
                <w:szCs w:val="20"/>
              </w:rPr>
            </w:pPr>
          </w:p>
        </w:tc>
      </w:tr>
      <w:tr w:rsidR="00BF6749">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14</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16 - Fight against corruption and money laundering - Investment 4:Strengthening administrative capacity </w:t>
            </w:r>
            <w:r>
              <w:rPr>
                <w:rFonts w:ascii="Times New Roman" w:hAnsi="Times New Roman"/>
                <w:noProof/>
                <w:color w:val="006100"/>
                <w:sz w:val="20"/>
                <w:szCs w:val="20"/>
              </w:rPr>
              <w:t>at different levels of government – establishment of a National Implementation and Coordination Authority</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0000"/>
                <w:sz w:val="20"/>
                <w:szCs w:val="20"/>
              </w:rPr>
            </w:pPr>
            <w:r>
              <w:rPr>
                <w:rFonts w:ascii="Times New Roman" w:hAnsi="Times New Roman"/>
                <w:noProof/>
                <w:color w:val="0061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Audit &amp; controls: legal basis</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Entry into force of the </w:t>
            </w:r>
            <w:r>
              <w:rPr>
                <w:rFonts w:ascii="Times New Roman" w:hAnsi="Times New Roman"/>
                <w:i/>
                <w:iCs/>
                <w:noProof/>
                <w:color w:val="006100"/>
                <w:sz w:val="20"/>
                <w:szCs w:val="20"/>
              </w:rPr>
              <w:t>Recovery and Resilience Facility Act</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0000"/>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jc w:val="center"/>
              <w:rPr>
                <w:rFonts w:ascii="Times New Roman" w:hAnsi="Times New Roman"/>
                <w:noProof/>
                <w:color w:val="006100"/>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Parliamentary approval and legal ent</w:t>
            </w:r>
            <w:r>
              <w:rPr>
                <w:rFonts w:ascii="Times New Roman" w:hAnsi="Times New Roman"/>
                <w:noProof/>
                <w:color w:val="006100"/>
                <w:sz w:val="20"/>
                <w:szCs w:val="20"/>
              </w:rPr>
              <w:t xml:space="preserve">ry into force of the </w:t>
            </w:r>
            <w:r>
              <w:rPr>
                <w:rFonts w:ascii="Times New Roman" w:hAnsi="Times New Roman"/>
                <w:i/>
                <w:iCs/>
                <w:noProof/>
                <w:color w:val="006100"/>
                <w:sz w:val="20"/>
                <w:szCs w:val="20"/>
              </w:rPr>
              <w:t xml:space="preserve">Recovery and Resilience Facility Act </w:t>
            </w:r>
            <w:r>
              <w:rPr>
                <w:rFonts w:ascii="Times New Roman" w:hAnsi="Times New Roman"/>
                <w:noProof/>
                <w:color w:val="006100"/>
                <w:sz w:val="20"/>
                <w:szCs w:val="20"/>
              </w:rPr>
              <w:t>must be completed before the first payment request</w:t>
            </w:r>
            <w:r>
              <w:rPr>
                <w:rFonts w:ascii="Times New Roman" w:hAnsi="Times New Roman"/>
                <w:i/>
                <w:iCs/>
                <w:noProof/>
                <w:color w:val="006100"/>
                <w:sz w:val="20"/>
                <w:szCs w:val="20"/>
              </w:rPr>
              <w:t xml:space="preserve"> </w:t>
            </w:r>
          </w:p>
        </w:tc>
      </w:tr>
      <w:tr w:rsidR="00BF6749">
        <w:trPr>
          <w:trHeight w:val="4833"/>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15</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16 - Fight against corruption and money laundering - Investment 4:Strengthening administrative capacity at different levels of government – </w:t>
            </w:r>
            <w:r>
              <w:rPr>
                <w:rFonts w:ascii="Times New Roman" w:hAnsi="Times New Roman"/>
                <w:noProof/>
                <w:color w:val="006100"/>
                <w:sz w:val="20"/>
                <w:szCs w:val="20"/>
              </w:rPr>
              <w:t>establishment of a National Implementation and Coordination Authority</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0000"/>
                <w:sz w:val="20"/>
                <w:szCs w:val="20"/>
              </w:rPr>
            </w:pPr>
            <w:r>
              <w:rPr>
                <w:rFonts w:ascii="Times New Roman" w:hAnsi="Times New Roman"/>
                <w:noProof/>
                <w:color w:val="006100"/>
                <w:sz w:val="20"/>
                <w:szCs w:val="20"/>
              </w:rPr>
              <w:t>Milestone</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RRP Repository System: information for monitoring implementation of RRP</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BF6749">
            <w:pPr>
              <w:rPr>
                <w:rFonts w:ascii="Times New Roman" w:hAnsi="Times New Roman"/>
                <w:noProof/>
                <w:color w:val="006100"/>
                <w:sz w:val="20"/>
                <w:szCs w:val="20"/>
              </w:rPr>
            </w:pPr>
          </w:p>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Audit report confirming repository system functionalities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color w:val="000000"/>
                <w:sz w:val="20"/>
                <w:szCs w:val="20"/>
              </w:rPr>
            </w:pPr>
            <w:r>
              <w:rPr>
                <w:rFonts w:ascii="Times New Roman" w:hAnsi="Times New Roman"/>
                <w:noProof/>
                <w:color w:val="0061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2021</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A repository system, which ma</w:t>
            </w:r>
            <w:r>
              <w:rPr>
                <w:rFonts w:ascii="Times New Roman" w:hAnsi="Times New Roman"/>
                <w:noProof/>
                <w:color w:val="006100"/>
                <w:sz w:val="20"/>
                <w:szCs w:val="20"/>
              </w:rPr>
              <w:t xml:space="preserve">y take the form of an Excel sheet, for monitoring the implementation of the RRP shall be in place and operational. </w:t>
            </w:r>
          </w:p>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The system  shall include, as a minimum,  the  following functionalities:</w:t>
            </w:r>
          </w:p>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(a) collection of data and monitoring of the achievement of milest</w:t>
            </w:r>
            <w:r>
              <w:rPr>
                <w:rFonts w:ascii="Times New Roman" w:hAnsi="Times New Roman"/>
                <w:noProof/>
                <w:color w:val="006100"/>
                <w:sz w:val="20"/>
                <w:szCs w:val="20"/>
              </w:rPr>
              <w:t>ones and targets;</w:t>
            </w:r>
          </w:p>
          <w:p w:rsidR="00BF6749" w:rsidRDefault="00C87555">
            <w:pPr>
              <w:jc w:val="center"/>
              <w:rPr>
                <w:rFonts w:ascii="Times New Roman" w:hAnsi="Times New Roman"/>
                <w:noProof/>
                <w:color w:val="006100"/>
                <w:sz w:val="20"/>
                <w:szCs w:val="20"/>
              </w:rPr>
            </w:pPr>
            <w:r>
              <w:rPr>
                <w:rFonts w:ascii="Times New Roman" w:hAnsi="Times New Roman"/>
                <w:noProof/>
                <w:color w:val="006100"/>
                <w:sz w:val="20"/>
                <w:szCs w:val="20"/>
              </w:rPr>
              <w:t xml:space="preserve">(b) collect, store and ensure access to the data required by Article 22(2)(d)(i) to (iii)  of the RRF Regulation.  </w:t>
            </w:r>
          </w:p>
          <w:p w:rsidR="00BF6749" w:rsidRDefault="00BF6749">
            <w:pPr>
              <w:jc w:val="center"/>
              <w:rPr>
                <w:rFonts w:ascii="Times New Roman" w:hAnsi="Times New Roman"/>
                <w:noProof/>
                <w:color w:val="006100"/>
                <w:sz w:val="20"/>
                <w:szCs w:val="20"/>
              </w:rPr>
            </w:pPr>
          </w:p>
          <w:p w:rsidR="00BF6749" w:rsidRDefault="00C87555">
            <w:pPr>
              <w:rPr>
                <w:rFonts w:ascii="Times New Roman" w:hAnsi="Times New Roman"/>
                <w:noProof/>
                <w:color w:val="006100"/>
                <w:sz w:val="20"/>
                <w:szCs w:val="20"/>
              </w:rPr>
            </w:pPr>
            <w:r>
              <w:rPr>
                <w:rFonts w:ascii="Times New Roman" w:hAnsi="Times New Roman"/>
                <w:noProof/>
                <w:color w:val="006100"/>
                <w:sz w:val="20"/>
                <w:szCs w:val="20"/>
              </w:rPr>
              <w:t xml:space="preserve"> </w:t>
            </w:r>
          </w:p>
        </w:tc>
      </w:tr>
      <w:tr w:rsidR="00BF6749">
        <w:trPr>
          <w:trHeight w:val="109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16</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corruption and money laundering - Investment 4:Strengthening administrative capacity at </w:t>
            </w:r>
            <w:r>
              <w:rPr>
                <w:rFonts w:ascii="Times New Roman" w:hAnsi="Times New Roman"/>
                <w:noProof/>
                <w:color w:val="006100"/>
                <w:sz w:val="20"/>
                <w:szCs w:val="20"/>
              </w:rPr>
              <w:t>different levels of government – establishment of shared service centres</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target </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Establishment of  shared service centres.</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Q4</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2024</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Of the overall objective to establish 22 shared service centres in the most lagging regions by Q4/2024, at least 20 </w:t>
            </w:r>
            <w:r>
              <w:rPr>
                <w:rFonts w:ascii="Times New Roman" w:hAnsi="Times New Roman"/>
                <w:noProof/>
                <w:color w:val="006100"/>
                <w:sz w:val="20"/>
                <w:szCs w:val="20"/>
              </w:rPr>
              <w:t>shared service centres shall be established. These shared service centres help pool capacity at the local level in providing essential public (social) services.</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r>
      <w:tr w:rsidR="00BF6749">
        <w:trPr>
          <w:trHeight w:val="1425"/>
        </w:trPr>
        <w:tc>
          <w:tcPr>
            <w:tcW w:w="817"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17</w:t>
            </w:r>
          </w:p>
        </w:tc>
        <w:tc>
          <w:tcPr>
            <w:tcW w:w="142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16 - Fight against corruption and money laundering - Investment 4:Strengthening </w:t>
            </w:r>
            <w:r>
              <w:rPr>
                <w:rFonts w:ascii="Times New Roman" w:hAnsi="Times New Roman"/>
                <w:noProof/>
                <w:color w:val="006100"/>
                <w:sz w:val="20"/>
                <w:szCs w:val="20"/>
              </w:rPr>
              <w:t>administrative capacity at different levels of government – building a platform for specialised training</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Target</w:t>
            </w:r>
          </w:p>
        </w:tc>
        <w:tc>
          <w:tcPr>
            <w:tcW w:w="1001"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Automated specialisation training for all newly recruited first-contact staff</w:t>
            </w:r>
          </w:p>
        </w:tc>
        <w:tc>
          <w:tcPr>
            <w:tcW w:w="123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 xml:space="preserve"> </w:t>
            </w:r>
          </w:p>
        </w:tc>
        <w:tc>
          <w:tcPr>
            <w:tcW w:w="112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0000"/>
                <w:sz w:val="20"/>
                <w:szCs w:val="20"/>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0</w:t>
            </w:r>
          </w:p>
        </w:tc>
        <w:tc>
          <w:tcPr>
            <w:tcW w:w="99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100</w:t>
            </w:r>
          </w:p>
        </w:tc>
        <w:tc>
          <w:tcPr>
            <w:tcW w:w="127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Q2</w:t>
            </w:r>
          </w:p>
        </w:tc>
        <w:tc>
          <w:tcPr>
            <w:tcW w:w="851" w:type="dxa"/>
            <w:tcBorders>
              <w:top w:val="single" w:sz="8" w:space="0" w:color="auto"/>
              <w:left w:val="nil"/>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color w:val="006100"/>
                <w:sz w:val="20"/>
                <w:szCs w:val="20"/>
              </w:rPr>
              <w:t>2026</w:t>
            </w:r>
          </w:p>
        </w:tc>
        <w:tc>
          <w:tcPr>
            <w:tcW w:w="339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color w:val="006100"/>
                <w:sz w:val="20"/>
                <w:szCs w:val="20"/>
              </w:rPr>
              <w:t>All newly recruited and transferred first-conta</w:t>
            </w:r>
            <w:r>
              <w:rPr>
                <w:rFonts w:ascii="Times New Roman" w:hAnsi="Times New Roman"/>
                <w:noProof/>
                <w:color w:val="006100"/>
                <w:sz w:val="20"/>
                <w:szCs w:val="20"/>
              </w:rPr>
              <w:t>ct staff will receive training in order to improve public service provision. This entails several steps: Building a learning platform and content by Q2/2022.Launch of pilot training until Q4/2022.All staff of the first contact points shall receive the rele</w:t>
            </w:r>
            <w:r>
              <w:rPr>
                <w:rFonts w:ascii="Times New Roman" w:hAnsi="Times New Roman"/>
                <w:noProof/>
                <w:color w:val="006100"/>
                <w:sz w:val="20"/>
                <w:szCs w:val="20"/>
              </w:rPr>
              <w:t>vant training in Q2/2026.</w:t>
            </w:r>
          </w:p>
        </w:tc>
      </w:tr>
    </w:tbl>
    <w:p w:rsidR="00BF6749" w:rsidRDefault="00BF6749">
      <w:pPr>
        <w:spacing w:before="120" w:after="120" w:line="240" w:lineRule="auto"/>
        <w:ind w:left="850"/>
        <w:jc w:val="both"/>
        <w:rPr>
          <w:rFonts w:ascii="Times New Roman" w:hAnsi="Times New Roman"/>
          <w:b/>
          <w:bCs/>
          <w:noProof/>
          <w:sz w:val="24"/>
          <w:szCs w:val="24"/>
          <w:u w:val="single"/>
        </w:rPr>
      </w:pPr>
    </w:p>
    <w:p w:rsidR="00BF6749" w:rsidRDefault="00BF6749">
      <w:pPr>
        <w:spacing w:before="120" w:after="120" w:line="240" w:lineRule="auto"/>
        <w:ind w:left="850"/>
        <w:jc w:val="both"/>
        <w:rPr>
          <w:rFonts w:ascii="Times New Roman" w:hAnsi="Times New Roman"/>
          <w:b/>
          <w:bCs/>
          <w:noProof/>
          <w:sz w:val="24"/>
          <w:szCs w:val="24"/>
          <w:u w:val="single"/>
        </w:rPr>
      </w:pPr>
    </w:p>
    <w:p w:rsidR="00BF6749" w:rsidRDefault="00BF6749">
      <w:pPr>
        <w:spacing w:before="120" w:after="120" w:line="240" w:lineRule="auto"/>
        <w:ind w:left="850"/>
        <w:jc w:val="both"/>
        <w:rPr>
          <w:rFonts w:ascii="Times New Roman" w:hAnsi="Times New Roman"/>
          <w:i/>
          <w:iCs/>
          <w:noProof/>
          <w:color w:val="4F81BD"/>
          <w:sz w:val="24"/>
        </w:rPr>
      </w:pPr>
    </w:p>
    <w:p w:rsidR="00BF6749" w:rsidRDefault="00BF6749">
      <w:pPr>
        <w:spacing w:before="120" w:after="120" w:line="240" w:lineRule="auto"/>
        <w:jc w:val="both"/>
        <w:rPr>
          <w:rFonts w:ascii="Times New Roman" w:hAnsi="Times New Roman"/>
          <w:noProof/>
          <w:sz w:val="24"/>
          <w:lang w:val="en-US"/>
        </w:rPr>
        <w:sectPr w:rsidR="00BF6749">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851" w:right="1134" w:bottom="1418" w:left="1134" w:header="709" w:footer="709" w:gutter="0"/>
          <w:cols w:space="720"/>
          <w:docGrid w:linePitch="360"/>
        </w:sectPr>
      </w:pPr>
    </w:p>
    <w:p w:rsidR="00BF6749" w:rsidRDefault="00C87555">
      <w:pPr>
        <w:keepNext/>
        <w:tabs>
          <w:tab w:val="left" w:pos="1276"/>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COMPONENT 17: DIGITAL SLOVAKIA (STATE IN THE MOBILE, CYBERSECURITY, FAST INTERNET FOR EVERYONE, DIGITAL ECONOMY)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objective of this component of the Slovak recovery and resilience plan is to achieve substantial progress of Slovakia towards a digital-prepared society and economy. This objective shall be achieved through measures aiming at digitalisation of public a</w:t>
      </w:r>
      <w:r>
        <w:rPr>
          <w:rFonts w:ascii="Times New Roman" w:hAnsi="Times New Roman"/>
          <w:noProof/>
          <w:sz w:val="24"/>
          <w:szCs w:val="24"/>
        </w:rPr>
        <w:t>dministration and of public services delivery, improving cybersecurity through standardised approaches for preventing and resolving incidents across all entities of public administration, an overarching digital skills strategy, and support to the EU's mult</w:t>
      </w:r>
      <w:r>
        <w:rPr>
          <w:rFonts w:ascii="Times New Roman" w:hAnsi="Times New Roman"/>
          <w:noProof/>
          <w:sz w:val="24"/>
          <w:szCs w:val="24"/>
        </w:rPr>
        <w:t xml:space="preserve">i-country projects and investments in research and application of top digital technologies. In addition, the component presents measures for digital connectivity, which the authorities intend to fund from Cohesion Policy funds.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w:t>
      </w:r>
      <w:r>
        <w:rPr>
          <w:rFonts w:ascii="Times New Roman" w:hAnsi="Times New Roman"/>
          <w:noProof/>
          <w:sz w:val="24"/>
          <w:szCs w:val="24"/>
        </w:rPr>
        <w:t>ure in this component does significant harm to environmental objectives within the meaning of Article 17 of Regulation (EU) 2020/852, taking into account the description of the measures and the mitigating steps set out in the recovery and resilience plan i</w:t>
      </w:r>
      <w:r>
        <w:rPr>
          <w:rFonts w:ascii="Times New Roman" w:hAnsi="Times New Roman"/>
          <w:noProof/>
          <w:sz w:val="24"/>
          <w:szCs w:val="24"/>
        </w:rPr>
        <w:t xml:space="preserve">n accordance with the DNSH Technical Guidance (2021/C58/01).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Measures in this component shall contribute to addressing Country-Specific Recommendations to Slovakia, in particular as regards digital skills (Country-Specific Recommendation 2, 2020) digital</w:t>
      </w:r>
      <w:r>
        <w:rPr>
          <w:rFonts w:ascii="Times New Roman" w:hAnsi="Times New Roman"/>
          <w:noProof/>
          <w:sz w:val="24"/>
        </w:rPr>
        <w:t xml:space="preserve"> transformation (Country-Specific Recommendation 3, 2020), business environment and quality of public services (Country-Specific Recommendation 4, 2020), research and innovation (Country-Specific Recommendation 3, 2019) and competitiveness of SMEs (Country</w:t>
      </w:r>
      <w:r>
        <w:rPr>
          <w:rFonts w:ascii="Times New Roman" w:hAnsi="Times New Roman"/>
          <w:noProof/>
          <w:sz w:val="24"/>
        </w:rPr>
        <w:t>-Specific Recommendation 3, 2019).</w:t>
      </w: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rFonts w:ascii="Times New Roman" w:hAnsi="Times New Roman"/>
          <w:b/>
          <w:i/>
          <w:noProof/>
          <w:color w:val="4F81BD"/>
          <w:sz w:val="24"/>
        </w:rPr>
      </w:pPr>
      <w:r>
        <w:rPr>
          <w:rFonts w:ascii="Times New Roman" w:hAnsi="Times New Roman"/>
          <w:b/>
          <w:noProof/>
          <w:sz w:val="24"/>
          <w:u w:val="single"/>
        </w:rPr>
        <w:t xml:space="preserve">A.1. </w:t>
      </w:r>
      <w:r>
        <w:rPr>
          <w:rFonts w:ascii="Times New Roman" w:hAnsi="Times New Roman"/>
          <w:b/>
          <w:noProof/>
          <w:sz w:val="24"/>
          <w:u w:val="single"/>
        </w:rPr>
        <w:tab/>
        <w:t>Description of the reforms and investments for non-repayable financial support</w:t>
      </w:r>
    </w:p>
    <w:p w:rsidR="00BF6749" w:rsidRDefault="00BF6749">
      <w:pPr>
        <w:spacing w:before="120" w:after="120" w:line="240" w:lineRule="auto"/>
        <w:jc w:val="both"/>
        <w:rPr>
          <w:rFonts w:ascii="Times New Roman" w:hAnsi="Times New Roman"/>
          <w:noProof/>
          <w:sz w:val="24"/>
        </w:rPr>
      </w:pPr>
    </w:p>
    <w:p w:rsidR="00BF6749" w:rsidRDefault="00C87555">
      <w:pPr>
        <w:spacing w:before="120" w:after="120" w:line="240" w:lineRule="auto"/>
        <w:jc w:val="both"/>
        <w:rPr>
          <w:rFonts w:ascii="Times New Roman" w:hAnsi="Times New Roman"/>
          <w:b/>
          <w:noProof/>
          <w:sz w:val="24"/>
        </w:rPr>
      </w:pPr>
      <w:r>
        <w:rPr>
          <w:rFonts w:ascii="Times New Roman" w:eastAsia="Times New Roman" w:hAnsi="Times New Roman" w:cs="Calibri"/>
          <w:b/>
          <w:noProof/>
          <w:sz w:val="24"/>
        </w:rPr>
        <w:t>Reform 1: Creating eGovernment solutions for priority life situations</w:t>
      </w:r>
      <w:r>
        <w:rPr>
          <w:rFonts w:ascii="Times New Roman" w:hAnsi="Times New Roman"/>
          <w:b/>
          <w:noProof/>
          <w:sz w:val="24"/>
        </w:rPr>
        <w:t xml:space="preserve">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This reform shall lead to the preparation and adoption by the M</w:t>
      </w:r>
      <w:r>
        <w:rPr>
          <w:rFonts w:ascii="Times New Roman" w:hAnsi="Times New Roman"/>
          <w:noProof/>
          <w:sz w:val="24"/>
        </w:rPr>
        <w:t>inistry of Investment, Regional Development and Informatisation (MIRRI) of an investment plan for priority “life situations” of citizens and businesses. The aim is to enable citizens and businesses to resolve administratively such life situations in one lo</w:t>
      </w:r>
      <w:r>
        <w:rPr>
          <w:rFonts w:ascii="Times New Roman" w:hAnsi="Times New Roman"/>
          <w:noProof/>
          <w:sz w:val="24"/>
        </w:rPr>
        <w:t xml:space="preserve">cation quickly and easily.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investment plan shall identify 16 priority life situations, describe the current and future status of the processes, and list investment actions that need to be carried out in the administrative entities and their informatio</w:t>
      </w:r>
      <w:r>
        <w:rPr>
          <w:rFonts w:ascii="Times New Roman" w:hAnsi="Times New Roman"/>
          <w:noProof/>
          <w:sz w:val="24"/>
        </w:rPr>
        <w:t xml:space="preserve">n systems. Priority life situations shall be selected in accordance with the list of life situations monitored by eGov benchmark and taking into account the life situations included in Annex II of the Single Digital Gateway Regulation.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reform shall le</w:t>
      </w:r>
      <w:r>
        <w:rPr>
          <w:rFonts w:ascii="Times New Roman" w:hAnsi="Times New Roman"/>
          <w:noProof/>
          <w:sz w:val="24"/>
        </w:rPr>
        <w:t>ad to the introduction of a package of legislative amendments to deploy new digital public services on a unified design.</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reform shall be completed by 31 December 2023.</w:t>
      </w:r>
    </w:p>
    <w:p w:rsidR="00BF6749" w:rsidRDefault="00C87555">
      <w:pPr>
        <w:spacing w:before="120" w:after="120" w:line="240" w:lineRule="auto"/>
        <w:jc w:val="both"/>
        <w:rPr>
          <w:rFonts w:ascii="Times New Roman" w:eastAsia="Times New Roman" w:hAnsi="Times New Roman" w:cs="Calibri"/>
          <w:b/>
          <w:noProof/>
          <w:sz w:val="24"/>
        </w:rPr>
      </w:pPr>
      <w:r>
        <w:rPr>
          <w:rFonts w:ascii="Times New Roman" w:eastAsia="Times New Roman" w:hAnsi="Times New Roman" w:cs="Calibri"/>
          <w:b/>
          <w:noProof/>
          <w:sz w:val="24"/>
        </w:rPr>
        <w:t>Reform 2: Central management of IT resources</w:t>
      </w:r>
    </w:p>
    <w:p w:rsidR="00BF6749" w:rsidRDefault="00C87555">
      <w:pPr>
        <w:spacing w:before="120" w:after="120" w:line="240" w:lineRule="auto"/>
        <w:jc w:val="both"/>
        <w:rPr>
          <w:rFonts w:ascii="Times New Roman" w:eastAsia="Times New Roman" w:hAnsi="Times New Roman" w:cs="Calibri"/>
          <w:noProof/>
          <w:sz w:val="24"/>
        </w:rPr>
      </w:pPr>
      <w:r>
        <w:rPr>
          <w:rFonts w:ascii="Times New Roman" w:eastAsia="Times New Roman" w:hAnsi="Times New Roman" w:cs="Calibri"/>
          <w:noProof/>
          <w:sz w:val="24"/>
        </w:rPr>
        <w:t>Under this reform</w:t>
      </w:r>
      <w:r>
        <w:rPr>
          <w:rFonts w:ascii="Times New Roman" w:eastAsia="Times New Roman" w:hAnsi="Times New Roman" w:cs="Calibri"/>
          <w:noProof/>
          <w:sz w:val="24"/>
        </w:rPr>
        <w:t xml:space="preserve"> a central procurement platform shall be deployed for purchasing and using IT resources. These resources shall subsequently be made available for development of information systems in the public administration, with the overarching objective to reduce time</w:t>
      </w:r>
      <w:r>
        <w:rPr>
          <w:rFonts w:ascii="Times New Roman" w:eastAsia="Times New Roman" w:hAnsi="Times New Roman" w:cs="Calibri"/>
          <w:noProof/>
          <w:sz w:val="24"/>
        </w:rPr>
        <w:t xml:space="preserve"> and costs of such developments.</w:t>
      </w:r>
    </w:p>
    <w:p w:rsidR="00BF6749" w:rsidRDefault="00C87555">
      <w:pPr>
        <w:spacing w:before="120" w:after="120" w:line="240" w:lineRule="auto"/>
        <w:jc w:val="both"/>
        <w:rPr>
          <w:rFonts w:ascii="Times New Roman" w:eastAsia="Times New Roman" w:hAnsi="Times New Roman" w:cs="Calibri"/>
          <w:noProof/>
          <w:sz w:val="24"/>
        </w:rPr>
      </w:pPr>
      <w:r>
        <w:rPr>
          <w:rFonts w:ascii="Times New Roman" w:eastAsia="Times New Roman" w:hAnsi="Times New Roman" w:cs="Calibri"/>
          <w:noProof/>
          <w:sz w:val="24"/>
        </w:rPr>
        <w:t>IT resources shall be procured centrally through a framework contract and public administration entities shall be entitled to draw upon them using a central platform, a Digital Marketplace. Cost reductions shall be achieved</w:t>
      </w:r>
      <w:r>
        <w:rPr>
          <w:rFonts w:ascii="Times New Roman" w:eastAsia="Times New Roman" w:hAnsi="Times New Roman" w:cs="Calibri"/>
          <w:noProof/>
          <w:sz w:val="24"/>
        </w:rPr>
        <w:t xml:space="preserve"> through more efficient purchase and allocation of IT capacities </w:t>
      </w:r>
    </w:p>
    <w:p w:rsidR="00BF6749" w:rsidRDefault="00C87555">
      <w:pPr>
        <w:spacing w:before="120" w:after="120" w:line="240" w:lineRule="auto"/>
        <w:jc w:val="both"/>
        <w:rPr>
          <w:rFonts w:ascii="Times New Roman" w:eastAsia="Times New Roman" w:hAnsi="Times New Roman" w:cs="Calibri"/>
          <w:noProof/>
          <w:sz w:val="24"/>
        </w:rPr>
      </w:pPr>
      <w:r>
        <w:rPr>
          <w:rFonts w:ascii="Times New Roman" w:eastAsia="Times New Roman" w:hAnsi="Times New Roman" w:cs="Calibri"/>
          <w:noProof/>
          <w:sz w:val="24"/>
        </w:rPr>
        <w:t xml:space="preserve">The platform shall be introduced in two steps: </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First, a catalogue shall be created for IT resources on the basis of clear eligibility conditions under which resources may be recorded in the catalogue. The security of the systems, the requirements of the reference architecture and the quality of service</w:t>
      </w:r>
      <w:r>
        <w:rPr>
          <w:rFonts w:ascii="Times New Roman" w:eastAsia="Times New Roman" w:hAnsi="Times New Roman" w:cs="Calibri"/>
          <w:noProof/>
          <w:sz w:val="24"/>
        </w:rPr>
        <w:t xml:space="preserve">s and commodities shall be taken into account. </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Second, procurement of these resources shall be completed by MIRRI with the aim to make them available in the necessary quality and quantity to users.</w:t>
      </w:r>
    </w:p>
    <w:p w:rsidR="00BF6749" w:rsidRDefault="00C87555">
      <w:pPr>
        <w:spacing w:before="120" w:after="120" w:line="240" w:lineRule="auto"/>
        <w:jc w:val="both"/>
        <w:rPr>
          <w:rFonts w:ascii="Times New Roman" w:eastAsia="Times New Roman" w:hAnsi="Times New Roman" w:cs="Calibri"/>
          <w:noProof/>
          <w:sz w:val="24"/>
        </w:rPr>
      </w:pPr>
      <w:r>
        <w:rPr>
          <w:rFonts w:ascii="Times New Roman" w:eastAsia="Times New Roman" w:hAnsi="Times New Roman" w:cs="Calibri"/>
          <w:noProof/>
          <w:sz w:val="24"/>
        </w:rPr>
        <w:t>The platform shall provide an evaluation functionality of</w:t>
      </w:r>
      <w:r>
        <w:rPr>
          <w:rFonts w:ascii="Times New Roman" w:eastAsia="Times New Roman" w:hAnsi="Times New Roman" w:cs="Calibri"/>
          <w:noProof/>
          <w:sz w:val="24"/>
        </w:rPr>
        <w:t xml:space="preserve"> the value of IT investments by monitoring costs, filings, transactions and returns.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reform shall be completed by 31 December 2023.</w:t>
      </w:r>
    </w:p>
    <w:p w:rsidR="00BF6749" w:rsidRDefault="00C87555">
      <w:pPr>
        <w:spacing w:before="120" w:after="120" w:line="240" w:lineRule="auto"/>
        <w:jc w:val="both"/>
        <w:rPr>
          <w:rFonts w:ascii="Times New Roman" w:eastAsia="Times New Roman" w:hAnsi="Times New Roman" w:cs="Calibri"/>
          <w:b/>
          <w:noProof/>
          <w:sz w:val="24"/>
        </w:rPr>
      </w:pPr>
      <w:r>
        <w:rPr>
          <w:rFonts w:ascii="Times New Roman" w:eastAsia="Times New Roman" w:hAnsi="Times New Roman" w:cs="Calibri"/>
          <w:b/>
          <w:noProof/>
          <w:sz w:val="24"/>
        </w:rPr>
        <w:t>Investment 1: Better services for citizens and businesses</w:t>
      </w:r>
    </w:p>
    <w:p w:rsidR="00BF6749" w:rsidRDefault="00C87555">
      <w:pPr>
        <w:spacing w:before="120" w:after="120" w:line="240" w:lineRule="auto"/>
        <w:jc w:val="both"/>
        <w:rPr>
          <w:rFonts w:ascii="Times New Roman" w:eastAsia="Times New Roman" w:hAnsi="Times New Roman" w:cs="Calibri"/>
          <w:noProof/>
          <w:sz w:val="24"/>
        </w:rPr>
      </w:pPr>
      <w:r>
        <w:rPr>
          <w:rFonts w:ascii="Times New Roman" w:eastAsia="Times New Roman" w:hAnsi="Times New Roman" w:cs="Calibri"/>
          <w:noProof/>
          <w:sz w:val="24"/>
        </w:rPr>
        <w:t>In direct link to Reform 1 of this compo</w:t>
      </w:r>
      <w:r>
        <w:rPr>
          <w:rFonts w:ascii="Times New Roman" w:eastAsia="Times New Roman" w:hAnsi="Times New Roman" w:cs="Calibri"/>
          <w:noProof/>
          <w:sz w:val="24"/>
        </w:rPr>
        <w:t xml:space="preserve">nent, </w:t>
      </w:r>
      <w:r>
        <w:rPr>
          <w:rFonts w:ascii="Times New Roman" w:eastAsia="Times New Roman" w:hAnsi="Times New Roman" w:cs="Calibri"/>
          <w:i/>
          <w:noProof/>
          <w:sz w:val="24"/>
        </w:rPr>
        <w:t>Creating eGovernment solutions for priority life situations</w:t>
      </w:r>
      <w:r>
        <w:rPr>
          <w:rFonts w:ascii="Times New Roman" w:eastAsia="Times New Roman" w:hAnsi="Times New Roman" w:cs="Calibri"/>
          <w:noProof/>
          <w:sz w:val="24"/>
        </w:rPr>
        <w:t>, this investment shall consist in deploying integrated eGovernment solutions to 16 priority life situations. The solutions shall be developed using a common platform of IT tools necessary to</w:t>
      </w:r>
      <w:r>
        <w:rPr>
          <w:rFonts w:ascii="Times New Roman" w:eastAsia="Times New Roman" w:hAnsi="Times New Roman" w:cs="Calibri"/>
          <w:noProof/>
          <w:sz w:val="24"/>
        </w:rPr>
        <w:t xml:space="preserve"> build and deliver understandable and user-friendly digital services covering the integrity of the life situation procedure.</w:t>
      </w:r>
      <w:r>
        <w:rPr>
          <w:rFonts w:eastAsia="Times New Roman" w:cs="Calibri"/>
          <w:noProof/>
          <w:color w:val="006100"/>
          <w:sz w:val="15"/>
          <w:szCs w:val="15"/>
        </w:rPr>
        <w:t xml:space="preserve"> </w:t>
      </w:r>
    </w:p>
    <w:p w:rsidR="00BF6749" w:rsidRDefault="00C87555">
      <w:p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The investments shall take the form of demand-driven projects that provide a comprehensive administrative solution to life situati</w:t>
      </w:r>
      <w:r>
        <w:rPr>
          <w:rFonts w:ascii="Times New Roman" w:eastAsia="Times New Roman" w:hAnsi="Times New Roman"/>
          <w:noProof/>
          <w:sz w:val="24"/>
        </w:rPr>
        <w:t>ons with the greatest benefits. The solutions shall contain uniform search functionalities, a single point for service delivery, a mobile version, uniform design and clear navigation, smooth transitions through the life situation, an overview of the status</w:t>
      </w:r>
      <w:r>
        <w:rPr>
          <w:rFonts w:ascii="Times New Roman" w:eastAsia="Times New Roman" w:hAnsi="Times New Roman"/>
          <w:noProof/>
          <w:sz w:val="24"/>
        </w:rPr>
        <w:t xml:space="preserve"> of the request and status notifications, and online payments. The project shall also entail integration of the solutions into the central public administration portal, a redesign of underlying administrative processes, an upgrade of agenda systems and con</w:t>
      </w:r>
      <w:r>
        <w:rPr>
          <w:rFonts w:ascii="Times New Roman" w:eastAsia="Times New Roman" w:hAnsi="Times New Roman"/>
          <w:noProof/>
          <w:sz w:val="24"/>
        </w:rPr>
        <w:t xml:space="preserve">nection to the central middleware and central backend.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eastAsia="Times New Roman" w:hAnsi="Times New Roman" w:cs="Calibri"/>
          <w:b/>
          <w:noProof/>
          <w:sz w:val="24"/>
        </w:rPr>
        <w:t>Investment 2: Digital transformation of public service delivery</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This investment shall shorten the duration of completion of </w:t>
      </w:r>
      <w:r>
        <w:rPr>
          <w:rFonts w:ascii="Times New Roman" w:hAnsi="Times New Roman"/>
          <w:noProof/>
          <w:sz w:val="24"/>
        </w:rPr>
        <w:t>public services by optimising and automating administrative processes. The investment shall transform 42 public administration sections by launching a fully functional digitalised version.</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investments shall take the form of demand-driven projects to tr</w:t>
      </w:r>
      <w:r>
        <w:rPr>
          <w:rFonts w:ascii="Times New Roman" w:hAnsi="Times New Roman"/>
          <w:noProof/>
          <w:sz w:val="24"/>
        </w:rPr>
        <w:t>ansform the administrations’ processes with the highest potential for quality improvements or savings. Savings shall be achieved through reduction of operating costs, procedural errors, completion timelines or human resource requirements. Improving the qua</w:t>
      </w:r>
      <w:r>
        <w:rPr>
          <w:rFonts w:ascii="Times New Roman" w:hAnsi="Times New Roman"/>
          <w:noProof/>
          <w:sz w:val="24"/>
        </w:rPr>
        <w:t xml:space="preserve">lity of processes and reducing costs shall be achieved, as appropriate, by optimising relevant legislation or by changing the organisation of activities and processes.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3: Man</w:t>
      </w:r>
      <w:r>
        <w:rPr>
          <w:rFonts w:ascii="Times New Roman" w:hAnsi="Times New Roman"/>
          <w:b/>
          <w:noProof/>
          <w:sz w:val="24"/>
        </w:rPr>
        <w:t>aging the digital transformation of the economy and society</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This reform shall introduce a new governance structure for reforms and investments in the digital economy by engaging competent bodies at different levels. At the political level, the Government C</w:t>
      </w:r>
      <w:r>
        <w:rPr>
          <w:rFonts w:ascii="Times New Roman" w:hAnsi="Times New Roman"/>
          <w:noProof/>
          <w:sz w:val="24"/>
        </w:rPr>
        <w:t>ouncil for Digitalisation of Public Administration and Digital Single Market as the advisory, coordination and initiative body of the Government on issues related to digitalisation shall monitor the implementation and realisation of reforms and projects in</w:t>
      </w:r>
      <w:r>
        <w:rPr>
          <w:rFonts w:ascii="Times New Roman" w:hAnsi="Times New Roman"/>
          <w:noProof/>
          <w:sz w:val="24"/>
        </w:rPr>
        <w:t xml:space="preserve"> the area of digital economy. At the working level, the Digital Agenda Section of the MIRRI shall work to ensure implementation of reforms and investments, as well as meeting the set milestones and targets. At the assessment level, the analytical unit of M</w:t>
      </w:r>
      <w:r>
        <w:rPr>
          <w:rFonts w:ascii="Times New Roman" w:hAnsi="Times New Roman"/>
          <w:noProof/>
          <w:sz w:val="24"/>
        </w:rPr>
        <w:t>IRRI shall ensure thematic consistency of the interventions with the priorities of strategic policies/documents (RIS3, SACI, 2030 Digital Transformation Strategy for Slovakia). At the consulting level, the Working Group on the Digital Transformation of Slo</w:t>
      </w:r>
      <w:r>
        <w:rPr>
          <w:rFonts w:ascii="Times New Roman" w:hAnsi="Times New Roman"/>
          <w:noProof/>
          <w:sz w:val="24"/>
        </w:rPr>
        <w:t xml:space="preserve">vakia shall assist the Digital Agenda Section of MIRRI in implementing reforms and investments in the digital economy.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As part of this reform, the MIRRI shall adopt a new strategic document – Action Plan for the Digital Transformation of Slovakia for year</w:t>
      </w:r>
      <w:r>
        <w:rPr>
          <w:rFonts w:ascii="Times New Roman" w:hAnsi="Times New Roman"/>
          <w:noProof/>
          <w:sz w:val="24"/>
        </w:rPr>
        <w:t>s 2023-2026.</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reform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3: Engaging in multi-country European projects related to the digital economy</w:t>
      </w:r>
    </w:p>
    <w:p w:rsidR="00BF6749" w:rsidRDefault="00C87555">
      <w:pPr>
        <w:spacing w:before="120" w:after="120" w:line="240" w:lineRule="auto"/>
        <w:jc w:val="both"/>
        <w:rPr>
          <w:rFonts w:ascii="Times New Roman" w:hAnsi="Times New Roman"/>
          <w:bCs/>
          <w:noProof/>
          <w:sz w:val="24"/>
        </w:rPr>
      </w:pPr>
      <w:r>
        <w:rPr>
          <w:rFonts w:ascii="Times New Roman" w:hAnsi="Times New Roman"/>
          <w:noProof/>
          <w:sz w:val="24"/>
        </w:rPr>
        <w:t xml:space="preserve">This investment </w:t>
      </w:r>
      <w:r>
        <w:rPr>
          <w:rFonts w:ascii="Times New Roman" w:hAnsi="Times New Roman"/>
          <w:bCs/>
          <w:noProof/>
          <w:sz w:val="24"/>
        </w:rPr>
        <w:t>shall support Slovak participation in European multi-country projects</w:t>
      </w:r>
      <w:r>
        <w:rPr>
          <w:rFonts w:ascii="Times New Roman" w:hAnsi="Times New Roman"/>
          <w:bCs/>
          <w:noProof/>
          <w:sz w:val="24"/>
        </w:rPr>
        <w:t>. The preliminary list of initiatives has been established on the basis of expert public consultation, preconditions and project preparedness.  Slovakia intends to seek financing for some of those projects from other sources, in particular from directly ma</w:t>
      </w:r>
      <w:r>
        <w:rPr>
          <w:rFonts w:ascii="Times New Roman" w:hAnsi="Times New Roman"/>
          <w:bCs/>
          <w:noProof/>
          <w:sz w:val="24"/>
        </w:rPr>
        <w:t xml:space="preserve">naged EU programmes (Digital Europe, Connecting Europe Facility, Horizon Europe).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investment shall lead to the following projects:</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creation of a network of European Digital Innovation Hubs (EDIH) and Digital Innovation Hubs (DIH) to support digitalisa</w:t>
      </w:r>
      <w:r>
        <w:rPr>
          <w:rFonts w:ascii="Times New Roman" w:eastAsia="Times New Roman" w:hAnsi="Times New Roman" w:cs="Calibri"/>
          <w:noProof/>
          <w:sz w:val="24"/>
        </w:rPr>
        <w:t xml:space="preserve">tion of Slovak SMEs. </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 xml:space="preserve">commissioning of a supercomputer for the national supercomputing centre. </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participation in two other multi-country European projects, to be identified from  a pre-defined list of multi-country projects put forward by the European Comm</w:t>
      </w:r>
      <w:r>
        <w:rPr>
          <w:rFonts w:ascii="Times New Roman" w:eastAsia="Times New Roman" w:hAnsi="Times New Roman" w:cs="Calibri"/>
          <w:noProof/>
          <w:sz w:val="24"/>
        </w:rPr>
        <w:t>ission.</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last milestone of the investment shall be completed by 31 December 2024. Support to these projects shall continue beyond this deadline, within the horizon of RRP implementation.</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4: Support for projects aiming at the development and a</w:t>
      </w:r>
      <w:r>
        <w:rPr>
          <w:rFonts w:ascii="Times New Roman" w:hAnsi="Times New Roman"/>
          <w:b/>
          <w:noProof/>
          <w:sz w:val="24"/>
        </w:rPr>
        <w:t>pplication of top digital technologies</w:t>
      </w:r>
    </w:p>
    <w:p w:rsidR="00BF6749" w:rsidRDefault="00C87555">
      <w:pPr>
        <w:spacing w:before="120" w:after="120" w:line="240" w:lineRule="auto"/>
        <w:jc w:val="both"/>
        <w:rPr>
          <w:rFonts w:ascii="Times New Roman" w:eastAsia="Arial Narrow" w:hAnsi="Times New Roman" w:cs="Arial Narrow"/>
          <w:noProof/>
          <w:sz w:val="24"/>
        </w:rPr>
      </w:pPr>
      <w:r>
        <w:rPr>
          <w:rFonts w:ascii="Times New Roman" w:hAnsi="Times New Roman"/>
          <w:noProof/>
          <w:sz w:val="24"/>
        </w:rPr>
        <w:t>The objective of this investment is to create a support scheme for research, development and application of advanced digital technologies by companies, including SMEs, research institutes and public administration ent</w:t>
      </w:r>
      <w:r>
        <w:rPr>
          <w:rFonts w:ascii="Times New Roman" w:hAnsi="Times New Roman"/>
          <w:noProof/>
          <w:sz w:val="24"/>
        </w:rPr>
        <w:t xml:space="preserve">ities. Support shall be granted to successful Slovak projects under directly managed programmes, selected IPCEI projects or projects obtaining the Seal of Excellence, in </w:t>
      </w:r>
      <w:r>
        <w:rPr>
          <w:rFonts w:ascii="Times New Roman" w:hAnsi="Times New Roman"/>
          <w:bCs/>
          <w:noProof/>
          <w:sz w:val="24"/>
        </w:rPr>
        <w:t>accordance with applicable rules on EU funds financing</w:t>
      </w:r>
      <w:r>
        <w:rPr>
          <w:rFonts w:ascii="Times New Roman" w:hAnsi="Times New Roman"/>
          <w:noProof/>
          <w:sz w:val="24"/>
        </w:rPr>
        <w:t xml:space="preserve">. </w:t>
      </w:r>
      <w:r>
        <w:rPr>
          <w:rFonts w:ascii="Times New Roman" w:hAnsi="Times New Roman"/>
          <w:bCs/>
          <w:noProof/>
          <w:sz w:val="24"/>
        </w:rPr>
        <w:t xml:space="preserve">Moreover, support can also be </w:t>
      </w:r>
      <w:r>
        <w:rPr>
          <w:rFonts w:ascii="Times New Roman" w:hAnsi="Times New Roman"/>
          <w:bCs/>
          <w:noProof/>
          <w:sz w:val="24"/>
        </w:rPr>
        <w:t>granted to projects selected at the national level</w:t>
      </w:r>
      <w:r>
        <w:rPr>
          <w:rFonts w:ascii="Times New Roman" w:hAnsi="Times New Roman"/>
          <w:noProof/>
          <w:sz w:val="24"/>
        </w:rPr>
        <w:t xml:space="preserve">. </w:t>
      </w:r>
      <w:r>
        <w:rPr>
          <w:rFonts w:ascii="Times New Roman" w:eastAsia="Arial Narrow" w:hAnsi="Times New Roman" w:cs="Arial Narrow"/>
          <w:noProof/>
          <w:sz w:val="24"/>
        </w:rPr>
        <w:t xml:space="preserve">In addition to </w:t>
      </w:r>
      <w:r>
        <w:rPr>
          <w:rFonts w:ascii="Times New Roman" w:hAnsi="Times New Roman"/>
          <w:noProof/>
          <w:sz w:val="24"/>
        </w:rPr>
        <w:t>research</w:t>
      </w:r>
      <w:r>
        <w:rPr>
          <w:rFonts w:ascii="Times New Roman" w:eastAsia="Arial Narrow" w:hAnsi="Times New Roman" w:cs="Arial Narrow"/>
          <w:noProof/>
          <w:sz w:val="24"/>
        </w:rPr>
        <w:t>,</w:t>
      </w:r>
      <w:r>
        <w:rPr>
          <w:rFonts w:ascii="Times New Roman" w:hAnsi="Times New Roman"/>
          <w:noProof/>
          <w:sz w:val="24"/>
        </w:rPr>
        <w:t xml:space="preserve"> development and </w:t>
      </w:r>
      <w:r>
        <w:rPr>
          <w:rFonts w:ascii="Times New Roman" w:eastAsia="Arial Narrow" w:hAnsi="Times New Roman" w:cs="Arial Narrow"/>
          <w:noProof/>
          <w:sz w:val="24"/>
        </w:rPr>
        <w:t>application projects, support may be granted for technological institutions</w:t>
      </w:r>
      <w:r>
        <w:rPr>
          <w:rFonts w:ascii="Times New Roman" w:hAnsi="Times New Roman"/>
          <w:noProof/>
          <w:sz w:val="24"/>
        </w:rPr>
        <w:t xml:space="preserve">, </w:t>
      </w:r>
      <w:r>
        <w:rPr>
          <w:rFonts w:ascii="Times New Roman" w:eastAsia="Arial Narrow" w:hAnsi="Times New Roman" w:cs="Arial Narrow"/>
          <w:noProof/>
          <w:sz w:val="24"/>
        </w:rPr>
        <w:t xml:space="preserve">competence centres, private enterprises and platforms in compliance with state aid </w:t>
      </w:r>
      <w:r>
        <w:rPr>
          <w:rFonts w:ascii="Times New Roman" w:eastAsia="Arial Narrow" w:hAnsi="Times New Roman" w:cs="Arial Narrow"/>
          <w:noProof/>
          <w:sz w:val="24"/>
        </w:rPr>
        <w:t>rules.</w:t>
      </w:r>
    </w:p>
    <w:p w:rsidR="00BF6749" w:rsidRDefault="00C87555">
      <w:pPr>
        <w:spacing w:before="120" w:after="120" w:line="240" w:lineRule="auto"/>
        <w:jc w:val="both"/>
        <w:rPr>
          <w:rFonts w:ascii="Times New Roman" w:eastAsia="Arial Narrow" w:hAnsi="Times New Roman" w:cs="Arial Narrow"/>
          <w:noProof/>
          <w:sz w:val="24"/>
        </w:rPr>
      </w:pPr>
      <w:r>
        <w:rPr>
          <w:rFonts w:ascii="Times New Roman" w:eastAsia="Arial Narrow" w:hAnsi="Times New Roman" w:cs="Arial Narrow"/>
          <w:noProof/>
          <w:sz w:val="24"/>
        </w:rPr>
        <w:t xml:space="preserve">The investment shall focus on: </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support to research, development and innovation projects with Technology Readiness Levels 5 to 8,</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support for the establishment of testing and experimentation infrastructure,</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 xml:space="preserve">support for participation in innovative </w:t>
      </w:r>
      <w:r>
        <w:rPr>
          <w:rFonts w:ascii="Times New Roman" w:eastAsia="Times New Roman" w:hAnsi="Times New Roman" w:cs="Calibri"/>
          <w:noProof/>
          <w:sz w:val="24"/>
        </w:rPr>
        <w:t>projects at the European and international level,</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support to platforms and competence centres in their outreach and training activities aiming at digital skills and competences.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w:t>
      </w:r>
      <w:r>
        <w:rPr>
          <w:rFonts w:ascii="Times New Roman" w:hAnsi="Times New Roman"/>
          <w:b/>
          <w:noProof/>
          <w:sz w:val="24"/>
        </w:rPr>
        <w:t xml:space="preserve">tment 5: Fast grants – hackathons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aim is to create a tool for stimulating innovative solutions for addressing current societal challenges in a flexible and rapid manner. This shall be achieved by organising hackathons involving start-ups, other compan</w:t>
      </w:r>
      <w:r>
        <w:rPr>
          <w:rFonts w:ascii="Times New Roman" w:hAnsi="Times New Roman"/>
          <w:noProof/>
          <w:sz w:val="24"/>
        </w:rPr>
        <w:t>ies, research institutions, universities and their students, and other specialists.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investment shall be used to organize 20 hackathons over five years. The costs include resources for winning teams who shall provide their solutions to the public admini</w:t>
      </w:r>
      <w:r>
        <w:rPr>
          <w:rFonts w:ascii="Times New Roman" w:hAnsi="Times New Roman"/>
          <w:noProof/>
          <w:sz w:val="24"/>
          <w:lang w:val="en-US"/>
        </w:rPr>
        <w:t>stration or the wider public.</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The organiser shall define the range of topics and problems to be addressed by the hackathons in collaboration with participating public administration bodies.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w:t>
      </w:r>
      <w:r>
        <w:rPr>
          <w:rFonts w:ascii="Times New Roman" w:hAnsi="Times New Roman"/>
          <w:noProof/>
          <w:sz w:val="24"/>
          <w:lang w:val="en-US"/>
        </w:rPr>
        <w:t>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4: Standardisation of technical and procedural cybersecurity solutions (ITVS – Information technologies for public administration)</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Current cybersecurity requirements in the public administration diverge in terms of their elaboration, quality</w:t>
      </w:r>
      <w:r>
        <w:rPr>
          <w:rFonts w:ascii="Times New Roman" w:hAnsi="Times New Roman"/>
          <w:noProof/>
          <w:sz w:val="24"/>
          <w:lang w:val="en-US"/>
        </w:rPr>
        <w:t xml:space="preserve"> and clarity. Individualised cybersecurity solutions lead to higher overall costs, as well as ambiguities for a number of service operators. Moreover, applicable methodological guidelines for cybersecurity are outdated and not fit for purpose in a rapidly </w:t>
      </w:r>
      <w:r>
        <w:rPr>
          <w:rFonts w:ascii="Times New Roman" w:hAnsi="Times New Roman"/>
          <w:noProof/>
          <w:sz w:val="24"/>
          <w:lang w:val="en-US"/>
        </w:rPr>
        <w:t xml:space="preserve">changing cyber-threat environment. The objective of this reform is to update applicable cybersecurity requirements and increase standardization of solutions for all entities of the public administration.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Specifically, the reform shall lead to the developm</w:t>
      </w:r>
      <w:r>
        <w:rPr>
          <w:rFonts w:ascii="Times New Roman" w:hAnsi="Times New Roman"/>
          <w:noProof/>
          <w:sz w:val="24"/>
          <w:lang w:val="en-US"/>
        </w:rPr>
        <w:t>ent of a single methodological framework for cybersecurity; the creation of a procedural manual for assessment cybersecurity; creation of a central expert support for implementation of cybersecurity measures; the definition of categories of organisations f</w:t>
      </w:r>
      <w:r>
        <w:rPr>
          <w:rFonts w:ascii="Times New Roman" w:hAnsi="Times New Roman"/>
          <w:noProof/>
          <w:sz w:val="24"/>
          <w:lang w:val="en-US"/>
        </w:rPr>
        <w:t>or the purposes of cybersecurity; definition of basic requirements of cybersecurity protection in the public administration.</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National Concept for Informatisation of Public Administration (NKIVS) shall set the framework of standardisation for cyber secu</w:t>
      </w:r>
      <w:r>
        <w:rPr>
          <w:rFonts w:ascii="Times New Roman" w:hAnsi="Times New Roman"/>
          <w:noProof/>
          <w:sz w:val="24"/>
          <w:lang w:val="en-US"/>
        </w:rPr>
        <w:t>rity requirements.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reform shall be completed by 31 December 2025.</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5: Improving cybersecurity training and skills (ITVS – Information technologies for public administration)</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general level of cybersecurity skills in publi</w:t>
      </w:r>
      <w:r>
        <w:rPr>
          <w:rFonts w:ascii="Times New Roman" w:hAnsi="Times New Roman"/>
          <w:noProof/>
          <w:sz w:val="24"/>
          <w:lang w:val="en-US"/>
        </w:rPr>
        <w:t xml:space="preserve">c administration is insufficient. The aim of this reform is to introduce systematic lifelong learning in cybersecurity of IT professionals in public administration.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The reform shall:  </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 xml:space="preserve">establish a cybersecurity awareness programme and training for public </w:t>
      </w:r>
      <w:r>
        <w:rPr>
          <w:rFonts w:ascii="Times New Roman" w:eastAsia="Times New Roman" w:hAnsi="Times New Roman" w:cs="Calibri"/>
          <w:noProof/>
          <w:sz w:val="24"/>
        </w:rPr>
        <w:t>administration staff, including complementary training of cybersecurity specialists (as lifelong learning);</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establish at least 3 competence centres in cybersecurity in universities, in order to play a role in education and in providing expertise to the pub</w:t>
      </w:r>
      <w:r>
        <w:rPr>
          <w:rFonts w:ascii="Times New Roman" w:eastAsia="Times New Roman" w:hAnsi="Times New Roman" w:cs="Calibri"/>
          <w:noProof/>
          <w:sz w:val="24"/>
        </w:rPr>
        <w:t>lic and private sector;</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support international cooperation with relevant international centres of excellence in cyber and hybrid threats;</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development of a methodology for setting-up of cybersecurity units in public administration entities.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w:t>
      </w:r>
      <w:r>
        <w:rPr>
          <w:rFonts w:ascii="Times New Roman" w:hAnsi="Times New Roman"/>
          <w:noProof/>
          <w:sz w:val="24"/>
          <w:lang w:val="en-US"/>
        </w:rPr>
        <w:t>n of the reform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6: Strengthening preventive measures, increasing the speed of incident detection and resolution (ITVS – Information technologies for public administration)</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The objective of this measure is to develop an early response system in cybersecurity of the public administration. It follows up on projects under the Operational Program Integrated Infrastructure.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Specifically, the investment shall:</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integrate new techni</w:t>
      </w:r>
      <w:r>
        <w:rPr>
          <w:rFonts w:ascii="Times New Roman" w:eastAsia="Times New Roman" w:hAnsi="Times New Roman" w:cs="Calibri"/>
          <w:noProof/>
          <w:sz w:val="24"/>
        </w:rPr>
        <w:t>cal and technological solutions of the early response system into the cybersecurity incident management infrastructure;</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develop a framework of regular deep security audits, vulnerability assessments and penetration tests in the overall cybersecurity archit</w:t>
      </w:r>
      <w:r>
        <w:rPr>
          <w:rFonts w:ascii="Times New Roman" w:eastAsia="Times New Roman" w:hAnsi="Times New Roman" w:cs="Calibri"/>
          <w:noProof/>
          <w:sz w:val="24"/>
        </w:rPr>
        <w:t xml:space="preserve">ecture; </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increase the level of technological security equipment of critical infrastructure installations;</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develop a threat catalog and  a methodology for cybersecurity management;</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 xml:space="preserve">develop a centralized approach for implementing security patches.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As part o</w:t>
      </w:r>
      <w:r>
        <w:rPr>
          <w:rFonts w:ascii="Times New Roman" w:hAnsi="Times New Roman"/>
          <w:noProof/>
          <w:sz w:val="24"/>
          <w:lang w:val="en-US"/>
        </w:rPr>
        <w:t>f prevention, t</w:t>
      </w:r>
      <w:r>
        <w:rPr>
          <w:rFonts w:ascii="Times New Roman" w:hAnsi="Times New Roman"/>
          <w:noProof/>
          <w:sz w:val="24"/>
        </w:rPr>
        <w:t xml:space="preserve">he general level of quality of physical and procedural security of critical infrastructure of the public administration shall be strengthened. This shall be achieved by improving </w:t>
      </w:r>
      <w:r>
        <w:rPr>
          <w:rFonts w:ascii="Times New Roman" w:hAnsi="Times New Roman"/>
          <w:noProof/>
          <w:sz w:val="24"/>
          <w:lang w:val="en-US"/>
        </w:rPr>
        <w:t xml:space="preserve">process security, reconstruction and completion of 72 secured </w:t>
      </w:r>
      <w:r>
        <w:rPr>
          <w:rFonts w:ascii="Times New Roman" w:hAnsi="Times New Roman"/>
          <w:noProof/>
          <w:sz w:val="24"/>
          <w:lang w:val="en-US"/>
        </w:rPr>
        <w:t>spaces for critical infrastructure information systems.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implementation of the investment shall be completed by 30 June 2026.</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 xml:space="preserve">Reform 6: A strategic approach to education in digital skills in cooperation with representatives of key stakeholders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This ref</w:t>
      </w:r>
      <w:r>
        <w:rPr>
          <w:rFonts w:ascii="Times New Roman" w:hAnsi="Times New Roman"/>
          <w:noProof/>
          <w:sz w:val="24"/>
          <w:lang w:val="en-US"/>
        </w:rPr>
        <w:t>orm shall draw up a coherent national strategy for the development of digital skills through life-long-learning, covering people in productive and post-productive age. The strategy shall be prepared by the MIRRI in cooperation with competent Ministries and</w:t>
      </w:r>
      <w:r>
        <w:rPr>
          <w:rFonts w:ascii="Times New Roman" w:hAnsi="Times New Roman"/>
          <w:noProof/>
          <w:sz w:val="24"/>
          <w:lang w:val="en-US"/>
        </w:rPr>
        <w:t xml:space="preserve"> representatives of key stakeholders.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strategy shall include an analysis of the state of play of digital skills in Slovakia, an identification of existing barriers to their development, a learning vision for the next period, as well as recommendations</w:t>
      </w:r>
      <w:r>
        <w:rPr>
          <w:rFonts w:ascii="Times New Roman" w:hAnsi="Times New Roman"/>
          <w:noProof/>
          <w:sz w:val="24"/>
          <w:lang w:val="en-US"/>
        </w:rPr>
        <w:t xml:space="preserve"> of measures for public authorities to improve the situation and meet the targets. The strategy shall also propose a long-term sustainable funding and support system for digital skills, while also aiming to create an attractive environment to prevent brain</w:t>
      </w:r>
      <w:r>
        <w:rPr>
          <w:rFonts w:ascii="Times New Roman" w:hAnsi="Times New Roman"/>
          <w:noProof/>
          <w:sz w:val="24"/>
          <w:lang w:val="en-US"/>
        </w:rPr>
        <w:t xml:space="preserve"> drain and attract foreign experts and researchers.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reform shall be completed by 31 December 2022.</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Investment 7: Improving the digital skills of seniors and the distribution of Senior Tablets</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percentage of people aged 65-74 with at least basic digi</w:t>
      </w:r>
      <w:r>
        <w:rPr>
          <w:rFonts w:ascii="Times New Roman" w:hAnsi="Times New Roman"/>
          <w:noProof/>
          <w:sz w:val="24"/>
          <w:lang w:val="en-US"/>
        </w:rPr>
        <w:t>tal skills is only 11 %, compared to the EU average of 24%. Training in digital skills in Slovakia is highly dependent on work-based learning and/or employer-funded programmes. As a result, people in post-productive age and disadvantaged people have in gen</w:t>
      </w:r>
      <w:r>
        <w:rPr>
          <w:rFonts w:ascii="Times New Roman" w:hAnsi="Times New Roman"/>
          <w:noProof/>
          <w:sz w:val="24"/>
          <w:lang w:val="en-US"/>
        </w:rPr>
        <w:t>eral more limited access to digital skills development. This skills gap has been particularly problematic during the COVID-19 period. The objective of this investment is to address this issue through a targeted training program in digital skills and provis</w:t>
      </w:r>
      <w:r>
        <w:rPr>
          <w:rFonts w:ascii="Times New Roman" w:hAnsi="Times New Roman"/>
          <w:noProof/>
          <w:sz w:val="24"/>
          <w:lang w:val="en-US"/>
        </w:rPr>
        <w:t xml:space="preserve">ion of digital equipment for </w:t>
      </w:r>
      <w:r>
        <w:rPr>
          <w:rFonts w:ascii="Times New Roman" w:eastAsia="Times New Roman" w:hAnsi="Times New Roman"/>
          <w:noProof/>
          <w:sz w:val="24"/>
        </w:rPr>
        <w:t>at least 172 800 seniors and disadvantaged people</w:t>
      </w:r>
      <w:r>
        <w:rPr>
          <w:rFonts w:ascii="Times New Roman" w:hAnsi="Times New Roman"/>
          <w:noProof/>
          <w:sz w:val="24"/>
          <w:lang w:val="en-US"/>
        </w:rPr>
        <w:t xml:space="preserve">. </w:t>
      </w:r>
    </w:p>
    <w:p w:rsidR="00BF6749" w:rsidRDefault="00C87555">
      <w:pPr>
        <w:spacing w:before="120" w:after="120" w:line="240" w:lineRule="auto"/>
        <w:jc w:val="both"/>
        <w:rPr>
          <w:rFonts w:ascii="Times New Roman" w:hAnsi="Times New Roman"/>
          <w:noProof/>
          <w:sz w:val="24"/>
          <w:lang w:val="en-US"/>
        </w:rPr>
      </w:pPr>
      <w:r>
        <w:rPr>
          <w:rFonts w:ascii="Times New Roman" w:hAnsi="Times New Roman"/>
          <w:noProof/>
          <w:sz w:val="24"/>
          <w:lang w:val="en-US"/>
        </w:rPr>
        <w:t>The investment shall consist in:</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a pilot project for 1000 persons to assess specific needs and assess the physiological adequacy of technological equipment (tablets or alterna</w:t>
      </w:r>
      <w:r>
        <w:rPr>
          <w:rFonts w:ascii="Times New Roman" w:eastAsia="Times New Roman" w:hAnsi="Times New Roman" w:cs="Calibri"/>
          <w:noProof/>
          <w:sz w:val="24"/>
        </w:rPr>
        <w:t>tives) for elderly and disadvantaged people;</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training sessions for seniors and disadvantaged people in the form of face-to-face and e-learning;</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development of specialised applications with accessibility features;</w:t>
      </w:r>
    </w:p>
    <w:p w:rsidR="00BF6749" w:rsidRDefault="00C87555">
      <w:pPr>
        <w:numPr>
          <w:ilvl w:val="0"/>
          <w:numId w:val="25"/>
        </w:numPr>
        <w:tabs>
          <w:tab w:val="left" w:pos="426"/>
        </w:tabs>
        <w:spacing w:before="120" w:after="120" w:line="240" w:lineRule="auto"/>
        <w:ind w:left="0" w:firstLine="0"/>
        <w:jc w:val="both"/>
        <w:rPr>
          <w:rFonts w:ascii="Times New Roman" w:eastAsia="Times New Roman" w:hAnsi="Times New Roman" w:cs="Calibri"/>
          <w:noProof/>
          <w:sz w:val="24"/>
        </w:rPr>
      </w:pPr>
      <w:r>
        <w:rPr>
          <w:rFonts w:ascii="Times New Roman" w:eastAsia="Times New Roman" w:hAnsi="Times New Roman" w:cs="Calibri"/>
          <w:noProof/>
          <w:sz w:val="24"/>
        </w:rPr>
        <w:t>provision of subsidized technological equip</w:t>
      </w:r>
      <w:r>
        <w:rPr>
          <w:rFonts w:ascii="Times New Roman" w:eastAsia="Times New Roman" w:hAnsi="Times New Roman" w:cs="Calibri"/>
          <w:noProof/>
          <w:sz w:val="24"/>
        </w:rPr>
        <w:t xml:space="preserve">ment (tablet or alternatives) together with vouchers for internet access provision. </w:t>
      </w:r>
    </w:p>
    <w:p w:rsidR="00BF6749" w:rsidRDefault="00C87555">
      <w:pPr>
        <w:spacing w:before="120" w:after="120" w:line="240" w:lineRule="auto"/>
        <w:jc w:val="both"/>
        <w:rPr>
          <w:rFonts w:ascii="Times New Roman" w:hAnsi="Times New Roman"/>
          <w:noProof/>
          <w:sz w:val="24"/>
          <w:szCs w:val="24"/>
          <w:lang w:val="en-US"/>
        </w:rPr>
      </w:pPr>
      <w:r>
        <w:rPr>
          <w:rFonts w:ascii="Times New Roman" w:hAnsi="Times New Roman"/>
          <w:noProof/>
          <w:sz w:val="24"/>
          <w:szCs w:val="24"/>
          <w:lang w:val="en-US"/>
        </w:rPr>
        <w:t>The implementation of the investment shall be completed by 30 June 2026.</w:t>
      </w:r>
    </w:p>
    <w:p w:rsidR="00BF6749" w:rsidRDefault="00BF6749">
      <w:pPr>
        <w:spacing w:before="120" w:after="120" w:line="240" w:lineRule="auto"/>
        <w:ind w:left="1276"/>
        <w:jc w:val="both"/>
        <w:rPr>
          <w:rFonts w:ascii="Times New Roman" w:eastAsia="Times New Roman" w:hAnsi="Times New Roman"/>
          <w:b/>
          <w:bCs/>
          <w:noProof/>
          <w:sz w:val="24"/>
          <w:szCs w:val="24"/>
        </w:rPr>
      </w:pPr>
    </w:p>
    <w:p w:rsidR="00BF6749" w:rsidRDefault="00BF6749">
      <w:pPr>
        <w:spacing w:before="120" w:after="120" w:line="240" w:lineRule="auto"/>
        <w:ind w:left="850"/>
        <w:rPr>
          <w:rFonts w:ascii="Times New Roman" w:hAnsi="Times New Roman"/>
          <w:noProof/>
          <w:sz w:val="24"/>
          <w:lang w:val="en-US"/>
        </w:rPr>
        <w:sectPr w:rsidR="00BF6749">
          <w:headerReference w:type="even" r:id="rId210"/>
          <w:headerReference w:type="default" r:id="rId211"/>
          <w:footerReference w:type="even" r:id="rId212"/>
          <w:footerReference w:type="default" r:id="rId213"/>
          <w:headerReference w:type="first" r:id="rId214"/>
          <w:footerReference w:type="first" r:id="rId215"/>
          <w:pgSz w:w="11907" w:h="16839"/>
          <w:pgMar w:top="1134" w:right="1418" w:bottom="1134" w:left="1418" w:header="709" w:footer="709" w:gutter="0"/>
          <w:cols w:space="720"/>
          <w:docGrid w:linePitch="360"/>
        </w:sectPr>
      </w:pPr>
    </w:p>
    <w:p w:rsidR="00BF6749" w:rsidRDefault="00BF6749">
      <w:pPr>
        <w:spacing w:before="120" w:after="120" w:line="240" w:lineRule="auto"/>
        <w:jc w:val="both"/>
        <w:rPr>
          <w:rFonts w:ascii="Times New Roman" w:hAnsi="Times New Roman"/>
          <w:b/>
          <w:noProof/>
          <w:sz w:val="24"/>
          <w:u w:val="single"/>
        </w:rPr>
      </w:pPr>
    </w:p>
    <w:p w:rsidR="00BF6749" w:rsidRDefault="00C87555">
      <w:pPr>
        <w:spacing w:before="120" w:after="120" w:line="240" w:lineRule="auto"/>
        <w:ind w:left="850"/>
        <w:jc w:val="both"/>
        <w:rPr>
          <w:rFonts w:ascii="Times New Roman" w:hAnsi="Times New Roman"/>
          <w:b/>
          <w:noProof/>
          <w:sz w:val="24"/>
          <w:u w:val="single"/>
        </w:rPr>
      </w:pPr>
      <w:r>
        <w:rPr>
          <w:rFonts w:ascii="Times New Roman" w:hAnsi="Times New Roman"/>
          <w:b/>
          <w:noProof/>
          <w:sz w:val="24"/>
          <w:u w:val="single"/>
        </w:rPr>
        <w:t xml:space="preserve">A.2. </w:t>
      </w:r>
      <w:r>
        <w:rPr>
          <w:rFonts w:ascii="Times New Roman" w:hAnsi="Times New Roman"/>
          <w:b/>
          <w:noProof/>
          <w:sz w:val="24"/>
          <w:u w:val="single"/>
        </w:rPr>
        <w:tab/>
        <w:t>Milestones, targets, indicators, and</w:t>
      </w:r>
      <w:r>
        <w:rPr>
          <w:rFonts w:ascii="Times New Roman" w:hAnsi="Times New Roman"/>
          <w:b/>
          <w:noProof/>
          <w:sz w:val="24"/>
          <w:u w:val="single"/>
        </w:rPr>
        <w:t xml:space="preserve"> timetable for monitoring and implementation for non-repayable financial support</w:t>
      </w:r>
    </w:p>
    <w:p w:rsidR="00BF6749" w:rsidRDefault="00BF6749">
      <w:pPr>
        <w:spacing w:before="120" w:after="120" w:line="240" w:lineRule="auto"/>
        <w:rPr>
          <w:rFonts w:ascii="Times New Roman" w:hAnsi="Times New Roman"/>
          <w:noProof/>
          <w:sz w:val="24"/>
          <w:lang w:val="en-US"/>
        </w:rPr>
      </w:pPr>
    </w:p>
    <w:tbl>
      <w:tblPr>
        <w:tblW w:w="15735" w:type="dxa"/>
        <w:tblInd w:w="-459" w:type="dxa"/>
        <w:tblLook w:val="04A0" w:firstRow="1" w:lastRow="0" w:firstColumn="1" w:lastColumn="0" w:noHBand="0" w:noVBand="1"/>
      </w:tblPr>
      <w:tblGrid>
        <w:gridCol w:w="689"/>
        <w:gridCol w:w="1461"/>
        <w:gridCol w:w="1443"/>
        <w:gridCol w:w="1547"/>
        <w:gridCol w:w="1625"/>
        <w:gridCol w:w="1219"/>
        <w:gridCol w:w="1008"/>
        <w:gridCol w:w="816"/>
        <w:gridCol w:w="916"/>
        <w:gridCol w:w="1042"/>
        <w:gridCol w:w="3969"/>
      </w:tblGrid>
      <w:tr w:rsidR="00BF6749">
        <w:trPr>
          <w:trHeight w:val="900"/>
        </w:trPr>
        <w:tc>
          <w:tcPr>
            <w:tcW w:w="689" w:type="dxa"/>
            <w:vMerge w:val="restart"/>
            <w:tcBorders>
              <w:top w:val="single" w:sz="4" w:space="0" w:color="auto"/>
              <w:left w:val="single" w:sz="4" w:space="0" w:color="auto"/>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Seq. Num.</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461"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Related measure (Reform or Investment)</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443"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Milestone / Target</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547"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Name</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1625"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Qualitative indicators  (for milestones)</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tc>
        <w:tc>
          <w:tcPr>
            <w:tcW w:w="3043" w:type="dxa"/>
            <w:gridSpan w:val="3"/>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Quantitative indicators  (for targets)</w:t>
            </w:r>
          </w:p>
        </w:tc>
        <w:tc>
          <w:tcPr>
            <w:tcW w:w="1958" w:type="dxa"/>
            <w:gridSpan w:val="2"/>
            <w:tcBorders>
              <w:top w:val="single" w:sz="4" w:space="0" w:color="auto"/>
              <w:left w:val="nil"/>
              <w:bottom w:val="single" w:sz="4" w:space="0" w:color="auto"/>
              <w:right w:val="single" w:sz="4" w:space="0" w:color="000000"/>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xml:space="preserve">Indicative </w:t>
            </w:r>
            <w:r>
              <w:rPr>
                <w:rFonts w:ascii="Times New Roman" w:eastAsia="Times New Roman" w:hAnsi="Times New Roman"/>
                <w:b/>
                <w:noProof/>
                <w:sz w:val="20"/>
                <w:szCs w:val="20"/>
              </w:rPr>
              <w:t xml:space="preserve">timeline for completion </w:t>
            </w:r>
          </w:p>
        </w:tc>
        <w:tc>
          <w:tcPr>
            <w:tcW w:w="3969" w:type="dxa"/>
            <w:vMerge w:val="restart"/>
            <w:tcBorders>
              <w:top w:val="single" w:sz="4" w:space="0" w:color="auto"/>
              <w:left w:val="nil"/>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Description and clear definition of each milestone and target</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noProof/>
                <w:sz w:val="20"/>
                <w:szCs w:val="20"/>
              </w:rPr>
              <w:t> </w:t>
            </w:r>
          </w:p>
        </w:tc>
      </w:tr>
      <w:tr w:rsidR="00BF6749">
        <w:trPr>
          <w:trHeight w:val="987"/>
        </w:trPr>
        <w:tc>
          <w:tcPr>
            <w:tcW w:w="689" w:type="dxa"/>
            <w:vMerge/>
            <w:tcBorders>
              <w:left w:val="single" w:sz="4" w:space="0" w:color="auto"/>
              <w:bottom w:val="single" w:sz="4" w:space="0" w:color="auto"/>
              <w:right w:val="single" w:sz="4" w:space="0" w:color="auto"/>
            </w:tcBorders>
            <w:shd w:val="clear" w:color="auto" w:fill="BDD7EE"/>
            <w:vAlign w:val="center"/>
            <w:hideMark/>
          </w:tcPr>
          <w:p w:rsidR="00BF6749" w:rsidRDefault="00BF6749">
            <w:pPr>
              <w:spacing w:after="0"/>
              <w:rPr>
                <w:rFonts w:ascii="Times New Roman" w:eastAsia="Times New Roman" w:hAnsi="Times New Roman"/>
                <w:b/>
                <w:noProof/>
                <w:sz w:val="20"/>
                <w:szCs w:val="20"/>
              </w:rPr>
            </w:pPr>
          </w:p>
        </w:tc>
        <w:tc>
          <w:tcPr>
            <w:tcW w:w="1461" w:type="dxa"/>
            <w:vMerge/>
            <w:tcBorders>
              <w:left w:val="nil"/>
              <w:bottom w:val="single" w:sz="4" w:space="0" w:color="auto"/>
              <w:right w:val="single" w:sz="4" w:space="0" w:color="auto"/>
            </w:tcBorders>
            <w:shd w:val="clear" w:color="auto" w:fill="BDD7EE"/>
            <w:vAlign w:val="center"/>
            <w:hideMark/>
          </w:tcPr>
          <w:p w:rsidR="00BF6749" w:rsidRDefault="00BF6749">
            <w:pPr>
              <w:spacing w:after="0"/>
              <w:rPr>
                <w:rFonts w:ascii="Times New Roman" w:eastAsia="Times New Roman" w:hAnsi="Times New Roman"/>
                <w:b/>
                <w:noProof/>
                <w:sz w:val="20"/>
                <w:szCs w:val="20"/>
              </w:rPr>
            </w:pPr>
          </w:p>
        </w:tc>
        <w:tc>
          <w:tcPr>
            <w:tcW w:w="1443" w:type="dxa"/>
            <w:vMerge/>
            <w:tcBorders>
              <w:left w:val="nil"/>
              <w:bottom w:val="single" w:sz="4" w:space="0" w:color="auto"/>
              <w:right w:val="single" w:sz="4" w:space="0" w:color="auto"/>
            </w:tcBorders>
            <w:shd w:val="clear" w:color="auto" w:fill="BDD7EE"/>
            <w:vAlign w:val="center"/>
            <w:hideMark/>
          </w:tcPr>
          <w:p w:rsidR="00BF6749" w:rsidRDefault="00BF6749">
            <w:pPr>
              <w:spacing w:after="0"/>
              <w:rPr>
                <w:rFonts w:ascii="Times New Roman" w:eastAsia="Times New Roman" w:hAnsi="Times New Roman"/>
                <w:b/>
                <w:noProof/>
                <w:sz w:val="20"/>
                <w:szCs w:val="20"/>
              </w:rPr>
            </w:pPr>
          </w:p>
        </w:tc>
        <w:tc>
          <w:tcPr>
            <w:tcW w:w="1547" w:type="dxa"/>
            <w:vMerge/>
            <w:tcBorders>
              <w:left w:val="nil"/>
              <w:bottom w:val="single" w:sz="4" w:space="0" w:color="auto"/>
              <w:right w:val="single" w:sz="4" w:space="0" w:color="auto"/>
            </w:tcBorders>
            <w:shd w:val="clear" w:color="auto" w:fill="BDD7EE"/>
            <w:vAlign w:val="center"/>
            <w:hideMark/>
          </w:tcPr>
          <w:p w:rsidR="00BF6749" w:rsidRDefault="00BF6749">
            <w:pPr>
              <w:spacing w:after="0"/>
              <w:rPr>
                <w:rFonts w:ascii="Times New Roman" w:eastAsia="Times New Roman" w:hAnsi="Times New Roman"/>
                <w:b/>
                <w:noProof/>
                <w:sz w:val="20"/>
                <w:szCs w:val="20"/>
              </w:rPr>
            </w:pPr>
          </w:p>
        </w:tc>
        <w:tc>
          <w:tcPr>
            <w:tcW w:w="1625" w:type="dxa"/>
            <w:vMerge/>
            <w:tcBorders>
              <w:left w:val="nil"/>
              <w:bottom w:val="single" w:sz="4" w:space="0" w:color="auto"/>
              <w:right w:val="single" w:sz="4" w:space="0" w:color="auto"/>
            </w:tcBorders>
            <w:shd w:val="clear" w:color="auto" w:fill="BDD7EE"/>
            <w:vAlign w:val="center"/>
            <w:hideMark/>
          </w:tcPr>
          <w:p w:rsidR="00BF6749" w:rsidRDefault="00BF6749">
            <w:pPr>
              <w:spacing w:after="0"/>
              <w:rPr>
                <w:rFonts w:ascii="Times New Roman" w:eastAsia="Times New Roman" w:hAnsi="Times New Roman"/>
                <w:b/>
                <w:noProof/>
                <w:sz w:val="20"/>
                <w:szCs w:val="20"/>
              </w:rPr>
            </w:pPr>
          </w:p>
        </w:tc>
        <w:tc>
          <w:tcPr>
            <w:tcW w:w="1219"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Unit of measure</w:t>
            </w:r>
          </w:p>
        </w:tc>
        <w:tc>
          <w:tcPr>
            <w:tcW w:w="1008"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Baseline</w:t>
            </w:r>
          </w:p>
        </w:tc>
        <w:tc>
          <w:tcPr>
            <w:tcW w:w="816"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Goal</w:t>
            </w:r>
          </w:p>
        </w:tc>
        <w:tc>
          <w:tcPr>
            <w:tcW w:w="916"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Quarter</w:t>
            </w:r>
          </w:p>
        </w:tc>
        <w:tc>
          <w:tcPr>
            <w:tcW w:w="1042" w:type="dxa"/>
            <w:tcBorders>
              <w:top w:val="nil"/>
              <w:left w:val="nil"/>
              <w:bottom w:val="single" w:sz="4" w:space="0" w:color="auto"/>
              <w:right w:val="single" w:sz="4" w:space="0" w:color="auto"/>
            </w:tcBorders>
            <w:shd w:val="clear" w:color="auto" w:fill="BDD7EE"/>
            <w:vAlign w:val="center"/>
            <w:hideMark/>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Year</w:t>
            </w:r>
          </w:p>
        </w:tc>
        <w:tc>
          <w:tcPr>
            <w:tcW w:w="3969" w:type="dxa"/>
            <w:vMerge/>
            <w:tcBorders>
              <w:left w:val="nil"/>
              <w:bottom w:val="single" w:sz="4" w:space="0" w:color="auto"/>
              <w:right w:val="single" w:sz="4" w:space="0" w:color="auto"/>
            </w:tcBorders>
            <w:shd w:val="clear" w:color="auto" w:fill="BDD7EE"/>
            <w:vAlign w:val="center"/>
            <w:hideMark/>
          </w:tcPr>
          <w:p w:rsidR="00BF6749" w:rsidRDefault="00BF6749">
            <w:pPr>
              <w:spacing w:after="0"/>
              <w:rPr>
                <w:rFonts w:ascii="Times New Roman" w:eastAsia="Times New Roman" w:hAnsi="Times New Roman"/>
                <w:noProof/>
                <w:sz w:val="20"/>
                <w:szCs w:val="20"/>
              </w:rPr>
            </w:pPr>
          </w:p>
        </w:tc>
      </w:tr>
      <w:tr w:rsidR="00BF6749">
        <w:trPr>
          <w:trHeight w:val="961"/>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Reform 1: Creating eGovernment solutions for priority life situations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Investment</w:t>
            </w:r>
            <w:r>
              <w:rPr>
                <w:rFonts w:ascii="Times New Roman" w:eastAsia="Times New Roman" w:hAnsi="Times New Roman"/>
                <w:noProof/>
                <w:color w:val="006100"/>
                <w:sz w:val="20"/>
                <w:szCs w:val="20"/>
              </w:rPr>
              <w:t xml:space="preserve"> plan for priority life situations</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Publication of the priority list approved by the MIRRI</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Publication of the list of priority electronic services approved by the MIRRI SR, based on the eGOV benchmark</w:t>
            </w:r>
            <w:r>
              <w:rPr>
                <w:rFonts w:ascii="Times New Roman" w:hAnsi="Times New Roman"/>
                <w:noProof/>
                <w:sz w:val="20"/>
                <w:szCs w:val="20"/>
              </w:rPr>
              <w:t xml:space="preserve"> </w:t>
            </w:r>
            <w:r>
              <w:rPr>
                <w:rFonts w:ascii="Times New Roman" w:eastAsia="Times New Roman" w:hAnsi="Times New Roman"/>
                <w:noProof/>
                <w:color w:val="006100"/>
                <w:sz w:val="20"/>
                <w:szCs w:val="20"/>
              </w:rPr>
              <w:t>and taking into account the Annex II of th</w:t>
            </w:r>
            <w:r>
              <w:rPr>
                <w:rFonts w:ascii="Times New Roman" w:eastAsia="Times New Roman" w:hAnsi="Times New Roman"/>
                <w:noProof/>
                <w:color w:val="006100"/>
                <w:sz w:val="20"/>
                <w:szCs w:val="20"/>
              </w:rPr>
              <w:t xml:space="preserve">e Single Digital Gateway Regulation, </w:t>
            </w:r>
          </w:p>
        </w:tc>
      </w:tr>
      <w:tr w:rsidR="00BF6749">
        <w:trPr>
          <w:trHeight w:val="1154"/>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Reform 1: Creating eGovernment solutions for priority life situations</w:t>
            </w:r>
          </w:p>
        </w:tc>
        <w:tc>
          <w:tcPr>
            <w:tcW w:w="1443"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Roadmap of the priority life situations</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Publication of the roadmap</w:t>
            </w:r>
          </w:p>
        </w:tc>
        <w:tc>
          <w:tcPr>
            <w:tcW w:w="1219"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rPr>
                <w:rFonts w:ascii="Times New Roman" w:eastAsia="Times New Roman" w:hAnsi="Times New Roman"/>
                <w:noProof/>
                <w:color w:val="006100"/>
                <w:sz w:val="20"/>
                <w:szCs w:val="20"/>
              </w:rPr>
            </w:pPr>
          </w:p>
        </w:tc>
        <w:tc>
          <w:tcPr>
            <w:tcW w:w="1008"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rPr>
                <w:rFonts w:ascii="Times New Roman" w:eastAsia="Times New Roman" w:hAnsi="Times New Roman"/>
                <w:noProof/>
                <w:color w:val="006100"/>
                <w:sz w:val="20"/>
                <w:szCs w:val="20"/>
              </w:rPr>
            </w:pPr>
          </w:p>
        </w:tc>
        <w:tc>
          <w:tcPr>
            <w:tcW w:w="816"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2023</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Analysis of service design and </w:t>
            </w:r>
            <w:r>
              <w:rPr>
                <w:rFonts w:ascii="Times New Roman" w:eastAsia="Times New Roman" w:hAnsi="Times New Roman"/>
                <w:noProof/>
                <w:color w:val="006100"/>
                <w:sz w:val="20"/>
                <w:szCs w:val="20"/>
              </w:rPr>
              <w:t>identification of deficiencies (roadmap) for their improvement through all public institutions concerned</w:t>
            </w:r>
          </w:p>
          <w:p w:rsidR="00BF6749" w:rsidRDefault="00BF6749">
            <w:pPr>
              <w:spacing w:after="0"/>
              <w:rPr>
                <w:rFonts w:ascii="Times New Roman" w:eastAsia="Times New Roman" w:hAnsi="Times New Roman"/>
                <w:noProof/>
                <w:color w:val="006100"/>
                <w:sz w:val="20"/>
                <w:szCs w:val="20"/>
              </w:rPr>
            </w:pPr>
          </w:p>
        </w:tc>
      </w:tr>
      <w:tr w:rsidR="00BF6749">
        <w:trPr>
          <w:trHeight w:val="225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3</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Reform 2: Central management of IT resources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Central platform for the use of IT resources (digital market place)</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Launch of the platform</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2023</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Entry into service of a platform of tools and policies for a new way to buy and use IT commodities, expertise, use of cloud services and open source code. The services shall be procured centrally (framework contract) an</w:t>
            </w:r>
            <w:r>
              <w:rPr>
                <w:rFonts w:ascii="Times New Roman" w:eastAsia="Times New Roman" w:hAnsi="Times New Roman"/>
                <w:noProof/>
                <w:color w:val="006100"/>
                <w:sz w:val="20"/>
                <w:szCs w:val="20"/>
              </w:rPr>
              <w:t>d the users of the services shall have the possibility to dynamically draw on the central platform as needed.</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1: Better services for citizens and businesses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eGovernment solutions built and deployed</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BF6749">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Q1</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Deployment of digital solutions for two selected life situations, with the following features: a uniform access to the search for services; a single point for service delivery; where relevant a mobile version; uniform design; clear navig</w:t>
            </w:r>
            <w:r>
              <w:rPr>
                <w:rFonts w:ascii="Times New Roman" w:eastAsia="Times New Roman" w:hAnsi="Times New Roman"/>
                <w:noProof/>
                <w:color w:val="006100"/>
                <w:sz w:val="20"/>
                <w:szCs w:val="20"/>
              </w:rPr>
              <w:t>ation; smooth transitions through the life situation; an overview of the status of the request; status notifications; and online payments. The project shall entail integration of the solutions into the central public administration portal, a redesign of bu</w:t>
            </w:r>
            <w:r>
              <w:rPr>
                <w:rFonts w:ascii="Times New Roman" w:eastAsia="Times New Roman" w:hAnsi="Times New Roman"/>
                <w:noProof/>
                <w:color w:val="006100"/>
                <w:sz w:val="20"/>
                <w:szCs w:val="20"/>
              </w:rPr>
              <w:t>siness processes into comprehensive, an upgrade of the agenda systems and connection to the central middleware and central backend systems. Implementation of the two most used life situations.</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Digital Slovakia - Investment 1: Better services for </w:t>
            </w:r>
            <w:r>
              <w:rPr>
                <w:rFonts w:ascii="Times New Roman" w:eastAsia="Times New Roman" w:hAnsi="Times New Roman"/>
                <w:noProof/>
                <w:color w:val="006100"/>
                <w:sz w:val="20"/>
                <w:szCs w:val="20"/>
              </w:rPr>
              <w:t>citizens and businesses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eGovernment solutions built and deployed</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16</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2026 </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Full implementation of digital solutions for 16 selected life situations, with the following features: a uniform access to the search for services; a </w:t>
            </w:r>
            <w:r>
              <w:rPr>
                <w:rFonts w:ascii="Times New Roman" w:eastAsia="Times New Roman" w:hAnsi="Times New Roman"/>
                <w:noProof/>
                <w:color w:val="006100"/>
                <w:sz w:val="20"/>
                <w:szCs w:val="20"/>
              </w:rPr>
              <w:t>single point for service delivery; where relevant a mobile version; uniform design; clear navigation; smooth transitions through the life situation; an overview of the status of the request; status notifications; and online payments. The project shall enta</w:t>
            </w:r>
            <w:r>
              <w:rPr>
                <w:rFonts w:ascii="Times New Roman" w:eastAsia="Times New Roman" w:hAnsi="Times New Roman"/>
                <w:noProof/>
                <w:color w:val="006100"/>
                <w:sz w:val="20"/>
                <w:szCs w:val="20"/>
              </w:rPr>
              <w:t>il integration of the solutions into the central public administration portal, a redesign of business processes into comprehensive, an upgrade of agenda systems and connection to the central middleware and central backend systems.</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6</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Digital Slovakia </w:t>
            </w:r>
            <w:r>
              <w:rPr>
                <w:rFonts w:ascii="Times New Roman" w:eastAsia="Times New Roman" w:hAnsi="Times New Roman"/>
                <w:noProof/>
                <w:color w:val="006100"/>
                <w:sz w:val="20"/>
                <w:szCs w:val="20"/>
              </w:rPr>
              <w:t>- Investment 1: Better services for citizens and businesses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Platform for the development and provision of priority life situations</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Full implementation of the platform</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2024 </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Modernisation of the frontend, backend and middleware platform (common modules) on the principles of low code configurable components centrally managed for all public service providers. The platform is a pre-requisite for the deployment of eGovernment solu</w:t>
            </w:r>
            <w:r>
              <w:rPr>
                <w:rFonts w:ascii="Times New Roman" w:eastAsia="Times New Roman" w:hAnsi="Times New Roman"/>
                <w:noProof/>
                <w:color w:val="006100"/>
                <w:sz w:val="20"/>
                <w:szCs w:val="20"/>
              </w:rPr>
              <w:t xml:space="preserve">tions for life situations. </w:t>
            </w:r>
          </w:p>
          <w:p w:rsidR="00BF6749" w:rsidRDefault="00BF6749">
            <w:pPr>
              <w:spacing w:after="0"/>
              <w:rPr>
                <w:rFonts w:ascii="Times New Roman" w:eastAsia="Times New Roman" w:hAnsi="Times New Roman"/>
                <w:noProof/>
                <w:color w:val="006100"/>
                <w:sz w:val="20"/>
                <w:szCs w:val="20"/>
              </w:rPr>
            </w:pP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7</w:t>
            </w:r>
          </w:p>
        </w:tc>
        <w:tc>
          <w:tcPr>
            <w:tcW w:w="1461"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2: Digital transformation of public service delivery</w:t>
            </w:r>
          </w:p>
        </w:tc>
        <w:tc>
          <w:tcPr>
            <w:tcW w:w="1443"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Digital transformation of public administration sections</w:t>
            </w:r>
          </w:p>
        </w:tc>
        <w:tc>
          <w:tcPr>
            <w:tcW w:w="1625" w:type="dxa"/>
            <w:tcBorders>
              <w:top w:val="nil"/>
              <w:left w:val="nil"/>
              <w:bottom w:val="single" w:sz="4" w:space="0" w:color="auto"/>
              <w:right w:val="single" w:sz="4" w:space="0" w:color="auto"/>
            </w:tcBorders>
            <w:shd w:val="clear" w:color="auto" w:fill="C6EFCE"/>
            <w:vAlign w:val="center"/>
          </w:tcPr>
          <w:p w:rsidR="00BF6749" w:rsidRDefault="00BF6749">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8</w:t>
            </w:r>
          </w:p>
        </w:tc>
        <w:tc>
          <w:tcPr>
            <w:tcW w:w="9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Eight processes and sections  in public </w:t>
            </w:r>
            <w:r>
              <w:rPr>
                <w:rFonts w:ascii="Times New Roman" w:eastAsia="Times New Roman" w:hAnsi="Times New Roman"/>
                <w:noProof/>
                <w:color w:val="006100"/>
                <w:sz w:val="20"/>
                <w:szCs w:val="20"/>
              </w:rPr>
              <w:t>administration shall be optimised and automated. Investments shall aim at improving quality of public services or improving efficiency (through reduction of operating costs, procedural errors, completion timelines or human resource requirements). This shal</w:t>
            </w:r>
            <w:r>
              <w:rPr>
                <w:rFonts w:ascii="Times New Roman" w:eastAsia="Times New Roman" w:hAnsi="Times New Roman"/>
                <w:noProof/>
                <w:color w:val="006100"/>
                <w:sz w:val="20"/>
                <w:szCs w:val="20"/>
              </w:rPr>
              <w:t>l be achieved, as appropriate, by amending legislation or by changing the organisation of processes. Public administration sections are registered in the Central Metainformation System of Public Administration according to the Act No.575/2001 Coll.</w:t>
            </w:r>
            <w:r>
              <w:rPr>
                <w:rFonts w:ascii="Times New Roman" w:hAnsi="Times New Roman"/>
                <w:noProof/>
                <w:color w:val="444444"/>
                <w:sz w:val="20"/>
                <w:szCs w:val="20"/>
                <w:shd w:val="clear" w:color="auto" w:fill="FFFFFF"/>
              </w:rPr>
              <w:t xml:space="preserve"> </w:t>
            </w:r>
            <w:r>
              <w:rPr>
                <w:rFonts w:ascii="Times New Roman" w:eastAsia="Times New Roman" w:hAnsi="Times New Roman"/>
                <w:noProof/>
                <w:color w:val="006100"/>
                <w:sz w:val="20"/>
                <w:szCs w:val="20"/>
              </w:rPr>
              <w:t xml:space="preserve">on the </w:t>
            </w:r>
            <w:r>
              <w:rPr>
                <w:rFonts w:ascii="Times New Roman" w:eastAsia="Times New Roman" w:hAnsi="Times New Roman"/>
                <w:noProof/>
                <w:color w:val="006100"/>
                <w:sz w:val="20"/>
                <w:szCs w:val="20"/>
              </w:rPr>
              <w:t>organisation of government activities and the organisation of central state administration.</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8</w:t>
            </w:r>
          </w:p>
        </w:tc>
        <w:tc>
          <w:tcPr>
            <w:tcW w:w="1461"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2: Digital transformation of public service delivery</w:t>
            </w:r>
          </w:p>
        </w:tc>
        <w:tc>
          <w:tcPr>
            <w:tcW w:w="1443"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Digital transformation of public administration sections </w:t>
            </w:r>
          </w:p>
        </w:tc>
        <w:tc>
          <w:tcPr>
            <w:tcW w:w="1625"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8</w:t>
            </w:r>
          </w:p>
        </w:tc>
        <w:tc>
          <w:tcPr>
            <w:tcW w:w="8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42</w:t>
            </w:r>
          </w:p>
        </w:tc>
        <w:tc>
          <w:tcPr>
            <w:tcW w:w="9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2026 </w:t>
            </w:r>
          </w:p>
        </w:tc>
        <w:tc>
          <w:tcPr>
            <w:tcW w:w="3969"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42 processes and  sections  in public administration shall be optimised and automated. Investments shall aim at improving quality of public services or improving efficiency (through reduction of operating costs, procedural errors, completion</w:t>
            </w:r>
            <w:r>
              <w:rPr>
                <w:rFonts w:ascii="Times New Roman" w:eastAsia="Times New Roman" w:hAnsi="Times New Roman"/>
                <w:noProof/>
                <w:color w:val="006100"/>
                <w:sz w:val="20"/>
                <w:szCs w:val="20"/>
              </w:rPr>
              <w:t xml:space="preserve"> timelines or human resource requirements). This shall be achieved, as appropriate, by amending legislation or by changing the organisation of processes. Public administration sections are registered in the Central Metainformation System of Public Administ</w:t>
            </w:r>
            <w:r>
              <w:rPr>
                <w:rFonts w:ascii="Times New Roman" w:eastAsia="Times New Roman" w:hAnsi="Times New Roman"/>
                <w:noProof/>
                <w:color w:val="006100"/>
                <w:sz w:val="20"/>
                <w:szCs w:val="20"/>
              </w:rPr>
              <w:t>ration according to the Act No.575/2001 Coll.</w:t>
            </w:r>
            <w:r>
              <w:rPr>
                <w:rFonts w:ascii="Times New Roman" w:hAnsi="Times New Roman"/>
                <w:noProof/>
                <w:color w:val="444444"/>
                <w:sz w:val="20"/>
                <w:szCs w:val="20"/>
                <w:shd w:val="clear" w:color="auto" w:fill="FFFFFF"/>
              </w:rPr>
              <w:t xml:space="preserve"> </w:t>
            </w:r>
            <w:r>
              <w:rPr>
                <w:rFonts w:ascii="Times New Roman" w:eastAsia="Times New Roman" w:hAnsi="Times New Roman"/>
                <w:noProof/>
                <w:color w:val="006100"/>
                <w:sz w:val="20"/>
                <w:szCs w:val="20"/>
              </w:rPr>
              <w:t>on the organisation of government activities and the organisation of central state administration.</w:t>
            </w:r>
          </w:p>
          <w:p w:rsidR="00BF6749" w:rsidRDefault="00BF6749">
            <w:pPr>
              <w:spacing w:after="0"/>
              <w:rPr>
                <w:rFonts w:ascii="Times New Roman" w:eastAsia="Times New Roman" w:hAnsi="Times New Roman"/>
                <w:noProof/>
                <w:color w:val="006100"/>
                <w:sz w:val="20"/>
                <w:szCs w:val="20"/>
              </w:rPr>
            </w:pP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9</w:t>
            </w:r>
          </w:p>
        </w:tc>
        <w:tc>
          <w:tcPr>
            <w:tcW w:w="1461"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Reform 3: Managing the digital transformation of the economy and society</w:t>
            </w:r>
          </w:p>
        </w:tc>
        <w:tc>
          <w:tcPr>
            <w:tcW w:w="1443"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Action Plan for the Digital Transformation of Slovakia for years 2023-2026</w:t>
            </w:r>
          </w:p>
        </w:tc>
        <w:tc>
          <w:tcPr>
            <w:tcW w:w="1625"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Development and adoption by the MIRRI </w:t>
            </w:r>
          </w:p>
        </w:tc>
        <w:tc>
          <w:tcPr>
            <w:tcW w:w="1219"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Adoption by the MIRRI of a new strategic document – Action Plan for the Digital Transformation of Slovakia for years 2023-2026. The Action Plan shall put forward actions to improve Slovakia's digital performance, building on 2030 Digital Transformation Str</w:t>
            </w:r>
            <w:r>
              <w:rPr>
                <w:rFonts w:ascii="Times New Roman" w:eastAsia="Times New Roman" w:hAnsi="Times New Roman"/>
                <w:noProof/>
                <w:color w:val="006100"/>
                <w:sz w:val="20"/>
                <w:szCs w:val="20"/>
              </w:rPr>
              <w:t xml:space="preserve">ategy for Slovakia and building on the current 2019-2022 roadmap. </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3: Engaging in multi-country European projects related to the digital economy</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Number  of Digital Innovation Hubs/ European Digital Innovation Hubs </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5</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Q3</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This target shall be achieved through:</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 Building a network of four of European Digital Innovation Hubs (EDIHs) in Slovakia that shall provide services to businesse</w:t>
            </w:r>
            <w:r>
              <w:rPr>
                <w:rFonts w:ascii="Times New Roman" w:eastAsia="Times New Roman" w:hAnsi="Times New Roman"/>
                <w:noProof/>
                <w:color w:val="006100"/>
                <w:sz w:val="20"/>
                <w:szCs w:val="20"/>
              </w:rPr>
              <w:t xml:space="preserve">s to support the deployment of new technologies and innovation. They shall participate in the pan-European network of EDIHs. The candidates for establishing the four EDIHs were nominated in September 2020. </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2.In addition to the 4 EDIHs, at least one addit</w:t>
            </w:r>
            <w:r>
              <w:rPr>
                <w:rFonts w:ascii="Times New Roman" w:eastAsia="Times New Roman" w:hAnsi="Times New Roman"/>
                <w:noProof/>
                <w:color w:val="006100"/>
                <w:sz w:val="20"/>
                <w:szCs w:val="20"/>
              </w:rPr>
              <w:t>ional centre shall be set up following one of the two options:</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 EDIH without financial support from the Digital Europe programme, which shall be awarded the Seal of Excellence in the EC competition; or </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(b) a local DIH that shall be selected under the n</w:t>
            </w:r>
            <w:r>
              <w:rPr>
                <w:rFonts w:ascii="Times New Roman" w:eastAsia="Times New Roman" w:hAnsi="Times New Roman"/>
                <w:noProof/>
                <w:color w:val="006100"/>
                <w:sz w:val="20"/>
                <w:szCs w:val="20"/>
              </w:rPr>
              <w:t xml:space="preserve">ational scheme and will complement the network of existing EDIHs. </w:t>
            </w:r>
          </w:p>
        </w:tc>
      </w:tr>
      <w:tr w:rsidR="00BF6749">
        <w:trPr>
          <w:trHeight w:val="10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11</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3: Engaging in multi-country European projects related to the digital economy</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Development and construction of the supercomputer for the </w:t>
            </w:r>
            <w:r>
              <w:rPr>
                <w:rFonts w:ascii="Times New Roman" w:eastAsia="Times New Roman" w:hAnsi="Times New Roman"/>
                <w:noProof/>
                <w:color w:val="006100"/>
                <w:sz w:val="20"/>
                <w:szCs w:val="20"/>
              </w:rPr>
              <w:t>national supercomputing centre</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Commissioning of the supercomputer and submission of a handover note</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rPr>
                <w:rFonts w:ascii="Times New Roman" w:eastAsia="Times New Roman" w:hAnsi="Times New Roman"/>
                <w:noProof/>
                <w:color w:val="006100"/>
                <w:sz w:val="20"/>
                <w:szCs w:val="20"/>
              </w:rPr>
            </w:pP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rPr>
                <w:rFonts w:ascii="Times New Roman" w:eastAsia="Times New Roman" w:hAnsi="Times New Roman"/>
                <w:noProof/>
                <w:color w:val="006100"/>
                <w:sz w:val="20"/>
                <w:szCs w:val="20"/>
              </w:rPr>
            </w:pP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BF6749">
            <w:pPr>
              <w:spacing w:after="0"/>
              <w:rPr>
                <w:rFonts w:ascii="Times New Roman" w:eastAsia="Times New Roman" w:hAnsi="Times New Roman"/>
                <w:noProof/>
                <w:color w:val="006100"/>
                <w:sz w:val="20"/>
                <w:szCs w:val="20"/>
              </w:rPr>
            </w:pP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commissioning and entry into service of the computing infrastructure on the basis of functional tests and a handover protocol. </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investme</w:t>
            </w:r>
            <w:r>
              <w:rPr>
                <w:rFonts w:ascii="Times New Roman" w:eastAsia="Times New Roman" w:hAnsi="Times New Roman"/>
                <w:noProof/>
                <w:color w:val="006100"/>
                <w:sz w:val="20"/>
                <w:szCs w:val="20"/>
              </w:rPr>
              <w:t xml:space="preserve">nt  shall finance the construction  of  a the supercomputer using an architecture featuring integrated CPU and GPU on a single chip, with an ambition to rate in the top 10 of the global Green500 list of the high energy efficient supercomputers. Details of </w:t>
            </w:r>
            <w:r>
              <w:rPr>
                <w:rFonts w:ascii="Times New Roman" w:eastAsia="Times New Roman" w:hAnsi="Times New Roman"/>
                <w:noProof/>
                <w:color w:val="006100"/>
                <w:sz w:val="20"/>
                <w:szCs w:val="20"/>
              </w:rPr>
              <w:t>the architecture shall be specified in the feasibility study.</w:t>
            </w:r>
          </w:p>
        </w:tc>
      </w:tr>
      <w:tr w:rsidR="00BF6749">
        <w:trPr>
          <w:trHeight w:val="288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12</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3: Engaging in multi-country European projects related to the digital economy</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Participation in multi-country digital projects from the pre-defined set </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Support granted to participation in two multi-country digital projects from the following set proposed by the European Commission:   Security Operation Centres, </w:t>
            </w:r>
            <w:r>
              <w:rPr>
                <w:rFonts w:ascii="Times New Roman" w:eastAsia="Times New Roman" w:hAnsi="Times New Roman"/>
                <w:noProof/>
                <w:color w:val="006100"/>
                <w:sz w:val="20"/>
                <w:szCs w:val="20"/>
              </w:rPr>
              <w:t>MediaInvest, European Blockchain Services Infrastructure, EuroQCI, 5G Corridors, Common European Data Infrastructure, Processors and Semiconductor chips, Connected Public Administration, Genome of Europe, Digital Skills.</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13</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Digital Slovakia - </w:t>
            </w:r>
            <w:r>
              <w:rPr>
                <w:rFonts w:ascii="Times New Roman" w:eastAsia="Times New Roman" w:hAnsi="Times New Roman"/>
                <w:noProof/>
                <w:color w:val="006100"/>
                <w:sz w:val="20"/>
                <w:szCs w:val="20"/>
              </w:rPr>
              <w:t>Investment 4: Support for projects aiming at the development and application of top digital technologies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Design of support  scheme for development and application of top digital technologies</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Launch of a support scheme</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 support scheme for research and development of digital solutions shall be set up and published by the implementation unit of the MIRRI  for small and medium sized enterprises, large companies, private R&amp;D institutions, public R&amp;D institutions including a</w:t>
            </w:r>
            <w:r>
              <w:rPr>
                <w:rFonts w:ascii="Times New Roman" w:eastAsia="Times New Roman" w:hAnsi="Times New Roman"/>
                <w:noProof/>
                <w:color w:val="006100"/>
                <w:sz w:val="20"/>
                <w:szCs w:val="20"/>
              </w:rPr>
              <w:t xml:space="preserve">cademia and Slovak Academy of Sciences,  non-governmental and non-profit organizations, media,  public institutions including municipalities and other eligible applicants. </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scheme shall also serve as a co-funding mechanism for projects that succeed in</w:t>
            </w:r>
            <w:r>
              <w:rPr>
                <w:rFonts w:ascii="Times New Roman" w:eastAsia="Times New Roman" w:hAnsi="Times New Roman"/>
                <w:noProof/>
                <w:color w:val="006100"/>
                <w:sz w:val="20"/>
                <w:szCs w:val="20"/>
              </w:rPr>
              <w:t xml:space="preserve"> directly managed EU programmes (Digital Europe, Horizon Europe and the Connecting Europe Facility). Priority shall be given to successful projects based on an IPCEI assessment by the European Commission. Projects shall also be assessed on the basis of the</w:t>
            </w:r>
            <w:r>
              <w:rPr>
                <w:rFonts w:ascii="Times New Roman" w:eastAsia="Times New Roman" w:hAnsi="Times New Roman"/>
                <w:noProof/>
                <w:color w:val="006100"/>
                <w:sz w:val="20"/>
                <w:szCs w:val="20"/>
              </w:rPr>
              <w:t xml:space="preserve"> priority areas defined in dimension 4 (Digital Transformation of Slovakia) in the Smart Specialisation Strategy (RIS3).</w:t>
            </w:r>
          </w:p>
          <w:p w:rsidR="00BF6749" w:rsidRDefault="00BF6749">
            <w:pPr>
              <w:spacing w:after="0"/>
              <w:rPr>
                <w:rFonts w:ascii="Times New Roman" w:eastAsia="Times New Roman" w:hAnsi="Times New Roman"/>
                <w:noProof/>
                <w:color w:val="006100"/>
                <w:sz w:val="20"/>
                <w:szCs w:val="20"/>
              </w:rPr>
            </w:pP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14</w:t>
            </w:r>
          </w:p>
        </w:tc>
        <w:tc>
          <w:tcPr>
            <w:tcW w:w="1461"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4: Support for projects aiming at the development and application of top digital technologies</w:t>
            </w:r>
          </w:p>
        </w:tc>
        <w:tc>
          <w:tcPr>
            <w:tcW w:w="1443"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projects for development and application of top digital technologies</w:t>
            </w:r>
          </w:p>
        </w:tc>
        <w:tc>
          <w:tcPr>
            <w:tcW w:w="1625"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w:t>
            </w:r>
          </w:p>
        </w:tc>
        <w:tc>
          <w:tcPr>
            <w:tcW w:w="9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tcPr>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Support disbursed to 20 projects in development and application of digital solutions under the support scheme</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15</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Digital Slovakia - </w:t>
            </w:r>
            <w:r>
              <w:rPr>
                <w:rFonts w:ascii="Times New Roman" w:eastAsia="Times New Roman" w:hAnsi="Times New Roman"/>
                <w:noProof/>
                <w:color w:val="006100"/>
                <w:sz w:val="20"/>
                <w:szCs w:val="20"/>
              </w:rPr>
              <w:t>Investment 4: Support for projects aiming at the development and application of top digital technologies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projects for development and application of top digital technologies</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43</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2026 </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Support disbursed to 43 projects in </w:t>
            </w:r>
            <w:r>
              <w:rPr>
                <w:rFonts w:ascii="Times New Roman" w:eastAsia="Times New Roman" w:hAnsi="Times New Roman"/>
                <w:noProof/>
                <w:color w:val="006100"/>
                <w:sz w:val="20"/>
                <w:szCs w:val="20"/>
              </w:rPr>
              <w:t>development and application of digital solutions under the support scheme</w:t>
            </w:r>
          </w:p>
          <w:p w:rsidR="00BF6749" w:rsidRDefault="00BF6749">
            <w:pPr>
              <w:spacing w:after="0"/>
              <w:rPr>
                <w:rFonts w:ascii="Times New Roman" w:eastAsia="Times New Roman" w:hAnsi="Times New Roman"/>
                <w:noProof/>
                <w:color w:val="006100"/>
                <w:sz w:val="20"/>
                <w:szCs w:val="20"/>
              </w:rPr>
            </w:pPr>
          </w:p>
          <w:p w:rsidR="00BF6749" w:rsidRDefault="00BF6749">
            <w:pPr>
              <w:spacing w:after="0"/>
              <w:rPr>
                <w:rFonts w:ascii="Times New Roman" w:eastAsia="Times New Roman" w:hAnsi="Times New Roman"/>
                <w:noProof/>
                <w:color w:val="006100"/>
                <w:sz w:val="20"/>
                <w:szCs w:val="20"/>
              </w:rPr>
            </w:pP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16</w:t>
            </w:r>
          </w:p>
        </w:tc>
        <w:tc>
          <w:tcPr>
            <w:tcW w:w="1461"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5: Fast grants – hackathons</w:t>
            </w:r>
          </w:p>
        </w:tc>
        <w:tc>
          <w:tcPr>
            <w:tcW w:w="1443"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organised fast grant events - hackathons</w:t>
            </w:r>
          </w:p>
        </w:tc>
        <w:tc>
          <w:tcPr>
            <w:tcW w:w="1625" w:type="dxa"/>
            <w:tcBorders>
              <w:top w:val="nil"/>
              <w:left w:val="nil"/>
              <w:bottom w:val="single" w:sz="4" w:space="0" w:color="auto"/>
              <w:right w:val="single" w:sz="4" w:space="0" w:color="auto"/>
            </w:tcBorders>
            <w:shd w:val="clear" w:color="auto" w:fill="C6EFCE"/>
            <w:vAlign w:val="center"/>
          </w:tcPr>
          <w:p w:rsidR="00BF6749" w:rsidRDefault="00BF6749">
            <w:pPr>
              <w:spacing w:after="0"/>
              <w:rPr>
                <w:rFonts w:ascii="Times New Roman" w:eastAsia="Times New Roman" w:hAnsi="Times New Roman"/>
                <w:noProof/>
                <w:color w:val="006100"/>
                <w:sz w:val="20"/>
                <w:szCs w:val="20"/>
              </w:rPr>
            </w:pPr>
          </w:p>
        </w:tc>
        <w:tc>
          <w:tcPr>
            <w:tcW w:w="1219"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w:t>
            </w:r>
          </w:p>
        </w:tc>
        <w:tc>
          <w:tcPr>
            <w:tcW w:w="916" w:type="dxa"/>
            <w:tcBorders>
              <w:top w:val="nil"/>
              <w:left w:val="nil"/>
              <w:bottom w:val="single" w:sz="4" w:space="0" w:color="auto"/>
              <w:right w:val="single" w:sz="4" w:space="0" w:color="auto"/>
            </w:tcBorders>
            <w:shd w:val="clear" w:color="auto" w:fill="C6EFCE"/>
            <w:noWrap/>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Organisation of 20 Hackathons - </w:t>
            </w:r>
            <w:r>
              <w:rPr>
                <w:rFonts w:ascii="Times New Roman" w:eastAsia="Times New Roman" w:hAnsi="Times New Roman"/>
                <w:noProof/>
                <w:color w:val="006100"/>
                <w:sz w:val="20"/>
                <w:szCs w:val="20"/>
              </w:rPr>
              <w:t>events where fast grants shall be awarded for innovative solutions to most innovative solutions for current societal challenges. The event shall involve start-ups, other companies, research institutions, universities and their students, and other specialis</w:t>
            </w:r>
            <w:r>
              <w:rPr>
                <w:rFonts w:ascii="Times New Roman" w:eastAsia="Times New Roman" w:hAnsi="Times New Roman"/>
                <w:noProof/>
                <w:color w:val="006100"/>
                <w:sz w:val="20"/>
                <w:szCs w:val="20"/>
              </w:rPr>
              <w:t>ts.</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Winning teams shall provide their solutions to the public administration or the wider public.</w:t>
            </w:r>
          </w:p>
          <w:p w:rsidR="00BF6749" w:rsidRDefault="00BF6749">
            <w:pPr>
              <w:spacing w:after="0"/>
              <w:rPr>
                <w:rFonts w:ascii="Times New Roman" w:eastAsia="Times New Roman" w:hAnsi="Times New Roman"/>
                <w:noProof/>
                <w:color w:val="006100"/>
                <w:sz w:val="20"/>
                <w:szCs w:val="20"/>
              </w:rPr>
            </w:pP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Reform 5: Improving cybersecurity training and skills (ITVS – Information technologies for public administration)</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Number of IT staff in public administration trained in cybersecurity </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29</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600</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An additional 571 IT experts in the public administration environment retrained for cybersecurity at ‘professional’, ‘Manager’ and ‘IT Manager’ levels.</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18</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w:t>
            </w:r>
            <w:r>
              <w:rPr>
                <w:rFonts w:ascii="Times New Roman" w:eastAsia="Times New Roman" w:hAnsi="Times New Roman"/>
                <w:noProof/>
                <w:color w:val="006100"/>
                <w:sz w:val="20"/>
                <w:szCs w:val="20"/>
              </w:rPr>
              <w:t>Digital Slovakia - Investment 6: Strengthening preventive measures, increasing the speed of incident detection and resolution (ITVS – Information technologies for public administration)</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Number of secured IT systems  in the public administration </w:t>
            </w:r>
            <w:r>
              <w:rPr>
                <w:rFonts w:ascii="Times New Roman" w:eastAsia="Times New Roman" w:hAnsi="Times New Roman"/>
                <w:noProof/>
                <w:color w:val="006100"/>
                <w:sz w:val="20"/>
                <w:szCs w:val="20"/>
              </w:rPr>
              <w:t>environment</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70</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1000</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2024</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 Securing of 1000 IT systems, which shall be defined as: the Early Warning System (EWS) tools are integrated into the Cybersecurity Incident Management System, deploying the necessary hardware/software elements, bidirec</w:t>
            </w:r>
            <w:r>
              <w:rPr>
                <w:rFonts w:ascii="Times New Roman" w:eastAsia="Times New Roman" w:hAnsi="Times New Roman"/>
                <w:noProof/>
                <w:color w:val="006100"/>
                <w:sz w:val="20"/>
                <w:szCs w:val="20"/>
              </w:rPr>
              <w:t xml:space="preserve">tional encrypted communication, and warning dispatch. </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19</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 – Digital Slovakia - Investment 6: Strengthening preventive measures, increasing the speed of incident detection and resolution (ITVS – Information technologies for public administration)</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Security audits of applications in  public administration environment </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Deployment of new or update of existing applications into service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2025</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Deployment of new or revised audit tools of cybersecurity vulnerability of public IT applications. The assessment shall be performed by penetrating tests and using vulnerability assessment software, while security audit verification shall always take place</w:t>
            </w:r>
            <w:r>
              <w:rPr>
                <w:rFonts w:ascii="Times New Roman" w:eastAsia="Times New Roman" w:hAnsi="Times New Roman"/>
                <w:noProof/>
                <w:color w:val="006100"/>
                <w:sz w:val="20"/>
                <w:szCs w:val="20"/>
              </w:rPr>
              <w:t xml:space="preserve"> before deployment. for the verification of critical vulnerabilities. </w:t>
            </w: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Priority shall be given to information systems that are part of critical infrastructure.</w:t>
            </w:r>
          </w:p>
        </w:tc>
      </w:tr>
      <w:tr w:rsidR="00BF6749">
        <w:trPr>
          <w:trHeight w:val="210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Digital Slovakia - Reform 6: A strategic approach to education in digital skills in cooperation with representatives of key stakeholders </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National Digital Skills Strategy</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lang w:val="en-US"/>
              </w:rPr>
              <w:t xml:space="preserve">Approval </w:t>
            </w:r>
            <w:r>
              <w:rPr>
                <w:rFonts w:ascii="Times New Roman" w:eastAsia="Times New Roman" w:hAnsi="Times New Roman"/>
                <w:noProof/>
                <w:color w:val="006100"/>
                <w:sz w:val="20"/>
                <w:szCs w:val="20"/>
              </w:rPr>
              <w:t xml:space="preserve">of the Digital Skills Strategy by the Slovak Government  and </w:t>
            </w:r>
            <w:r>
              <w:rPr>
                <w:rFonts w:ascii="Times New Roman" w:eastAsia="Times New Roman" w:hAnsi="Times New Roman"/>
                <w:noProof/>
                <w:color w:val="006100"/>
                <w:sz w:val="20"/>
                <w:szCs w:val="20"/>
              </w:rPr>
              <w:t>publication</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strategy shall focus on persons in productive and post-productive age and shall include an analysis of the state of play, a definition of existing barriers and a vision of education for the next period and of life-long learnin</w:t>
            </w:r>
            <w:r>
              <w:rPr>
                <w:rFonts w:ascii="Times New Roman" w:eastAsia="Times New Roman" w:hAnsi="Times New Roman"/>
                <w:noProof/>
                <w:color w:val="006100"/>
                <w:sz w:val="20"/>
                <w:szCs w:val="20"/>
              </w:rPr>
              <w:t>g in line with the OECD 2020 recommendations, as well as a proposal for measures and recommendations for public administrations to improve the status quo and meet the targets set. The measures shall be financed from other sources than the RRF.</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21</w:t>
            </w:r>
          </w:p>
        </w:tc>
        <w:tc>
          <w:tcPr>
            <w:tcW w:w="1461"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w:t>
            </w:r>
            <w:r>
              <w:rPr>
                <w:rFonts w:ascii="Times New Roman" w:eastAsia="Times New Roman" w:hAnsi="Times New Roman"/>
                <w:noProof/>
                <w:color w:val="006100"/>
                <w:sz w:val="20"/>
                <w:szCs w:val="20"/>
              </w:rPr>
              <w:t>Digital Slovakia - Investment 7: Improving the digital skills of seniors and the distribution of Senior Tablets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seniors and disadvantaged persons trained in basic digital skills</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0</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1000</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2022</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Implementation of a pilot project  to validate the proposed activities and solutions to increase digital skills among a sample of 1000 seniors and disadvantaged persons. This shall be achieved by completion of a training program followed by distribution of</w:t>
            </w:r>
            <w:r>
              <w:rPr>
                <w:rFonts w:ascii="Times New Roman" w:eastAsia="Times New Roman" w:hAnsi="Times New Roman"/>
                <w:noProof/>
                <w:color w:val="006100"/>
                <w:sz w:val="20"/>
                <w:szCs w:val="20"/>
              </w:rPr>
              <w:t xml:space="preserve"> subsidised equipment. </w:t>
            </w:r>
          </w:p>
          <w:p w:rsidR="00BF6749" w:rsidRDefault="00BF6749">
            <w:pPr>
              <w:spacing w:after="0"/>
              <w:rPr>
                <w:rFonts w:ascii="Times New Roman" w:eastAsia="Times New Roman" w:hAnsi="Times New Roman"/>
                <w:noProof/>
                <w:color w:val="006100"/>
                <w:sz w:val="20"/>
                <w:szCs w:val="20"/>
              </w:rPr>
            </w:pPr>
          </w:p>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The results of the pilot project shall be assessed and lead to a decision on the form of the continuation of the project.</w:t>
            </w:r>
          </w:p>
        </w:tc>
      </w:tr>
      <w:tr w:rsidR="00BF6749">
        <w:trPr>
          <w:trHeight w:val="192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22</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17 – Digital Slovakia - Investment 7: Improving the digital skills of seniors and the distribution of </w:t>
            </w:r>
            <w:r>
              <w:rPr>
                <w:rFonts w:ascii="Times New Roman" w:eastAsia="Times New Roman" w:hAnsi="Times New Roman"/>
                <w:noProof/>
                <w:color w:val="006100"/>
                <w:sz w:val="20"/>
                <w:szCs w:val="20"/>
              </w:rPr>
              <w:t>Senior Tablets</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Target</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 of seniors and disadvantaged persons trained in basic digital skills</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Number</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1000</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172800</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Q2</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2026</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Following the pilot project and its recommendations, improve the digital skills of 172 800 elderly people and disadvantaged people. This shall be achieved by completion of a training program and distribution of subsidised equipment for each person. </w:t>
            </w:r>
          </w:p>
        </w:tc>
      </w:tr>
      <w:tr w:rsidR="00BF6749">
        <w:trPr>
          <w:trHeight w:val="130"/>
        </w:trPr>
        <w:tc>
          <w:tcPr>
            <w:tcW w:w="689" w:type="dxa"/>
            <w:tcBorders>
              <w:top w:val="nil"/>
              <w:left w:val="single" w:sz="4" w:space="0" w:color="auto"/>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23</w:t>
            </w:r>
          </w:p>
        </w:tc>
        <w:tc>
          <w:tcPr>
            <w:tcW w:w="1461"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17</w:t>
            </w:r>
            <w:r>
              <w:rPr>
                <w:rFonts w:ascii="Times New Roman" w:eastAsia="Times New Roman" w:hAnsi="Times New Roman"/>
                <w:noProof/>
                <w:color w:val="006100"/>
                <w:sz w:val="20"/>
                <w:szCs w:val="20"/>
              </w:rPr>
              <w:t xml:space="preserve"> – Digital Slovakia - Reform 4: Standardisation of technical and procedural cybersecurity solutions (ITVS – Information technologies for public administration)</w:t>
            </w:r>
          </w:p>
        </w:tc>
        <w:tc>
          <w:tcPr>
            <w:tcW w:w="1443"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Milestone</w:t>
            </w:r>
          </w:p>
        </w:tc>
        <w:tc>
          <w:tcPr>
            <w:tcW w:w="1547"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National Concept for Informatisation of Public Administration (NKIVS) 2021-2030</w:t>
            </w:r>
          </w:p>
        </w:tc>
        <w:tc>
          <w:tcPr>
            <w:tcW w:w="1625"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Adoption and approval of the National Concept for Informatisation of Public Administration by the MIRRI and publication </w:t>
            </w:r>
          </w:p>
        </w:tc>
        <w:tc>
          <w:tcPr>
            <w:tcW w:w="1219"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1008"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8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w:t>
            </w:r>
          </w:p>
        </w:tc>
        <w:tc>
          <w:tcPr>
            <w:tcW w:w="916"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Q4</w:t>
            </w:r>
          </w:p>
        </w:tc>
        <w:tc>
          <w:tcPr>
            <w:tcW w:w="1042" w:type="dxa"/>
            <w:tcBorders>
              <w:top w:val="nil"/>
              <w:left w:val="nil"/>
              <w:bottom w:val="single" w:sz="4" w:space="0" w:color="auto"/>
              <w:right w:val="single" w:sz="4" w:space="0" w:color="auto"/>
            </w:tcBorders>
            <w:shd w:val="clear" w:color="auto" w:fill="C6EFCE"/>
            <w:noWrap/>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2021</w:t>
            </w:r>
          </w:p>
        </w:tc>
        <w:tc>
          <w:tcPr>
            <w:tcW w:w="3969" w:type="dxa"/>
            <w:tcBorders>
              <w:top w:val="nil"/>
              <w:left w:val="nil"/>
              <w:bottom w:val="single" w:sz="4" w:space="0" w:color="auto"/>
              <w:right w:val="single" w:sz="4" w:space="0" w:color="auto"/>
            </w:tcBorders>
            <w:shd w:val="clear" w:color="auto" w:fill="C6EFCE"/>
            <w:vAlign w:val="center"/>
            <w:hideMark/>
          </w:tcPr>
          <w:p w:rsidR="00BF6749" w:rsidRDefault="00C87555">
            <w:pPr>
              <w:spacing w:after="0"/>
              <w:rPr>
                <w:rFonts w:ascii="Times New Roman" w:eastAsia="Times New Roman" w:hAnsi="Times New Roman"/>
                <w:noProof/>
                <w:color w:val="006100"/>
                <w:sz w:val="20"/>
                <w:szCs w:val="20"/>
              </w:rPr>
            </w:pPr>
            <w:r>
              <w:rPr>
                <w:rFonts w:ascii="Times New Roman" w:eastAsia="Times New Roman" w:hAnsi="Times New Roman"/>
                <w:noProof/>
                <w:color w:val="006100"/>
                <w:sz w:val="20"/>
                <w:szCs w:val="20"/>
              </w:rPr>
              <w:t xml:space="preserve">The National Concept for Informatisation of Public Administration (NKIVS) shall set the framework for digital reforms in </w:t>
            </w:r>
            <w:r>
              <w:rPr>
                <w:rFonts w:ascii="Times New Roman" w:eastAsia="Times New Roman" w:hAnsi="Times New Roman"/>
                <w:noProof/>
                <w:color w:val="006100"/>
                <w:sz w:val="20"/>
                <w:szCs w:val="20"/>
              </w:rPr>
              <w:t>a synchronised manner with the RRP. The individual actions and projects of the RRP shall implement the relevant strategic tasks of the NKIVS. The NKIVS shall set the framework of standardisation for cyber security requirements. Further actions would be nec</w:t>
            </w:r>
            <w:r>
              <w:rPr>
                <w:rFonts w:ascii="Times New Roman" w:eastAsia="Times New Roman" w:hAnsi="Times New Roman"/>
                <w:noProof/>
                <w:color w:val="006100"/>
                <w:sz w:val="20"/>
                <w:szCs w:val="20"/>
              </w:rPr>
              <w:t>essary for setting the cyber security technical and procedural standards.</w:t>
            </w:r>
          </w:p>
        </w:tc>
      </w:tr>
    </w:tbl>
    <w:p w:rsidR="00BF6749" w:rsidRDefault="00BF6749">
      <w:pPr>
        <w:spacing w:before="120" w:after="120" w:line="240" w:lineRule="auto"/>
        <w:rPr>
          <w:rFonts w:ascii="Times New Roman" w:hAnsi="Times New Roman"/>
          <w:noProof/>
          <w:sz w:val="24"/>
          <w:lang w:val="en-US"/>
        </w:rPr>
      </w:pPr>
    </w:p>
    <w:p w:rsidR="00BF6749" w:rsidRDefault="00BF6749">
      <w:pPr>
        <w:tabs>
          <w:tab w:val="left" w:pos="3918"/>
        </w:tabs>
        <w:spacing w:before="120" w:after="120" w:line="240" w:lineRule="auto"/>
        <w:jc w:val="both"/>
        <w:rPr>
          <w:rFonts w:ascii="Times New Roman" w:hAnsi="Times New Roman"/>
          <w:noProof/>
          <w:sz w:val="24"/>
        </w:rPr>
        <w:sectPr w:rsidR="00BF6749">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0" w:right="1134" w:bottom="1418" w:left="1134" w:header="709" w:footer="709" w:gutter="0"/>
          <w:cols w:space="720"/>
          <w:docGrid w:linePitch="360"/>
        </w:sectPr>
      </w:pPr>
    </w:p>
    <w:p w:rsidR="00BF6749" w:rsidRDefault="00C87555">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 18: Sound, sustainable and competitive public finances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Slovakia faces high fiscal sustainability risks due to a </w:t>
      </w:r>
      <w:r>
        <w:rPr>
          <w:rFonts w:ascii="Times New Roman" w:hAnsi="Times New Roman"/>
          <w:noProof/>
          <w:sz w:val="24"/>
          <w:szCs w:val="24"/>
        </w:rPr>
        <w:t>combination of an ageing population, a fiscally unsustainable pension system, and a fiscal policy framework that does not sufficiently incentivise fiscal sustainability. Moreover, the revenue potential of environmental and property taxation is underused re</w:t>
      </w:r>
      <w:r>
        <w:rPr>
          <w:rFonts w:ascii="Times New Roman" w:hAnsi="Times New Roman"/>
          <w:noProof/>
          <w:sz w:val="24"/>
          <w:szCs w:val="24"/>
        </w:rPr>
        <w:t>lative to other EU countries.</w:t>
      </w:r>
    </w:p>
    <w:p w:rsidR="00BF6749" w:rsidRDefault="00C87555">
      <w:pPr>
        <w:spacing w:before="120" w:after="120" w:line="240" w:lineRule="auto"/>
        <w:jc w:val="both"/>
        <w:rPr>
          <w:rFonts w:ascii="Times New Roman" w:hAnsi="Times New Roman"/>
          <w:noProof/>
          <w:sz w:val="24"/>
          <w:szCs w:val="24"/>
          <w:lang w:val="en-US"/>
        </w:rPr>
      </w:pPr>
      <w:r>
        <w:rPr>
          <w:rFonts w:ascii="Times New Roman" w:hAnsi="Times New Roman"/>
          <w:noProof/>
          <w:sz w:val="24"/>
          <w:szCs w:val="24"/>
        </w:rPr>
        <w:t xml:space="preserve">This component of the Slovak recovery and resilience plan shall improve the sustainability, soundness and competitiveness of public finances by means of three reform elements, namely a pension reform, multi-annual expenditure </w:t>
      </w:r>
      <w:r>
        <w:rPr>
          <w:rFonts w:ascii="Times New Roman" w:hAnsi="Times New Roman"/>
          <w:noProof/>
          <w:sz w:val="24"/>
          <w:szCs w:val="24"/>
        </w:rPr>
        <w:t xml:space="preserve">ceilings, and a reform of public investment management.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It is expected that no measure in this component does significant harm to environmental objectives within the meaning of Article 17 of Regulation (EU) 2020/852, taking into account the description of</w:t>
      </w:r>
      <w:r>
        <w:rPr>
          <w:rFonts w:ascii="Times New Roman" w:hAnsi="Times New Roman"/>
          <w:noProof/>
          <w:sz w:val="24"/>
          <w:szCs w:val="24"/>
        </w:rPr>
        <w:t xml:space="preserve"> the measures and the mitigating steps set out in the recovery and resilience plan in accordance with the DNSH Technical Guidance (2021/C58/01).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component thereby contributes to addressing Country Specific Recommendation 2019.1 to safeguard the long-</w:t>
      </w:r>
      <w:r>
        <w:rPr>
          <w:rFonts w:ascii="Times New Roman" w:hAnsi="Times New Roman"/>
          <w:noProof/>
          <w:sz w:val="24"/>
        </w:rPr>
        <w:t>term sustainability of public finances, in particular of the pension system, and to addressing Country Specific Recommendation 2020.1 to pursue fiscal policies aimed at achieving prudent medium-term fiscal positions and ensuring debt sustainability when ec</w:t>
      </w:r>
      <w:r>
        <w:rPr>
          <w:rFonts w:ascii="Times New Roman" w:hAnsi="Times New Roman"/>
          <w:noProof/>
          <w:sz w:val="24"/>
        </w:rPr>
        <w:t>onomic conditions allow. It also helps addressing Country Specific Recommendation 2020.3 and Country Specific Recommendation 2019.3 to front-load mature public investment projects as well as to focus investment in specific areas.</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 xml:space="preserve">Reform 1: Improving the </w:t>
      </w:r>
      <w:r>
        <w:rPr>
          <w:rFonts w:ascii="Times New Roman" w:hAnsi="Times New Roman"/>
          <w:b/>
          <w:noProof/>
          <w:sz w:val="24"/>
        </w:rPr>
        <w:t>sustainability of the pension system</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Slovakia’s public finances face high sustainability risks both in the medium and long term. This is in part due to rapid population ageing. The old-age dependency ratio (comparing the share of elderly people with the sh</w:t>
      </w:r>
      <w:r>
        <w:rPr>
          <w:rFonts w:ascii="Times New Roman" w:hAnsi="Times New Roman"/>
          <w:noProof/>
          <w:sz w:val="24"/>
        </w:rPr>
        <w:t>are of the population in work or training) is projected to almost triple by 2060. Retirement age caps exacerbate the implications for long-term fiscal sustainability. In addition, savings in the second pillar of the pension system are inefficient and yield</w:t>
      </w:r>
      <w:r>
        <w:rPr>
          <w:rFonts w:ascii="Times New Roman" w:hAnsi="Times New Roman"/>
          <w:noProof/>
          <w:sz w:val="24"/>
        </w:rPr>
        <w:t xml:space="preserve"> low returns, while awareness in the population is low.</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The pension reform shall improve the long-term fiscal sustainability of the pension system. To this end, it shall link the retirement age to life expectancy, and abolish retirement age caps. It shall </w:t>
      </w:r>
      <w:r>
        <w:rPr>
          <w:rFonts w:ascii="Times New Roman" w:hAnsi="Times New Roman"/>
          <w:noProof/>
          <w:sz w:val="24"/>
        </w:rPr>
        <w:t>moreover ensure entitlement to an actuarially neutral benefit after a minimum number of years worked and introduce a new default, life-cycle based savings strategy in the second pension pillar investing less in low-yield bonds, with an opt-out option, to i</w:t>
      </w:r>
      <w:r>
        <w:rPr>
          <w:rFonts w:ascii="Times New Roman" w:hAnsi="Times New Roman"/>
          <w:noProof/>
          <w:sz w:val="24"/>
        </w:rPr>
        <w:t>ncrease the efficiency of savings in the second pillar. It shall also increase transparency by regularly informing people about their expected pensions.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implementation of the reform shall be completed by 31 March 2023.</w:t>
      </w:r>
    </w:p>
    <w:p w:rsidR="00BF6749" w:rsidRDefault="00C87555">
      <w:pPr>
        <w:spacing w:before="120" w:after="120" w:line="240" w:lineRule="auto"/>
        <w:jc w:val="both"/>
        <w:rPr>
          <w:rFonts w:ascii="Times New Roman" w:hAnsi="Times New Roman"/>
          <w:b/>
          <w:noProof/>
          <w:sz w:val="24"/>
        </w:rPr>
      </w:pPr>
      <w:r>
        <w:rPr>
          <w:rFonts w:ascii="Times New Roman" w:hAnsi="Times New Roman"/>
          <w:b/>
          <w:noProof/>
          <w:sz w:val="24"/>
        </w:rPr>
        <w:t>Reform 2: Introducing multi-annua</w:t>
      </w:r>
      <w:r>
        <w:rPr>
          <w:rFonts w:ascii="Times New Roman" w:hAnsi="Times New Roman"/>
          <w:b/>
          <w:noProof/>
          <w:sz w:val="24"/>
        </w:rPr>
        <w:t>l expenditure ceilings</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Slovakia’s medium-term budgetary framework has not been conducive to sufficient fiscal discipline. Slovakia has not managed to pursue a counter-cyclical fiscal policy in good economic times. This weighs on medium- and long-term fisca</w:t>
      </w:r>
      <w:r>
        <w:rPr>
          <w:rFonts w:ascii="Times New Roman" w:hAnsi="Times New Roman"/>
          <w:noProof/>
          <w:sz w:val="24"/>
          <w:szCs w:val="24"/>
        </w:rPr>
        <w:t>l sustainability.</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This reform therefore shall enhance fiscal discipline in order to improve medium- and long-term fiscal sustainability. To this end, binding multi-annual expenditure ceilings shall be introduced as a key tool to better pursue counter-cycli</w:t>
      </w:r>
      <w:r>
        <w:rPr>
          <w:rFonts w:ascii="Times New Roman" w:hAnsi="Times New Roman"/>
          <w:noProof/>
          <w:sz w:val="24"/>
          <w:szCs w:val="24"/>
        </w:rPr>
        <w:t>cal fiscal policy, improve budgetary planning and achieve long-term fiscal sustainability. These expenditure ceilings shall be linked to planned structural balances linked to long-term sustainability objectives. It shall be implemented in the Stability Pro</w:t>
      </w:r>
      <w:r>
        <w:rPr>
          <w:rFonts w:ascii="Times New Roman" w:hAnsi="Times New Roman"/>
          <w:noProof/>
          <w:sz w:val="24"/>
          <w:szCs w:val="24"/>
        </w:rPr>
        <w:t>gramme 2022-2025 in April 2022 to capture the full budgetary cycle for 2023.</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implementation of the reform shall be completed by 31 December 2021.</w:t>
      </w:r>
    </w:p>
    <w:p w:rsidR="00BF6749" w:rsidRDefault="00BF6749">
      <w:pPr>
        <w:spacing w:before="120" w:after="120" w:line="240" w:lineRule="auto"/>
        <w:jc w:val="both"/>
        <w:rPr>
          <w:rFonts w:ascii="Times New Roman" w:hAnsi="Times New Roman"/>
          <w:noProof/>
          <w:sz w:val="24"/>
          <w:szCs w:val="24"/>
        </w:rPr>
      </w:pPr>
    </w:p>
    <w:p w:rsidR="00BF6749" w:rsidRDefault="00C87555">
      <w:pPr>
        <w:spacing w:before="120" w:after="120" w:line="240" w:lineRule="auto"/>
        <w:jc w:val="both"/>
        <w:rPr>
          <w:rFonts w:ascii="Times New Roman" w:hAnsi="Times New Roman"/>
          <w:b/>
          <w:noProof/>
          <w:sz w:val="24"/>
          <w:szCs w:val="24"/>
        </w:rPr>
      </w:pPr>
      <w:r>
        <w:rPr>
          <w:rFonts w:ascii="Times New Roman" w:hAnsi="Times New Roman"/>
          <w:b/>
          <w:noProof/>
          <w:sz w:val="24"/>
          <w:szCs w:val="24"/>
        </w:rPr>
        <w:t>Reform 3: Streamlining public investment</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economic value of most of the public investment projects ass</w:t>
      </w:r>
      <w:r>
        <w:rPr>
          <w:rFonts w:ascii="Times New Roman" w:hAnsi="Times New Roman"/>
          <w:noProof/>
          <w:sz w:val="24"/>
          <w:szCs w:val="24"/>
        </w:rPr>
        <w:t>essed by the Ministry of Finance only slightly exceeded their costs, with a benefit-cost ratio of the projects (BCR) between 1.0 and 1.5. In addition, absorption rates of the budget for public investments are low, pointing to difficulties in budgetary plan</w:t>
      </w:r>
      <w:r>
        <w:rPr>
          <w:rFonts w:ascii="Times New Roman" w:hAnsi="Times New Roman"/>
          <w:noProof/>
          <w:sz w:val="24"/>
          <w:szCs w:val="24"/>
        </w:rPr>
        <w:t>ning and execution. At the same time, investment prioritization lacks objective, streamlined criteria.</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reform shall better prepare public investment projects by consistently applying value for money principles. It shall strategically prioritise investm</w:t>
      </w:r>
      <w:r>
        <w:rPr>
          <w:rFonts w:ascii="Times New Roman" w:hAnsi="Times New Roman"/>
          <w:noProof/>
          <w:sz w:val="24"/>
          <w:szCs w:val="24"/>
        </w:rPr>
        <w:t>ent projects from the outset and to budget only mature projects. To achieve these aims, the reform shall put into practice a new and harmonised methodology for preparing and prioritising public investment projects. This methodology shall allow to develop s</w:t>
      </w:r>
      <w:r>
        <w:rPr>
          <w:rFonts w:ascii="Times New Roman" w:hAnsi="Times New Roman"/>
          <w:noProof/>
          <w:sz w:val="24"/>
          <w:szCs w:val="24"/>
        </w:rPr>
        <w:t xml:space="preserve">ector-specific project pipelines and to improve the average cost-benefit ratio of newly selected investment projects, while also increasing the accuracy of investment budgeting. The investment process shall be standardised for all projects, which shall be </w:t>
      </w:r>
      <w:r>
        <w:rPr>
          <w:rFonts w:ascii="Times New Roman" w:hAnsi="Times New Roman"/>
          <w:noProof/>
          <w:sz w:val="24"/>
          <w:szCs w:val="24"/>
        </w:rPr>
        <w:t xml:space="preserve">evaluated centrally and from an early stage. </w:t>
      </w:r>
    </w:p>
    <w:p w:rsidR="00BF6749" w:rsidRDefault="00C87555">
      <w:pPr>
        <w:spacing w:before="120" w:after="120" w:line="240" w:lineRule="auto"/>
        <w:jc w:val="both"/>
        <w:rPr>
          <w:rFonts w:ascii="Times New Roman" w:hAnsi="Times New Roman"/>
          <w:noProof/>
          <w:sz w:val="24"/>
          <w:szCs w:val="24"/>
        </w:rPr>
      </w:pPr>
      <w:r>
        <w:rPr>
          <w:rFonts w:ascii="Times New Roman" w:hAnsi="Times New Roman"/>
          <w:noProof/>
          <w:sz w:val="24"/>
          <w:szCs w:val="24"/>
        </w:rPr>
        <w:t>The implementation of the reform is shall be completed by 30 June 2026.</w:t>
      </w:r>
    </w:p>
    <w:p w:rsidR="00BF6749" w:rsidRDefault="00BF6749">
      <w:pPr>
        <w:spacing w:before="120" w:after="120" w:line="240" w:lineRule="auto"/>
        <w:ind w:left="850"/>
        <w:jc w:val="both"/>
        <w:rPr>
          <w:rFonts w:ascii="Times New Roman" w:hAnsi="Times New Roman"/>
          <w:noProof/>
          <w:sz w:val="24"/>
          <w:u w:val="single"/>
        </w:rPr>
        <w:sectPr w:rsidR="00BF6749">
          <w:headerReference w:type="even" r:id="rId222"/>
          <w:headerReference w:type="default" r:id="rId223"/>
          <w:footerReference w:type="even" r:id="rId224"/>
          <w:footerReference w:type="default" r:id="rId225"/>
          <w:headerReference w:type="first" r:id="rId226"/>
          <w:footerReference w:type="first" r:id="rId227"/>
          <w:pgSz w:w="11907" w:h="16839"/>
          <w:pgMar w:top="1134" w:right="1418" w:bottom="1134" w:left="1418" w:header="709" w:footer="709" w:gutter="0"/>
          <w:cols w:space="720"/>
          <w:docGrid w:linePitch="360"/>
        </w:sectPr>
      </w:pPr>
    </w:p>
    <w:p w:rsidR="00BF6749" w:rsidRDefault="00BF6749">
      <w:pPr>
        <w:spacing w:before="120" w:after="120" w:line="240" w:lineRule="auto"/>
        <w:ind w:left="850"/>
        <w:jc w:val="both"/>
        <w:rPr>
          <w:rFonts w:ascii="Times New Roman" w:hAnsi="Times New Roman"/>
          <w:noProof/>
          <w:sz w:val="24"/>
          <w:u w:val="single"/>
        </w:rPr>
      </w:pPr>
    </w:p>
    <w:p w:rsidR="00BF6749" w:rsidRDefault="00C87555">
      <w:pPr>
        <w:spacing w:before="120" w:after="120" w:line="240" w:lineRule="auto"/>
        <w:ind w:left="850"/>
        <w:jc w:val="both"/>
        <w:rPr>
          <w:rFonts w:ascii="Times New Roman" w:hAnsi="Times New Roman"/>
          <w:b/>
          <w:bCs/>
          <w:noProof/>
          <w:sz w:val="24"/>
          <w:szCs w:val="24"/>
          <w:u w:val="single"/>
        </w:rPr>
      </w:pPr>
      <w:r>
        <w:rPr>
          <w:rFonts w:ascii="Times New Roman" w:hAnsi="Times New Roman"/>
          <w:b/>
          <w:bCs/>
          <w:noProof/>
          <w:sz w:val="24"/>
          <w:szCs w:val="24"/>
          <w:u w:val="single"/>
        </w:rPr>
        <w:t xml:space="preserve">A.2. </w:t>
      </w:r>
      <w:r>
        <w:rPr>
          <w:noProof/>
        </w:rPr>
        <w:tab/>
      </w:r>
      <w:r>
        <w:rPr>
          <w:rFonts w:ascii="Times New Roman" w:hAnsi="Times New Roman"/>
          <w:b/>
          <w:bCs/>
          <w:noProof/>
          <w:sz w:val="24"/>
          <w:szCs w:val="24"/>
          <w:u w:val="single"/>
        </w:rPr>
        <w:t xml:space="preserve">Milestones, targets, indicators, and timetable for monitoring and </w:t>
      </w:r>
      <w:r>
        <w:rPr>
          <w:rFonts w:ascii="Times New Roman" w:hAnsi="Times New Roman"/>
          <w:b/>
          <w:bCs/>
          <w:noProof/>
          <w:sz w:val="24"/>
          <w:szCs w:val="24"/>
          <w:u w:val="single"/>
        </w:rPr>
        <w:t>implementation for non-repayable financial support</w:t>
      </w:r>
    </w:p>
    <w:p w:rsidR="00BF6749" w:rsidRDefault="00BF6749">
      <w:pPr>
        <w:spacing w:before="120" w:after="120" w:line="240" w:lineRule="auto"/>
        <w:jc w:val="both"/>
        <w:rPr>
          <w:noProof/>
          <w:lang w:val="en-US"/>
        </w:rPr>
      </w:pPr>
    </w:p>
    <w:tbl>
      <w:tblPr>
        <w:tblW w:w="15168" w:type="dxa"/>
        <w:tblInd w:w="-318" w:type="dxa"/>
        <w:shd w:val="clear" w:color="auto" w:fill="C6EFCE"/>
        <w:tblLayout w:type="fixed"/>
        <w:tblLook w:val="04A0" w:firstRow="1" w:lastRow="0" w:firstColumn="1" w:lastColumn="0" w:noHBand="0" w:noVBand="1"/>
      </w:tblPr>
      <w:tblGrid>
        <w:gridCol w:w="959"/>
        <w:gridCol w:w="992"/>
        <w:gridCol w:w="1169"/>
        <w:gridCol w:w="850"/>
        <w:gridCol w:w="1276"/>
        <w:gridCol w:w="1276"/>
        <w:gridCol w:w="1383"/>
        <w:gridCol w:w="850"/>
        <w:gridCol w:w="1134"/>
        <w:gridCol w:w="1134"/>
        <w:gridCol w:w="4145"/>
      </w:tblGrid>
      <w:tr w:rsidR="00BF6749">
        <w:trPr>
          <w:trHeight w:val="900"/>
        </w:trPr>
        <w:tc>
          <w:tcPr>
            <w:tcW w:w="959"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Seq. Num.</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p w:rsidR="00BF6749" w:rsidRDefault="00C87555">
            <w:pPr>
              <w:jc w:val="center"/>
              <w:rPr>
                <w:rFonts w:ascii="Times New Roman" w:eastAsia="Times New Roman" w:hAnsi="Times New Roman"/>
                <w:b/>
                <w:noProof/>
                <w:sz w:val="20"/>
                <w:szCs w:val="20"/>
              </w:rPr>
            </w:pPr>
            <w:r>
              <w:rPr>
                <w:rFonts w:ascii="Times New Roman" w:eastAsia="Times New Roman" w:hAnsi="Times New Roman"/>
                <w:b/>
                <w:bCs/>
                <w:noProof/>
                <w:sz w:val="20"/>
                <w:szCs w:val="20"/>
              </w:rPr>
              <w:t xml:space="preserve"> </w:t>
            </w:r>
          </w:p>
        </w:tc>
        <w:tc>
          <w:tcPr>
            <w:tcW w:w="992"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Related measure (Reform or Investment)</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p w:rsidR="00BF6749" w:rsidRDefault="00C87555">
            <w:pPr>
              <w:jc w:val="center"/>
              <w:rPr>
                <w:rFonts w:ascii="Times New Roman" w:eastAsia="Times New Roman" w:hAnsi="Times New Roman"/>
                <w:b/>
                <w:noProof/>
                <w:sz w:val="20"/>
                <w:szCs w:val="20"/>
              </w:rPr>
            </w:pPr>
            <w:r>
              <w:rPr>
                <w:rFonts w:ascii="Times New Roman" w:eastAsia="Times New Roman" w:hAnsi="Times New Roman"/>
                <w:b/>
                <w:bCs/>
                <w:noProof/>
                <w:sz w:val="20"/>
                <w:szCs w:val="20"/>
              </w:rPr>
              <w:t xml:space="preserve"> </w:t>
            </w:r>
          </w:p>
        </w:tc>
        <w:tc>
          <w:tcPr>
            <w:tcW w:w="1169"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Milestone / Target</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bCs/>
                <w:noProof/>
                <w:sz w:val="20"/>
                <w:szCs w:val="20"/>
              </w:rPr>
              <w:t xml:space="preserve"> </w:t>
            </w:r>
          </w:p>
        </w:tc>
        <w:tc>
          <w:tcPr>
            <w:tcW w:w="850"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Name</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p w:rsidR="00BF6749" w:rsidRDefault="00C87555">
            <w:pPr>
              <w:jc w:val="center"/>
              <w:rPr>
                <w:rFonts w:ascii="Times New Roman" w:eastAsia="Times New Roman" w:hAnsi="Times New Roman"/>
                <w:b/>
                <w:noProof/>
                <w:sz w:val="20"/>
                <w:szCs w:val="20"/>
              </w:rPr>
            </w:pPr>
            <w:r>
              <w:rPr>
                <w:rFonts w:ascii="Times New Roman" w:eastAsia="Times New Roman" w:hAnsi="Times New Roman"/>
                <w:b/>
                <w:bCs/>
                <w:noProof/>
                <w:sz w:val="20"/>
                <w:szCs w:val="20"/>
              </w:rPr>
              <w:t xml:space="preserve"> </w:t>
            </w:r>
          </w:p>
        </w:tc>
        <w:tc>
          <w:tcPr>
            <w:tcW w:w="1276" w:type="dxa"/>
            <w:vMerge w:val="restart"/>
            <w:tcBorders>
              <w:top w:val="single" w:sz="8" w:space="0" w:color="auto"/>
              <w:left w:val="single" w:sz="8" w:space="0" w:color="auto"/>
              <w:right w:val="single" w:sz="8" w:space="0" w:color="auto"/>
            </w:tcBorders>
            <w:shd w:val="clear" w:color="auto" w:fill="BDD7EE"/>
            <w:vAlign w:val="center"/>
          </w:tcPr>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Qualitative indicators  (for milestones)</w:t>
            </w:r>
          </w:p>
          <w:p w:rsidR="00BF6749" w:rsidRDefault="00C87555">
            <w:pPr>
              <w:spacing w:after="0"/>
              <w:rPr>
                <w:rFonts w:ascii="Times New Roman" w:eastAsia="Times New Roman" w:hAnsi="Times New Roman"/>
                <w:b/>
                <w:noProof/>
                <w:sz w:val="20"/>
                <w:szCs w:val="20"/>
              </w:rPr>
            </w:pPr>
            <w:r>
              <w:rPr>
                <w:rFonts w:ascii="Times New Roman" w:eastAsia="Times New Roman" w:hAnsi="Times New Roman"/>
                <w:b/>
                <w:noProof/>
                <w:sz w:val="20"/>
                <w:szCs w:val="20"/>
              </w:rPr>
              <w:t> </w:t>
            </w:r>
          </w:p>
          <w:p w:rsidR="00BF6749" w:rsidRDefault="00C87555">
            <w:pPr>
              <w:jc w:val="center"/>
              <w:rPr>
                <w:rFonts w:ascii="Times New Roman" w:eastAsia="Times New Roman" w:hAnsi="Times New Roman"/>
                <w:b/>
                <w:noProof/>
                <w:sz w:val="20"/>
                <w:szCs w:val="20"/>
              </w:rPr>
            </w:pPr>
            <w:r>
              <w:rPr>
                <w:rFonts w:ascii="Times New Roman" w:eastAsia="Times New Roman" w:hAnsi="Times New Roman"/>
                <w:b/>
                <w:bCs/>
                <w:noProof/>
                <w:sz w:val="20"/>
                <w:szCs w:val="20"/>
              </w:rPr>
              <w:t xml:space="preserve"> </w:t>
            </w:r>
          </w:p>
        </w:tc>
        <w:tc>
          <w:tcPr>
            <w:tcW w:w="3509" w:type="dxa"/>
            <w:gridSpan w:val="3"/>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Quantitative indicators  (for targets)</w:t>
            </w:r>
          </w:p>
        </w:tc>
        <w:tc>
          <w:tcPr>
            <w:tcW w:w="2268" w:type="dxa"/>
            <w:gridSpan w:val="2"/>
            <w:tcBorders>
              <w:top w:val="single" w:sz="8" w:space="0" w:color="auto"/>
              <w:left w:val="nil"/>
              <w:bottom w:val="single" w:sz="8" w:space="0" w:color="auto"/>
              <w:right w:val="single" w:sz="8" w:space="0" w:color="000000"/>
            </w:tcBorders>
            <w:shd w:val="clear" w:color="auto" w:fill="BDD7EE"/>
            <w:vAlign w:val="center"/>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 xml:space="preserve">Indicative timeline for </w:t>
            </w:r>
            <w:r>
              <w:rPr>
                <w:rFonts w:ascii="Times New Roman" w:eastAsia="Times New Roman" w:hAnsi="Times New Roman"/>
                <w:b/>
                <w:noProof/>
                <w:sz w:val="20"/>
                <w:szCs w:val="20"/>
              </w:rPr>
              <w:t>completion</w:t>
            </w:r>
          </w:p>
        </w:tc>
        <w:tc>
          <w:tcPr>
            <w:tcW w:w="4145" w:type="dxa"/>
            <w:vMerge w:val="restart"/>
            <w:tcBorders>
              <w:top w:val="single" w:sz="8" w:space="0" w:color="auto"/>
              <w:left w:val="nil"/>
              <w:right w:val="single" w:sz="8" w:space="0" w:color="auto"/>
            </w:tcBorders>
            <w:shd w:val="clear" w:color="auto" w:fill="BDD7EE"/>
            <w:vAlign w:val="center"/>
          </w:tcPr>
          <w:p w:rsidR="00BF6749" w:rsidRDefault="00C87555">
            <w:pPr>
              <w:spacing w:after="0"/>
              <w:jc w:val="center"/>
              <w:rPr>
                <w:rFonts w:ascii="Times New Roman" w:eastAsia="Times New Roman" w:hAnsi="Times New Roman"/>
                <w:b/>
                <w:noProof/>
                <w:sz w:val="20"/>
                <w:szCs w:val="20"/>
              </w:rPr>
            </w:pPr>
            <w:r>
              <w:rPr>
                <w:rFonts w:ascii="Times New Roman" w:eastAsia="Times New Roman" w:hAnsi="Times New Roman"/>
                <w:b/>
                <w:noProof/>
                <w:sz w:val="20"/>
                <w:szCs w:val="20"/>
              </w:rPr>
              <w:t>Description and clear definition of each milestone and target</w:t>
            </w:r>
          </w:p>
          <w:p w:rsidR="00BF6749" w:rsidRDefault="00BF6749">
            <w:pPr>
              <w:spacing w:after="0"/>
              <w:jc w:val="center"/>
              <w:rPr>
                <w:rFonts w:ascii="Times New Roman" w:eastAsia="Times New Roman" w:hAnsi="Times New Roman"/>
                <w:b/>
                <w:noProof/>
                <w:sz w:val="20"/>
                <w:szCs w:val="20"/>
              </w:rPr>
            </w:pPr>
          </w:p>
          <w:p w:rsidR="00BF6749" w:rsidRDefault="00BF6749">
            <w:pPr>
              <w:jc w:val="center"/>
              <w:rPr>
                <w:rFonts w:ascii="Times New Roman" w:eastAsia="Times New Roman" w:hAnsi="Times New Roman"/>
                <w:b/>
                <w:noProof/>
                <w:sz w:val="20"/>
                <w:szCs w:val="20"/>
              </w:rPr>
            </w:pPr>
          </w:p>
        </w:tc>
      </w:tr>
      <w:tr w:rsidR="00BF6749">
        <w:trPr>
          <w:trHeight w:val="585"/>
        </w:trPr>
        <w:tc>
          <w:tcPr>
            <w:tcW w:w="959"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992"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169"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850"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276"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c>
          <w:tcPr>
            <w:tcW w:w="1276"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Measurement unit</w:t>
            </w:r>
          </w:p>
        </w:tc>
        <w:tc>
          <w:tcPr>
            <w:tcW w:w="1383" w:type="dxa"/>
            <w:tcBorders>
              <w:top w:val="nil"/>
              <w:left w:val="single" w:sz="8" w:space="0" w:color="auto"/>
              <w:bottom w:val="single" w:sz="8" w:space="0" w:color="auto"/>
              <w:right w:val="single" w:sz="8" w:space="0" w:color="auto"/>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Background</w:t>
            </w:r>
          </w:p>
        </w:tc>
        <w:tc>
          <w:tcPr>
            <w:tcW w:w="850"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Target</w:t>
            </w:r>
          </w:p>
        </w:tc>
        <w:tc>
          <w:tcPr>
            <w:tcW w:w="1134" w:type="dxa"/>
            <w:tcBorders>
              <w:top w:val="single" w:sz="8" w:space="0" w:color="auto"/>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Quarter</w:t>
            </w:r>
          </w:p>
        </w:tc>
        <w:tc>
          <w:tcPr>
            <w:tcW w:w="1134" w:type="dxa"/>
            <w:tcBorders>
              <w:top w:val="nil"/>
              <w:left w:val="single" w:sz="8" w:space="0" w:color="auto"/>
              <w:bottom w:val="single" w:sz="8" w:space="0" w:color="auto"/>
              <w:right w:val="single" w:sz="8" w:space="0" w:color="000000"/>
            </w:tcBorders>
            <w:shd w:val="clear" w:color="auto" w:fill="BDD7EE"/>
            <w:vAlign w:val="center"/>
          </w:tcPr>
          <w:p w:rsidR="00BF6749" w:rsidRDefault="00C87555">
            <w:pPr>
              <w:jc w:val="center"/>
              <w:rPr>
                <w:rFonts w:ascii="Times New Roman" w:hAnsi="Times New Roman"/>
                <w:noProof/>
                <w:sz w:val="20"/>
                <w:szCs w:val="20"/>
              </w:rPr>
            </w:pPr>
            <w:r>
              <w:rPr>
                <w:rFonts w:ascii="Times New Roman" w:eastAsia="Times New Roman" w:hAnsi="Times New Roman"/>
                <w:b/>
                <w:bCs/>
                <w:noProof/>
                <w:sz w:val="20"/>
                <w:szCs w:val="20"/>
              </w:rPr>
              <w:t>Year</w:t>
            </w:r>
          </w:p>
        </w:tc>
        <w:tc>
          <w:tcPr>
            <w:tcW w:w="4145" w:type="dxa"/>
            <w:vMerge/>
            <w:tcBorders>
              <w:left w:val="single" w:sz="8" w:space="0" w:color="auto"/>
              <w:bottom w:val="single" w:sz="8" w:space="0" w:color="auto"/>
              <w:right w:val="single" w:sz="8" w:space="0" w:color="auto"/>
            </w:tcBorders>
            <w:shd w:val="clear" w:color="auto" w:fill="BDD7EE"/>
            <w:vAlign w:val="center"/>
          </w:tcPr>
          <w:p w:rsidR="00BF6749" w:rsidRDefault="00BF6749">
            <w:pPr>
              <w:jc w:val="center"/>
              <w:rPr>
                <w:rFonts w:ascii="Times New Roman" w:hAnsi="Times New Roman"/>
                <w:noProof/>
                <w:sz w:val="20"/>
                <w:szCs w:val="20"/>
              </w:rPr>
            </w:pPr>
          </w:p>
        </w:tc>
      </w:tr>
      <w:tr w:rsidR="00BF6749">
        <w:trPr>
          <w:trHeight w:val="180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1</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18 – Sound, sustainable and competitive public finances – Reform 1: Improving the sustainability of the pension system</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Pension system reform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Entry into force of the package of amendments (No 461/2003 Coll. on social </w:t>
            </w:r>
            <w:r>
              <w:rPr>
                <w:rFonts w:ascii="Times New Roman" w:hAnsi="Times New Roman"/>
                <w:noProof/>
                <w:sz w:val="20"/>
                <w:szCs w:val="20"/>
              </w:rPr>
              <w:t>insurance and No 43/2004 Coll. on old-age pension savings)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Q1</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2023</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Entry into force of the package by the parliament (Social Insurance Act and Old-Age Pension Savings Act) by the end of Q4 2022 with effect from Q1 2023, which will improve the long-te</w:t>
            </w:r>
            <w:r>
              <w:rPr>
                <w:rFonts w:ascii="Times New Roman" w:hAnsi="Times New Roman"/>
                <w:noProof/>
                <w:sz w:val="20"/>
                <w:szCs w:val="20"/>
              </w:rPr>
              <w:t>rm financial sustainability of the pension system, namely:1) linking increases in retirement age to increasing life expectancy, 2) introducing an entitlement to actuarially neutral benefits from the first pay-as-you-go pension pillar for persons after a st</w:t>
            </w:r>
            <w:r>
              <w:rPr>
                <w:rFonts w:ascii="Times New Roman" w:hAnsi="Times New Roman"/>
                <w:noProof/>
                <w:sz w:val="20"/>
                <w:szCs w:val="20"/>
              </w:rPr>
              <w:t>atutory minimum number of years of service, 3) introducing a default savings strategy based on the lifecycle principle for new and progressively existing savers in Pillar II (with the possibility of rejecting this default strategy)</w:t>
            </w:r>
          </w:p>
        </w:tc>
      </w:tr>
      <w:tr w:rsidR="00BF6749">
        <w:trPr>
          <w:trHeight w:val="2205"/>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2</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18– Sound, </w:t>
            </w:r>
            <w:r>
              <w:rPr>
                <w:rFonts w:ascii="Times New Roman" w:hAnsi="Times New Roman"/>
                <w:noProof/>
                <w:sz w:val="20"/>
                <w:szCs w:val="20"/>
              </w:rPr>
              <w:t>sustainable and competitive public finances – Reform 2: Introducing expenditure ceilings</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Anchoring expenditure ceilings in Law 523/2004 on the budgetary rules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Entry into force of the amendment to the act 523/2004 on the budgetary rules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Q4</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2021</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Entry into force of the multi-annual ceilings on public expenditure and its implementation in the Stability Programme 2022-2025 in April 2022 to capture the full budgetary cycle for 2023.</w:t>
            </w:r>
          </w:p>
        </w:tc>
      </w:tr>
      <w:tr w:rsidR="00BF6749">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3</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18 – Healthy, sustainable and competitive public finances – </w:t>
            </w:r>
            <w:r>
              <w:rPr>
                <w:rFonts w:ascii="Times New Roman" w:hAnsi="Times New Roman"/>
                <w:noProof/>
                <w:sz w:val="20"/>
                <w:szCs w:val="20"/>
              </w:rPr>
              <w:t>Reform 3: Reform of public investment management</w:t>
            </w:r>
          </w:p>
        </w:tc>
        <w:tc>
          <w:tcPr>
            <w:tcW w:w="1169"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Milestone</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application of the methodology for the procedures for preparing and prioritising investments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p w:rsidR="00BF6749" w:rsidRDefault="00C87555">
            <w:pPr>
              <w:rPr>
                <w:rFonts w:ascii="Times New Roman" w:hAnsi="Times New Roman"/>
                <w:noProof/>
                <w:sz w:val="20"/>
                <w:szCs w:val="20"/>
              </w:rPr>
            </w:pPr>
            <w:r>
              <w:rPr>
                <w:rFonts w:ascii="Times New Roman" w:hAnsi="Times New Roman"/>
                <w:noProof/>
                <w:sz w:val="20"/>
                <w:szCs w:val="20"/>
              </w:rPr>
              <w:t xml:space="preserve">Evaluation of the public investment projects carried out in line with adopted methodolology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1383"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Q2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jc w:val="center"/>
              <w:rPr>
                <w:rFonts w:ascii="Times New Roman" w:hAnsi="Times New Roman"/>
                <w:noProof/>
                <w:sz w:val="20"/>
                <w:szCs w:val="20"/>
              </w:rPr>
            </w:pPr>
            <w:r>
              <w:rPr>
                <w:rFonts w:ascii="Times New Roman" w:hAnsi="Times New Roman"/>
                <w:noProof/>
                <w:sz w:val="20"/>
                <w:szCs w:val="20"/>
              </w:rPr>
              <w:t>2026</w:t>
            </w:r>
          </w:p>
        </w:tc>
        <w:tc>
          <w:tcPr>
            <w:tcW w:w="4145" w:type="dxa"/>
            <w:tcBorders>
              <w:top w:val="single" w:sz="8" w:space="0" w:color="auto"/>
              <w:left w:val="single" w:sz="8" w:space="0" w:color="auto"/>
              <w:bottom w:val="single" w:sz="8" w:space="0" w:color="auto"/>
              <w:right w:val="single" w:sz="8" w:space="0" w:color="auto"/>
            </w:tcBorders>
            <w:shd w:val="clear" w:color="auto" w:fill="C6EFCE"/>
            <w:vAlign w:val="center"/>
          </w:tcPr>
          <w:p w:rsidR="00BF6749" w:rsidRDefault="00C87555">
            <w:pPr>
              <w:rPr>
                <w:rFonts w:ascii="Times New Roman" w:hAnsi="Times New Roman"/>
                <w:noProof/>
                <w:sz w:val="20"/>
                <w:szCs w:val="20"/>
              </w:rPr>
            </w:pPr>
            <w:r>
              <w:rPr>
                <w:rFonts w:ascii="Times New Roman" w:hAnsi="Times New Roman"/>
                <w:noProof/>
                <w:sz w:val="20"/>
                <w:szCs w:val="20"/>
              </w:rPr>
              <w:t>The preparation and evaluation of all relevant public investment projects is carried out in line with the published methodology harmonising preparation and prioritisation. The assessment is carried out by the Ministry of Finance and applied to all new</w:t>
            </w:r>
            <w:r>
              <w:rPr>
                <w:rFonts w:ascii="Times New Roman" w:hAnsi="Times New Roman"/>
                <w:noProof/>
                <w:sz w:val="20"/>
                <w:szCs w:val="20"/>
              </w:rPr>
              <w:t xml:space="preserve"> investment projects at national level above EUR 1 million, as demonstrated by documentation of selected projects. The methodology aims at establishing an investment project pipeline at sector level and at increasing the cost-benefit ratio for new investme</w:t>
            </w:r>
            <w:r>
              <w:rPr>
                <w:rFonts w:ascii="Times New Roman" w:hAnsi="Times New Roman"/>
                <w:noProof/>
                <w:sz w:val="20"/>
                <w:szCs w:val="20"/>
              </w:rPr>
              <w:t>nt projects.</w:t>
            </w:r>
          </w:p>
        </w:tc>
      </w:tr>
    </w:tbl>
    <w:p w:rsidR="00BF6749" w:rsidRDefault="00C87555">
      <w:pPr>
        <w:pStyle w:val="NumPar1"/>
        <w:rPr>
          <w:b/>
          <w:noProof/>
        </w:rPr>
      </w:pPr>
      <w:r>
        <w:rPr>
          <w:b/>
          <w:noProof/>
        </w:rPr>
        <w:t>Estimated total cost of the recovery and resilience plan</w:t>
      </w:r>
    </w:p>
    <w:p w:rsidR="00BF6749" w:rsidRDefault="00C87555">
      <w:pPr>
        <w:pStyle w:val="Text1"/>
        <w:rPr>
          <w:noProof/>
          <w:lang w:val="en-US"/>
        </w:rPr>
      </w:pPr>
      <w:r>
        <w:rPr>
          <w:noProof/>
        </w:rPr>
        <w:t>The estimated total cost of the recovery and resilience plan of Slovakia is EUR 6 575 000 000.</w:t>
      </w:r>
      <w:r>
        <w:rPr>
          <w:noProof/>
          <w:szCs w:val="24"/>
          <w:lang w:val="en-US"/>
        </w:rPr>
        <w:fldChar w:fldCharType="begin"/>
      </w:r>
      <w:r>
        <w:rPr>
          <w:noProof/>
          <w:szCs w:val="24"/>
          <w:lang w:val="en-US"/>
        </w:rPr>
        <w:instrText xml:space="preserve"> LINK Excel.Sheet.12 "\\\\NET1.cec.eu.int\\homes\\085\\garcpbl\\Desktop\\CID - Components.xlsx" "T1 Míľniky a Ciele (18)!R3C1:R7C11" \a \f 4 \h  \* MERGEFORMAT </w:instrText>
      </w:r>
      <w:r>
        <w:rPr>
          <w:noProof/>
          <w:szCs w:val="24"/>
          <w:lang w:val="en-US"/>
        </w:rPr>
        <w:fldChar w:fldCharType="separate"/>
      </w:r>
    </w:p>
    <w:p w:rsidR="00BF6749" w:rsidRDefault="00C87555">
      <w:pPr>
        <w:spacing w:before="120" w:after="120" w:line="240" w:lineRule="auto"/>
        <w:jc w:val="both"/>
        <w:rPr>
          <w:noProof/>
          <w:lang w:val="en-US"/>
        </w:rPr>
      </w:pPr>
      <w:r>
        <w:rPr>
          <w:rFonts w:ascii="Times New Roman" w:hAnsi="Times New Roman"/>
          <w:noProof/>
          <w:sz w:val="24"/>
          <w:lang w:val="en-US"/>
        </w:rPr>
        <w:fldChar w:fldCharType="end"/>
      </w:r>
      <w:r>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LINK Excel.Sheet.12 "\\\\NET1.cec.eu.int\\homes\\085\\garcpbl\\Desktop\\CID - Components.xlsx" "T1 Míľniky a Ciele (18)!R3C1:R7C11" \a \f 4 \h  \* MERGEFORMAT </w:instrText>
      </w:r>
      <w:r>
        <w:rPr>
          <w:rFonts w:ascii="Times New Roman" w:hAnsi="Times New Roman"/>
          <w:noProof/>
          <w:sz w:val="24"/>
          <w:szCs w:val="24"/>
          <w:lang w:val="en-US"/>
        </w:rPr>
        <w:fldChar w:fldCharType="separate"/>
      </w:r>
    </w:p>
    <w:p w:rsidR="00BF6749" w:rsidRDefault="00C87555">
      <w:pPr>
        <w:spacing w:before="120" w:after="120" w:line="240" w:lineRule="auto"/>
        <w:jc w:val="both"/>
        <w:rPr>
          <w:rFonts w:ascii="Times New Roman" w:hAnsi="Times New Roman"/>
          <w:noProof/>
          <w:sz w:val="24"/>
          <w:lang w:val="en-US"/>
        </w:rPr>
        <w:sectPr w:rsidR="00BF6749">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426" w:right="1134" w:bottom="1418" w:left="1134" w:header="709" w:footer="709" w:gutter="0"/>
          <w:cols w:space="720"/>
          <w:docGrid w:linePitch="360"/>
        </w:sectPr>
      </w:pPr>
      <w:r>
        <w:rPr>
          <w:rFonts w:ascii="Times New Roman" w:hAnsi="Times New Roman"/>
          <w:noProof/>
          <w:sz w:val="24"/>
          <w:lang w:val="en-US"/>
        </w:rPr>
        <w:fldChar w:fldCharType="end"/>
      </w:r>
    </w:p>
    <w:p w:rsidR="00BF6749" w:rsidRDefault="00C87555">
      <w:pPr>
        <w:spacing w:before="120" w:after="120"/>
        <w:rPr>
          <w:rFonts w:ascii="Times New Roman" w:hAnsi="Times New Roman"/>
          <w:noProof/>
          <w:sz w:val="24"/>
        </w:rPr>
      </w:pPr>
      <w:r>
        <w:rPr>
          <w:rFonts w:ascii="Times New Roman" w:hAnsi="Times New Roman"/>
          <w:b/>
          <w:bCs/>
          <w:noProof/>
          <w:sz w:val="24"/>
        </w:rPr>
        <w:t xml:space="preserve">SECTION 2: FINANCIAL SUPPORT </w:t>
      </w:r>
    </w:p>
    <w:p w:rsidR="00BF6749" w:rsidRDefault="00C87555">
      <w:pPr>
        <w:pStyle w:val="ListParagraph"/>
        <w:numPr>
          <w:ilvl w:val="0"/>
          <w:numId w:val="49"/>
        </w:numPr>
        <w:tabs>
          <w:tab w:val="num" w:pos="850"/>
        </w:tabs>
        <w:spacing w:before="120" w:after="120" w:line="240" w:lineRule="auto"/>
        <w:jc w:val="both"/>
        <w:rPr>
          <w:rFonts w:ascii="Times New Roman" w:hAnsi="Times New Roman"/>
          <w:b/>
          <w:noProof/>
          <w:sz w:val="24"/>
        </w:rPr>
      </w:pPr>
      <w:r>
        <w:rPr>
          <w:rFonts w:ascii="Times New Roman" w:hAnsi="Times New Roman"/>
          <w:b/>
          <w:noProof/>
          <w:sz w:val="24"/>
        </w:rPr>
        <w:t xml:space="preserve">Financial contribution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instalments referred to in Article 2(2) shall be organised in the following manner:</w:t>
      </w:r>
    </w:p>
    <w:p w:rsidR="00BF6749" w:rsidRDefault="00BF6749">
      <w:pPr>
        <w:spacing w:before="120" w:after="120" w:line="240" w:lineRule="auto"/>
        <w:jc w:val="both"/>
        <w:rPr>
          <w:rFonts w:ascii="Times New Roman" w:hAnsi="Times New Roman"/>
          <w:noProof/>
          <w:sz w:val="24"/>
        </w:rPr>
      </w:pPr>
    </w:p>
    <w:p w:rsidR="00BF6749" w:rsidRDefault="00C87555">
      <w:pPr>
        <w:pStyle w:val="NumPar2"/>
        <w:numPr>
          <w:ilvl w:val="1"/>
          <w:numId w:val="49"/>
        </w:numPr>
        <w:rPr>
          <w:b/>
          <w:noProof/>
        </w:rPr>
      </w:pPr>
      <w:r>
        <w:rPr>
          <w:b/>
          <w:noProof/>
        </w:rPr>
        <w:t xml:space="preserve">First Instalment (non-repayable support): </w:t>
      </w:r>
    </w:p>
    <w:p w:rsidR="00BF6749" w:rsidRDefault="00BF6749">
      <w:pPr>
        <w:rPr>
          <w:noProof/>
        </w:rPr>
      </w:pPr>
    </w:p>
    <w:tbl>
      <w:tblPr>
        <w:tblW w:w="10572" w:type="dxa"/>
        <w:tblInd w:w="-601" w:type="dxa"/>
        <w:tblLook w:val="04A0" w:firstRow="1" w:lastRow="0" w:firstColumn="1" w:lastColumn="0" w:noHBand="0" w:noVBand="1"/>
      </w:tblPr>
      <w:tblGrid>
        <w:gridCol w:w="1277"/>
        <w:gridCol w:w="3969"/>
        <w:gridCol w:w="1178"/>
        <w:gridCol w:w="4148"/>
      </w:tblGrid>
      <w:tr w:rsidR="00BF6749">
        <w:trPr>
          <w:trHeight w:val="1320"/>
        </w:trPr>
        <w:tc>
          <w:tcPr>
            <w:tcW w:w="1277"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14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1 - Renewable energy sources and energy infrastructure-Reform 1: Adapting the electricity legal framework </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Release of restrictions on technical capacities for electricity transmission within the Slovak electricity system </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3 - Sustainable </w:t>
            </w:r>
            <w:r>
              <w:rPr>
                <w:rFonts w:eastAsia="Times New Roman" w:cs="Calibri"/>
                <w:noProof/>
                <w:color w:val="000000"/>
                <w:lang w:val="en-US"/>
              </w:rPr>
              <w:t>transport-Reform 1: Reform of the preparation of transport investment projects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Investment plan for railway infrastructure projects</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transport-Reform 1: Reform of the preparation of transport investment projects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Metho</w:t>
            </w:r>
            <w:r>
              <w:rPr>
                <w:rFonts w:eastAsia="Times New Roman" w:cs="Calibri"/>
                <w:noProof/>
                <w:color w:val="000000"/>
                <w:lang w:val="en-US"/>
              </w:rPr>
              <w:t>dology for selecting, preparing and implementing projects for cycling</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 Increase in the performance of Slovak higher education institutions-Reform 4:Reform of the management of universities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The reform of the management system of higher </w:t>
            </w:r>
            <w:r>
              <w:rPr>
                <w:rFonts w:eastAsia="Times New Roman" w:cs="Calibri"/>
                <w:noProof/>
                <w:color w:val="000000"/>
                <w:lang w:val="en-US"/>
              </w:rPr>
              <w:t>education institutions</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 Increase in the performance of Slovak higher education institutions-Reform 5:Concentration of excellent educational and research capacities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Start bringing together of universities into larger units</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w:t>
            </w:r>
            <w:r>
              <w:rPr>
                <w:rFonts w:eastAsia="Times New Roman" w:cs="Calibri"/>
                <w:noProof/>
                <w:color w:val="000000"/>
                <w:lang w:val="en-US"/>
              </w:rPr>
              <w:t>ient governance and strengthening RDI  funding-Reform 2: Reform of the organisation and funding of non-business research institutions, in particular the Slovak Academy of Sciences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Reform of the Slovak Academy of Science (SaS</w:t>
            </w:r>
            <w:r>
              <w:rPr>
                <w:rFonts w:eastAsia="Times New Roman" w:cs="Calibri"/>
                <w:noProof/>
                <w:color w:val="006100"/>
                <w:sz w:val="15"/>
                <w:szCs w:val="15"/>
                <w:lang w:val="en-US"/>
              </w:rPr>
              <w:t>)</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10 - Attracting </w:t>
            </w:r>
            <w:r>
              <w:rPr>
                <w:rFonts w:eastAsia="Times New Roman" w:cs="Calibri"/>
                <w:noProof/>
                <w:color w:val="000000"/>
                <w:lang w:val="en-US"/>
              </w:rPr>
              <w:t>and retaining talent-Investment 4: Promoting internationalisation in the academic environment</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Strategy for internationalisation of universities</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15 - Judicial reform-Reform 2:Fighting corruption and strengthening the integrity and independence </w:t>
            </w:r>
            <w:r>
              <w:rPr>
                <w:rFonts w:eastAsia="Times New Roman" w:cs="Calibri"/>
                <w:noProof/>
                <w:color w:val="000000"/>
                <w:lang w:val="en-US"/>
              </w:rPr>
              <w:t>of the judiciary</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Package of laws to fight corruption and strengthen integrity and independence of the justice system</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15 - Judicial reform-Reform 1:Reform of the Judicial Map – Legislation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Definition of a new judicial map </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w:t>
            </w:r>
            <w:r>
              <w:rPr>
                <w:rFonts w:eastAsia="Times New Roman" w:cs="Calibri"/>
                <w:noProof/>
                <w:color w:val="000000"/>
                <w:lang w:val="en-US"/>
              </w:rPr>
              <w:t>Fight against corruption and money laundering - Reform 2: Modernisation and capacity building of the police force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Implementation of organisational changes to police to increase the efficiency of crime detection, investigation and detection of cor</w:t>
            </w:r>
            <w:r>
              <w:rPr>
                <w:rFonts w:eastAsia="Times New Roman" w:cs="Calibri"/>
                <w:noProof/>
                <w:color w:val="000000"/>
                <w:lang w:val="en-US"/>
              </w:rPr>
              <w:t>ruption</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Fight against corruption and money laundering - Investment 4: Strengthening administrative capacity at different levels of government – establishment of a National Implementation and Coordination Authority </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Audit &amp; controls: lega</w:t>
            </w:r>
            <w:r>
              <w:rPr>
                <w:rFonts w:eastAsia="Times New Roman" w:cs="Calibri"/>
                <w:noProof/>
                <w:color w:val="000000"/>
                <w:lang w:val="en-US"/>
              </w:rPr>
              <w:t>l basis</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Fight against corruption and money laundering - Investment 4:Strengthening administrative capacity at different levels of government – establishment of a National Implementation and Coordination Authority </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RRP Repository System: </w:t>
            </w:r>
            <w:r>
              <w:rPr>
                <w:rFonts w:eastAsia="Times New Roman" w:cs="Calibri"/>
                <w:noProof/>
                <w:color w:val="000000"/>
                <w:lang w:val="en-US"/>
              </w:rPr>
              <w:t>information for monitoring implementation of RRP</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Slovakia-Reform 4: Standardisation of technical and procedural cybersecurity solutions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National Concept for Informatisation of Public Administration (NKIVS) 2021-2030</w:t>
            </w:r>
          </w:p>
        </w:tc>
      </w:tr>
      <w:tr w:rsidR="00BF6749">
        <w:trPr>
          <w:trHeight w:val="1320"/>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18 - </w:t>
            </w:r>
            <w:r>
              <w:rPr>
                <w:rFonts w:eastAsia="Times New Roman" w:cs="Calibri"/>
                <w:noProof/>
                <w:color w:val="000000"/>
                <w:lang w:val="en-US"/>
              </w:rPr>
              <w:t>Sound, sustainable and competitive public finances –Reform 2: Introducing expenditure ceilings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4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Anchoring expenditure ceilings in Law 523/2004 on the budgetary rules</w:t>
            </w:r>
          </w:p>
        </w:tc>
      </w:tr>
      <w:tr w:rsidR="00BF6749">
        <w:trPr>
          <w:trHeight w:val="659"/>
        </w:trPr>
        <w:tc>
          <w:tcPr>
            <w:tcW w:w="1277"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14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EUR 458 277 000</w:t>
            </w:r>
          </w:p>
        </w:tc>
      </w:tr>
    </w:tbl>
    <w:p w:rsidR="00BF6749" w:rsidRDefault="00BF6749">
      <w:pPr>
        <w:rPr>
          <w:noProof/>
        </w:rPr>
      </w:pPr>
    </w:p>
    <w:p w:rsidR="00BF6749" w:rsidRDefault="00C87555">
      <w:pPr>
        <w:pStyle w:val="NumPar2"/>
        <w:numPr>
          <w:ilvl w:val="1"/>
          <w:numId w:val="49"/>
        </w:numPr>
        <w:rPr>
          <w:b/>
          <w:noProof/>
          <w:lang w:val="fr-BE"/>
        </w:rPr>
      </w:pPr>
      <w:r>
        <w:rPr>
          <w:b/>
          <w:noProof/>
          <w:lang w:val="fr-BE"/>
        </w:rPr>
        <w:t xml:space="preserve">Second Instalment (non-repayable </w:t>
      </w:r>
      <w:r>
        <w:rPr>
          <w:b/>
          <w:noProof/>
          <w:lang w:val="fr-BE"/>
        </w:rPr>
        <w:t>support):</w:t>
      </w:r>
    </w:p>
    <w:p w:rsidR="00BF6749" w:rsidRDefault="00C87555">
      <w:pPr>
        <w:pStyle w:val="NumPar2"/>
        <w:numPr>
          <w:ilvl w:val="0"/>
          <w:numId w:val="0"/>
        </w:numPr>
        <w:ind w:left="850"/>
        <w:rPr>
          <w:noProof/>
          <w:lang w:val="fr-BE"/>
        </w:rPr>
      </w:pPr>
      <w:r>
        <w:rPr>
          <w:noProof/>
          <w:lang w:val="fr-BE"/>
        </w:rPr>
        <w:t xml:space="preserve"> </w:t>
      </w:r>
    </w:p>
    <w:tbl>
      <w:tblPr>
        <w:tblW w:w="10632" w:type="dxa"/>
        <w:tblInd w:w="-601" w:type="dxa"/>
        <w:tblLook w:val="04A0" w:firstRow="1" w:lastRow="0" w:firstColumn="1" w:lastColumn="0" w:noHBand="0" w:noVBand="1"/>
      </w:tblPr>
      <w:tblGrid>
        <w:gridCol w:w="1276"/>
        <w:gridCol w:w="3969"/>
        <w:gridCol w:w="1178"/>
        <w:gridCol w:w="4209"/>
      </w:tblGrid>
      <w:tr w:rsidR="00BF6749">
        <w:trPr>
          <w:trHeight w:val="660"/>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rPr>
              <w:t>Name</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2 - Building renovation- Reform 3: The management of construction waste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The amendment to the Waste Act </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5 - Adapting to climate change – Investment</w:t>
            </w:r>
            <w:r>
              <w:rPr>
                <w:rFonts w:eastAsia="Times New Roman" w:cs="Calibri"/>
                <w:noProof/>
                <w:color w:val="000000"/>
                <w:lang w:val="en-US"/>
              </w:rPr>
              <w:t xml:space="preserve"> 1: Adapting regions to climate change, focusing on nature conservation and biodiversity development</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List of selected projects for the regions of Muránska Planina and Polonina</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Inv</w:t>
            </w:r>
            <w:r>
              <w:rPr>
                <w:rFonts w:eastAsia="Times New Roman" w:cs="Calibri"/>
                <w:noProof/>
                <w:color w:val="000000"/>
                <w:lang w:val="en-US"/>
              </w:rPr>
              <w:t xml:space="preserve">estment 1: Removing of barriers of school buildings </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Introduction of the definition of debarrierisation standard, creation of a debarrierisation manual and mapping of school needs at all levels of education</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 Increase in the performance of S</w:t>
            </w:r>
            <w:r>
              <w:rPr>
                <w:rFonts w:eastAsia="Times New Roman" w:cs="Calibri"/>
                <w:noProof/>
                <w:color w:val="000000"/>
                <w:lang w:val="en-US"/>
              </w:rPr>
              <w:t>lovak higher education institutions- Reform 2: Introduction of a system of periodic scientific performance evaluation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Definition of the system of periodic evaluation of scientific performance introduced in the Law No 172/2005</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w:t>
            </w:r>
            <w:r>
              <w:rPr>
                <w:rFonts w:eastAsia="Times New Roman" w:cs="Calibri"/>
                <w:noProof/>
                <w:color w:val="000000"/>
                <w:lang w:val="en-US"/>
              </w:rPr>
              <w:t>efficient governance and strengthening RDI  funding- Reform 1: Reform of governance, evaluation and support in science, research and innovation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Reform of the governance  and  support for research, ,development and innovation.</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10 - Attracting a</w:t>
            </w:r>
            <w:r>
              <w:rPr>
                <w:rFonts w:eastAsia="Times New Roman" w:cs="Calibri"/>
                <w:noProof/>
                <w:color w:val="000000"/>
                <w:lang w:val="en-US"/>
              </w:rPr>
              <w:t>nd retaining talent- Reform 1: Reform of residence and labour legislation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Facilitation of the return to the country and increase of the attractiveness of the country for foreigners with family ties</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10 - Attracting and retaining talent-Reform 1</w:t>
            </w:r>
            <w:r>
              <w:rPr>
                <w:rFonts w:eastAsia="Times New Roman" w:cs="Calibri"/>
                <w:noProof/>
                <w:color w:val="000000"/>
                <w:lang w:val="en-US"/>
              </w:rPr>
              <w:t>: Reform of residence and labour legislation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Scheme defining a new category of applicants for national visa (D).</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10 - Attracting and retaining talent- Reform 2: Simplification of the regime for the recognition of qualifications and </w:t>
            </w:r>
            <w:r>
              <w:rPr>
                <w:rFonts w:eastAsia="Times New Roman" w:cs="Calibri"/>
                <w:noProof/>
                <w:color w:val="000000"/>
                <w:lang w:val="en-US"/>
              </w:rPr>
              <w:t>professional qualifications for the exercise of regulated professions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Simplification of the recognition of educational and professional qualifications </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healthcare-Reform 1 Optimization of the Hospital Network (UN)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w:t>
            </w:r>
            <w:r>
              <w:rPr>
                <w:rFonts w:eastAsia="Times New Roman" w:cs="Calibri"/>
                <w:noProof/>
                <w:color w:val="000000"/>
                <w:lang w:val="en-US"/>
              </w:rPr>
              <w:t>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Introduction of the hospital network</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 Reform 2 Reform of the preparation of health investment plans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A prioritised investment plan according to the investment evaluation methodology adopted by the Ministry of Health </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Reform 5 Reform of primary care provision for adults, children and youth</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The new law o</w:t>
            </w:r>
            <w:r>
              <w:rPr>
                <w:rFonts w:eastAsia="Times New Roman" w:cs="Calibri"/>
                <w:noProof/>
                <w:color w:val="000000"/>
                <w:lang w:val="en-US"/>
              </w:rPr>
              <w:t>n the establishment of the network of general care providers and the introduction of zoning</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13 - Accessible and high-quality long-term socio-health care- Reforming the supervision of social care and providing infrastructure for its implementation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w:t>
            </w:r>
            <w:r>
              <w:rPr>
                <w:rFonts w:eastAsia="Times New Roman" w:cs="Calibri"/>
                <w:noProof/>
                <w:color w:val="000000"/>
                <w:lang w:val="en-US"/>
              </w:rPr>
              <w:t>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Reform of the supervision of social care</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14 - Improve the business environment- Reform 3: Reform of public procurement – adaptation of legislation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Reform of  the Public Procurement Procedures Act </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Fight against corruption and </w:t>
            </w:r>
            <w:r>
              <w:rPr>
                <w:rFonts w:eastAsia="Times New Roman" w:cs="Calibri"/>
                <w:noProof/>
                <w:color w:val="000000"/>
                <w:lang w:val="en-US"/>
              </w:rPr>
              <w:t>money laundering  - Reform 1:Making the fight against corruption and AML more effective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Reforms to streamline and improve financial investigations </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Investment 4: Support for projects aiming at the development and applic</w:t>
            </w:r>
            <w:r>
              <w:rPr>
                <w:rFonts w:eastAsia="Times New Roman" w:cs="Calibri"/>
                <w:noProof/>
                <w:color w:val="000000"/>
                <w:lang w:val="en-US"/>
              </w:rPr>
              <w:t>ation of top digital technologies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Design of support scheme for development and application of top digital technologies</w:t>
            </w:r>
          </w:p>
        </w:tc>
      </w:tr>
      <w:tr w:rsidR="00BF6749">
        <w:trPr>
          <w:trHeight w:val="6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Investment 7: Improving the digital skills of seniors and the distribution of Senior Tablets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seniors and disadvantaged persons trained in basic digital skills</w:t>
            </w:r>
          </w:p>
        </w:tc>
      </w:tr>
      <w:tr w:rsidR="00BF6749">
        <w:trPr>
          <w:trHeight w:val="586"/>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20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EUR 814 715 000</w:t>
            </w:r>
          </w:p>
        </w:tc>
      </w:tr>
    </w:tbl>
    <w:p w:rsidR="00BF6749" w:rsidRDefault="00BF6749">
      <w:pPr>
        <w:rPr>
          <w:noProof/>
        </w:rPr>
      </w:pPr>
    </w:p>
    <w:p w:rsidR="00BF6749" w:rsidRDefault="00C87555">
      <w:pPr>
        <w:pStyle w:val="NumPar2"/>
        <w:numPr>
          <w:ilvl w:val="1"/>
          <w:numId w:val="49"/>
        </w:numPr>
        <w:rPr>
          <w:b/>
          <w:noProof/>
        </w:rPr>
      </w:pPr>
      <w:r>
        <w:rPr>
          <w:b/>
          <w:noProof/>
        </w:rPr>
        <w:t xml:space="preserve">Third Instalment (non-repayable support): </w:t>
      </w:r>
    </w:p>
    <w:p w:rsidR="00BF6749" w:rsidRDefault="00BF6749">
      <w:pPr>
        <w:pStyle w:val="Text1"/>
        <w:rPr>
          <w:noProof/>
        </w:rPr>
      </w:pPr>
    </w:p>
    <w:tbl>
      <w:tblPr>
        <w:tblW w:w="10632" w:type="dxa"/>
        <w:tblInd w:w="-601" w:type="dxa"/>
        <w:tblLook w:val="04A0" w:firstRow="1" w:lastRow="0" w:firstColumn="1" w:lastColumn="0" w:noHBand="0" w:noVBand="1"/>
      </w:tblPr>
      <w:tblGrid>
        <w:gridCol w:w="1276"/>
        <w:gridCol w:w="3969"/>
        <w:gridCol w:w="1178"/>
        <w:gridCol w:w="4209"/>
      </w:tblGrid>
      <w:tr w:rsidR="00BF6749">
        <w:trPr>
          <w:trHeight w:val="1290"/>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1 - </w:t>
            </w:r>
            <w:r>
              <w:rPr>
                <w:rFonts w:eastAsia="Times New Roman" w:cs="Calibri"/>
                <w:noProof/>
                <w:color w:val="000000"/>
                <w:lang w:val="en-US"/>
              </w:rPr>
              <w:t>Renewable energy sources and energy infrastructure- Reform 1: Adapting  the electricity legal framework</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Reform of electricity market</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1 - Renewable energy sources and energy infrastructure- Reform 2: The legal framework for promotion of </w:t>
            </w:r>
            <w:r>
              <w:rPr>
                <w:rFonts w:eastAsia="Times New Roman" w:cs="Calibri"/>
                <w:noProof/>
                <w:color w:val="000000"/>
                <w:lang w:val="en-US"/>
              </w:rPr>
              <w:t>renewable energy sources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Framework for supporting the  investments into new renewable sources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2 - Building renovation- Reform 1: The harmonisation of support mechanisms for the renovation of family houses  </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Implementation plan to m</w:t>
            </w:r>
            <w:r>
              <w:rPr>
                <w:rFonts w:eastAsia="Times New Roman" w:cs="Calibri"/>
                <w:noProof/>
                <w:color w:val="000000"/>
                <w:lang w:val="en-US"/>
              </w:rPr>
              <w:t xml:space="preserve">obilize green renovation of family houses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2 - Building renovation- Reform 1:  Improving the energy efficiency of family houses </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Launch of the support schemes to mobilise energy savings and green renovation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3 - Sustainable transport- Reform 3: Intermodal freight transport reform </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Concept and calls for new support schemes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 Reform 4: Introduction of new policies for the long-term promotion of alternative fuels in the trans</w:t>
            </w:r>
            <w:r>
              <w:rPr>
                <w:rFonts w:eastAsia="Times New Roman" w:cs="Calibri"/>
                <w:noProof/>
                <w:color w:val="000000"/>
                <w:lang w:val="en-US"/>
              </w:rPr>
              <w:t>port sector</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 new package of measures to promote alternative propulsions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4 - Decarbonisation of industry- Reform 2:The competitive scheme for greenhouse gas emissions reduction in industry</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xml:space="preserve">Adoption of the industrial decarbonisation </w:t>
            </w:r>
            <w:r>
              <w:rPr>
                <w:rFonts w:eastAsia="Times New Roman" w:cs="Calibri"/>
                <w:noProof/>
                <w:color w:val="000000"/>
                <w:lang w:val="en-US"/>
              </w:rPr>
              <w:t>scheme</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5 - Adapting to climate change – Reform 1: Land planning reform</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The Land Planning reform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Reform 1:Ensuring conditions for the implementation of compulsory pre-primar</w:t>
            </w:r>
            <w:r>
              <w:rPr>
                <w:rFonts w:eastAsia="Times New Roman" w:cs="Calibri"/>
                <w:noProof/>
                <w:color w:val="000000"/>
                <w:lang w:val="en-US"/>
              </w:rPr>
              <w:t>y education for children aged of five  and introducing a legal entitlement to a place in kindergarten or other pre-primary education providers from the age of three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Enrollment rate in pre-primary schools for children aged five years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6 - </w:t>
            </w:r>
            <w:r>
              <w:rPr>
                <w:rFonts w:eastAsia="Times New Roman" w:cs="Calibri"/>
                <w:noProof/>
                <w:color w:val="000000"/>
                <w:lang w:val="en-US"/>
              </w:rPr>
              <w:t>Accessibility, development and quality of inclusive education- Reform 1:1.Ensuring conditions for the implementation of compulsory pre-primary education for children aged of five and introducing a legal entitlement to a place in kindergarten or other pre-p</w:t>
            </w:r>
            <w:r>
              <w:rPr>
                <w:rFonts w:eastAsia="Times New Roman" w:cs="Calibri"/>
                <w:noProof/>
                <w:color w:val="000000"/>
                <w:lang w:val="en-US"/>
              </w:rPr>
              <w:t>rimary education providers from the age of three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Introduction of legal changes of a  compulsory pre-primary education for children aged of five and introduction a legal entitlement to a place in kindergarten or other pre-primary education provide</w:t>
            </w:r>
            <w:r>
              <w:rPr>
                <w:rFonts w:eastAsia="Times New Roman" w:cs="Calibri"/>
                <w:noProof/>
                <w:color w:val="000000"/>
                <w:lang w:val="en-US"/>
              </w:rPr>
              <w:t>rs from the age of three.</w:t>
            </w:r>
          </w:p>
        </w:tc>
      </w:tr>
      <w:tr w:rsidR="00BF6749">
        <w:trPr>
          <w:trHeight w:val="1290"/>
        </w:trPr>
        <w:tc>
          <w:tcPr>
            <w:tcW w:w="1276" w:type="dxa"/>
            <w:tcBorders>
              <w:top w:val="nil"/>
              <w:left w:val="single" w:sz="8" w:space="0" w:color="auto"/>
              <w:bottom w:val="nil"/>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969" w:type="dxa"/>
            <w:tcBorders>
              <w:top w:val="nil"/>
              <w:left w:val="nil"/>
              <w:bottom w:val="nil"/>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Reform 2:Definition of the concept of special educational needs of children and pupils and development of a model for eligible support measures in education an</w:t>
            </w:r>
            <w:r>
              <w:rPr>
                <w:rFonts w:eastAsia="Times New Roman" w:cs="Calibri"/>
                <w:noProof/>
                <w:color w:val="000000"/>
                <w:lang w:val="en-US"/>
              </w:rPr>
              <w:t>d education, including their funding system</w:t>
            </w:r>
          </w:p>
        </w:tc>
        <w:tc>
          <w:tcPr>
            <w:tcW w:w="1178" w:type="dxa"/>
            <w:tcBorders>
              <w:top w:val="nil"/>
              <w:left w:val="nil"/>
              <w:bottom w:val="nil"/>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nil"/>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Adoption of the law on redefinition of  the concept of special educational needs  and the preparation of accompanying methodological material for teaching staff, specialist staff and school leaders.</w:t>
            </w:r>
          </w:p>
        </w:tc>
      </w:tr>
      <w:tr w:rsidR="00BF6749">
        <w:trPr>
          <w:trHeight w:val="1290"/>
        </w:trPr>
        <w:tc>
          <w:tcPr>
            <w:tcW w:w="1276"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969" w:type="dxa"/>
            <w:tcBorders>
              <w:top w:val="single" w:sz="8" w:space="0" w:color="auto"/>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Reform 6:Compensatory measures to mitigate the impact of the pandemic in education for primary and secondary school pupils</w:t>
            </w:r>
          </w:p>
        </w:tc>
        <w:tc>
          <w:tcPr>
            <w:tcW w:w="1178" w:type="dxa"/>
            <w:tcBorders>
              <w:top w:val="single" w:sz="8" w:space="0" w:color="auto"/>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single" w:sz="8" w:space="0" w:color="auto"/>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pupils taking part in tuition programmes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w:t>
            </w:r>
            <w:r>
              <w:rPr>
                <w:rFonts w:eastAsia="Times New Roman" w:cs="Calibri"/>
                <w:noProof/>
                <w:color w:val="000000"/>
                <w:lang w:val="en-US"/>
              </w:rPr>
              <w:t xml:space="preserve"> Increase in the performance of Slovak higher education institutions- Investment 1: support for the strategic development of universities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At least 2 calls concluded for supporting  the strategic development of universities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8 - Increase in </w:t>
            </w:r>
            <w:r>
              <w:rPr>
                <w:rFonts w:eastAsia="Times New Roman" w:cs="Calibri"/>
                <w:noProof/>
                <w:color w:val="000000"/>
                <w:lang w:val="en-US"/>
              </w:rPr>
              <w:t>the performance of Slovak higher education institutions- Reform 1: Change in funding for universities, including the introduction of performance contracts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Introduction of performance contracts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8 - Increase in the performance of Slovak higher </w:t>
            </w:r>
            <w:r>
              <w:rPr>
                <w:rFonts w:eastAsia="Times New Roman" w:cs="Calibri"/>
                <w:noProof/>
                <w:color w:val="000000"/>
                <w:lang w:val="en-US"/>
              </w:rPr>
              <w:t>education institutions- Reform 2:Introduction of a system of periodic scientific performance evaluation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Performed evaluations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 Increase in the performance of Slovak higher education institutions- Reform 3:A new approach to accredi</w:t>
            </w:r>
            <w:r>
              <w:rPr>
                <w:rFonts w:eastAsia="Times New Roman" w:cs="Calibri"/>
                <w:noProof/>
                <w:color w:val="000000"/>
                <w:lang w:val="en-US"/>
              </w:rPr>
              <w:t>tation of higher education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Percentage of universities apply to check the compliance of internal quality systems and study programmes with standards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efficient governance and strengthening RDI  funding- Reform 1: Reform of governance, </w:t>
            </w:r>
            <w:r>
              <w:rPr>
                <w:rFonts w:eastAsia="Times New Roman" w:cs="Calibri"/>
                <w:noProof/>
                <w:color w:val="000000"/>
                <w:lang w:val="en-US"/>
              </w:rPr>
              <w:t>evaluation and support in science, research and innovation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Design of the National overarching RDI Strategy</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18</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efficient governance and strengthening RDI  funding- Investment 1: Promoting international cooperation and participation in </w:t>
            </w:r>
            <w:r>
              <w:rPr>
                <w:rFonts w:eastAsia="Times New Roman" w:cs="Calibri"/>
                <w:noProof/>
                <w:color w:val="000000"/>
                <w:lang w:val="en-US"/>
              </w:rPr>
              <w:t>Horizon Europe and EIT projects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Launch of calls for projects to support the participation of Slovak actors in Horizon Europe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19</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2: Support for cooperation between firms, a</w:t>
            </w:r>
            <w:r>
              <w:rPr>
                <w:rFonts w:eastAsia="Times New Roman" w:cs="Calibri"/>
                <w:noProof/>
                <w:color w:val="000000"/>
                <w:lang w:val="en-US"/>
              </w:rPr>
              <w:t>cademia and RD organisations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Launch  of calls for projects to support cooperation between companies, academia and R &amp; D organisations and vouchers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20</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3: Excellent science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Launch of calls to support  excellent researchers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4: Research and innovation to decarbonise the economy</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Launch of calls for thematic demand-driven projects add</w:t>
            </w:r>
            <w:r>
              <w:rPr>
                <w:rFonts w:eastAsia="Times New Roman" w:cs="Calibri"/>
                <w:noProof/>
                <w:color w:val="000000"/>
                <w:lang w:val="en-US"/>
              </w:rPr>
              <w:t>ressing the challenges of green transition</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5: Research and innovation for the digitalisation of the economy</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Launch of calls for thematic demand-driven projects </w:t>
            </w:r>
            <w:r>
              <w:rPr>
                <w:rFonts w:eastAsia="Times New Roman" w:cs="Calibri"/>
                <w:noProof/>
                <w:color w:val="000000"/>
                <w:lang w:val="en-US"/>
              </w:rPr>
              <w:t>addressing the challenges of digital transition</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6: Financial instruments to support innovation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Launch and implementation of financial instruments to support innovation</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 Investment 4:Strengthening administrative capacity at different levels of government – establishment of a National Implementation and Coordination Authority</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Minimising implementation risk by</w:t>
            </w:r>
            <w:r>
              <w:rPr>
                <w:rFonts w:eastAsia="Times New Roman" w:cs="Calibri"/>
                <w:noProof/>
                <w:color w:val="000000"/>
                <w:lang w:val="en-US"/>
              </w:rPr>
              <w:t xml:space="preserve"> establishing a coordination, financial and implementing body (NIKA) for the Recovery and Resilience Facility</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 Investment 2: Equipping and digitalizing the police force – renewal of the vehicle fleet</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Purchase of new vehicles (10 % of the fleet) of electric and hybrid vehicles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Investment 3: Engaging in cross-border European projects related to the digital economy</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Digital Innovation Hubs in Slovakia/ European Digital Innovation Hub creating a network </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Reform 1: Creating eGovernment solutions for priority life situations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Investment plan for priority life situations</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28</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Reform 3: Managing the digital transformation of the economy and society</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Action Plan for the Digital Transformation of Slovakia for years 2023-2026</w:t>
            </w:r>
          </w:p>
        </w:tc>
      </w:tr>
      <w:tr w:rsidR="00BF6749">
        <w:trPr>
          <w:trHeight w:val="129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29</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Reform 6: A strategic approach to education in d</w:t>
            </w:r>
            <w:r>
              <w:rPr>
                <w:rFonts w:eastAsia="Times New Roman" w:cs="Calibri"/>
                <w:noProof/>
                <w:color w:val="000000"/>
                <w:lang w:val="en-US"/>
              </w:rPr>
              <w:t>igital skills in cooperation with representatives of key stakeholders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National Digital Skills Strategy</w:t>
            </w:r>
          </w:p>
        </w:tc>
      </w:tr>
      <w:tr w:rsidR="00BF6749">
        <w:trPr>
          <w:trHeight w:val="563"/>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20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xml:space="preserve"> EUR 814 715 000   </w:t>
            </w:r>
          </w:p>
        </w:tc>
      </w:tr>
    </w:tbl>
    <w:p w:rsidR="00BF6749" w:rsidRDefault="00BF6749">
      <w:pPr>
        <w:pStyle w:val="Text1"/>
        <w:ind w:left="0"/>
        <w:rPr>
          <w:b/>
          <w:noProof/>
        </w:rPr>
      </w:pPr>
    </w:p>
    <w:p w:rsidR="00BF6749" w:rsidRDefault="00C87555">
      <w:pPr>
        <w:pStyle w:val="NumPar2"/>
        <w:numPr>
          <w:ilvl w:val="1"/>
          <w:numId w:val="49"/>
        </w:numPr>
        <w:rPr>
          <w:b/>
          <w:noProof/>
        </w:rPr>
      </w:pPr>
      <w:r>
        <w:rPr>
          <w:b/>
          <w:noProof/>
        </w:rPr>
        <w:t xml:space="preserve">Fourth Instalment (non-repayable support): </w:t>
      </w:r>
    </w:p>
    <w:p w:rsidR="00BF6749" w:rsidRDefault="00BF6749">
      <w:pPr>
        <w:pStyle w:val="Text1"/>
        <w:rPr>
          <w:noProof/>
        </w:rPr>
      </w:pPr>
    </w:p>
    <w:tbl>
      <w:tblPr>
        <w:tblW w:w="10632" w:type="dxa"/>
        <w:tblInd w:w="-601" w:type="dxa"/>
        <w:tblLook w:val="04A0" w:firstRow="1" w:lastRow="0" w:firstColumn="1" w:lastColumn="0" w:noHBand="0" w:noVBand="1"/>
      </w:tblPr>
      <w:tblGrid>
        <w:gridCol w:w="1276"/>
        <w:gridCol w:w="3969"/>
        <w:gridCol w:w="1178"/>
        <w:gridCol w:w="4209"/>
      </w:tblGrid>
      <w:tr w:rsidR="00BF6749">
        <w:trPr>
          <w:trHeight w:val="109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 xml:space="preserve">Related Measure (Reform or </w:t>
            </w:r>
            <w:r>
              <w:rPr>
                <w:rFonts w:eastAsia="Times New Roman" w:cs="Calibri"/>
                <w:b/>
                <w:bCs/>
                <w:noProof/>
                <w:color w:val="000000"/>
                <w:lang w:eastAsia="en-GB"/>
              </w:rPr>
              <w:t>Investment)</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 Reform 1: Reform of the preparation of transport investment projects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The amendment to the Railways Act and related regulations on transport infrastructure parameters</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3 - </w:t>
            </w:r>
            <w:r>
              <w:rPr>
                <w:rFonts w:eastAsia="Times New Roman" w:cs="Calibri"/>
                <w:noProof/>
                <w:color w:val="000000"/>
                <w:lang w:val="en-US"/>
              </w:rPr>
              <w:t>Sustainable transport- Reform 2: Public passenger transport reform</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New law on public passenger transport</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Reform 2: Definition of the concept of special educational needs of chi</w:t>
            </w:r>
            <w:r>
              <w:rPr>
                <w:rFonts w:eastAsia="Times New Roman" w:cs="Calibri"/>
                <w:noProof/>
                <w:color w:val="000000"/>
                <w:lang w:val="en-US"/>
              </w:rPr>
              <w:t>ldren and pupils and development of a model for eligible support measures in education and education, including their funding system</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Entry into force the redefinition of the concept of special educational needs </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6 - Accessibility, development </w:t>
            </w:r>
            <w:r>
              <w:rPr>
                <w:rFonts w:eastAsia="Times New Roman" w:cs="Calibri"/>
                <w:noProof/>
                <w:color w:val="000000"/>
                <w:lang w:val="en-US"/>
              </w:rPr>
              <w:t>and quality of inclusive education- Reform 3:Reforming the system of counselling and prevention and ensuring systemic data collection in the field of mental health promotion for children, pupils and students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Entry into force of the legislation that create the   comprehensive system of counselling</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Reform 4:Implementation of tools to prevent early school leaving and adapt F-type study program</w:t>
            </w:r>
            <w:r>
              <w:rPr>
                <w:rFonts w:eastAsia="Times New Roman" w:cs="Calibri"/>
                <w:noProof/>
                <w:color w:val="000000"/>
                <w:lang w:val="en-US"/>
              </w:rPr>
              <w:t>mes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Entry into force of legislative amendments aimed at:• Extension of the possibility to acquire lower secondary education in lower secondary vocational education (VET) optimisation of NSOV programmes  in response to labour market needs and the </w:t>
            </w:r>
            <w:r>
              <w:rPr>
                <w:rFonts w:eastAsia="Times New Roman" w:cs="Calibri"/>
                <w:noProof/>
                <w:color w:val="000000"/>
                <w:lang w:val="en-US"/>
              </w:rPr>
              <w:t>offer of NSOV programmes in relation to the educational needs of the target group of pupils</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Reform 1: Education content and form reform – Curricular and textbook reform</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Approval of the final version of the new </w:t>
            </w:r>
            <w:r>
              <w:rPr>
                <w:rFonts w:eastAsia="Times New Roman" w:cs="Calibri"/>
                <w:noProof/>
                <w:color w:val="000000"/>
                <w:lang w:val="en-US"/>
              </w:rPr>
              <w:t>curriculum  for all primary and lower-secondary schools organized in multiannual education cycles</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Reform 2:Preparing and developing teachers for new content and form of teaching</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 xml:space="preserve">Entry into force the legislative </w:t>
            </w:r>
            <w:r>
              <w:rPr>
                <w:rFonts w:eastAsia="Times New Roman" w:cs="Calibri"/>
                <w:noProof/>
                <w:color w:val="000000"/>
              </w:rPr>
              <w:t>changes to strengthen the quality of skills of teaching and professional staff and motivate them for lifelong professional development</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7: It support a single RD grant system</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w:t>
            </w:r>
            <w:r>
              <w:rPr>
                <w:rFonts w:eastAsia="Times New Roman" w:cs="Calibri"/>
                <w:noProof/>
                <w:color w:val="000000"/>
                <w:lang w:val="en-US"/>
              </w:rPr>
              <w: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Design of the new D  information system to evaluate grant schemes</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 Reform 4 Optimisation of the acute healthcare network and new definition of emergency healthcare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Amendment to the law on Optimal amb</w:t>
            </w:r>
            <w:r>
              <w:rPr>
                <w:rFonts w:eastAsia="Times New Roman" w:cs="Calibri"/>
                <w:noProof/>
                <w:color w:val="000000"/>
                <w:lang w:val="en-US"/>
              </w:rPr>
              <w:t>ulance network and new definition of emergency healthcare</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13 - Accessible and high-quality long-term socio-health care- Reform of integration and financing of long-term social and health care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New legislative framework for long-term health and</w:t>
            </w:r>
            <w:r>
              <w:rPr>
                <w:rFonts w:eastAsia="Times New Roman" w:cs="Calibri"/>
                <w:noProof/>
                <w:color w:val="000000"/>
                <w:lang w:val="en-US"/>
              </w:rPr>
              <w:t xml:space="preserve"> palliative care</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14 - Improve the business environment- Reform 1: Reducing the regulatory burden on business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introduction of the new regulatory burden reduction tools:—Implementation of the “1in-2out” rule – Introduction of ex-post evaluation</w:t>
            </w:r>
            <w:r>
              <w:rPr>
                <w:rFonts w:eastAsia="Times New Roman" w:cs="Calibri"/>
                <w:noProof/>
                <w:color w:val="000000"/>
                <w:lang w:val="en-US"/>
              </w:rPr>
              <w:t xml:space="preserve"> of existing regulations (legislative and non-legislative materials) – Introduction of protection against unjustified goldplating</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14 - Improve the business environment- Reform 3: Reform of public procurement – digitalisation of public procurement proce</w:t>
            </w:r>
            <w:r>
              <w:rPr>
                <w:rFonts w:eastAsia="Times New Roman" w:cs="Calibri"/>
                <w:noProof/>
                <w:color w:val="000000"/>
                <w:lang w:val="en-US"/>
              </w:rPr>
              <w:t>sses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Digitalisation of public procurement processes through a single electronic platform.</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14 - Improve the business environment- Reform 2: Reform of the insolvency framework – adaptation of legislation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Reform of the insolvency </w:t>
            </w:r>
            <w:r>
              <w:rPr>
                <w:rFonts w:eastAsia="Times New Roman" w:cs="Calibri"/>
                <w:noProof/>
                <w:color w:val="000000"/>
                <w:lang w:val="en-US"/>
              </w:rPr>
              <w:t>framework</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15 - Judicial reform- Reform 1: Reform of the Judicial Map – Legislation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xml:space="preserve">The introduction of the new court network </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 - Reform 3: Optimising crisis management</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Entry </w:t>
            </w:r>
            <w:r>
              <w:rPr>
                <w:rFonts w:eastAsia="Times New Roman" w:cs="Calibri"/>
                <w:noProof/>
                <w:color w:val="000000"/>
                <w:lang w:val="en-US"/>
              </w:rPr>
              <w:t>into force of the optimised crisis management</w:t>
            </w:r>
          </w:p>
        </w:tc>
      </w:tr>
      <w:tr w:rsidR="00BF6749">
        <w:trPr>
          <w:trHeight w:val="10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18 - Sound, sustainable and competitive public finances – Reform 1: Improving the sustainability of the pension system</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Pension system reform </w:t>
            </w:r>
          </w:p>
        </w:tc>
      </w:tr>
      <w:tr w:rsidR="00BF6749">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20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xml:space="preserve"> EUR 923 828 000   </w:t>
            </w:r>
          </w:p>
        </w:tc>
      </w:tr>
    </w:tbl>
    <w:p w:rsidR="00BF6749" w:rsidRDefault="00BF6749">
      <w:pPr>
        <w:pStyle w:val="Text1"/>
        <w:rPr>
          <w:noProof/>
          <w:lang w:val="en-US"/>
        </w:rPr>
      </w:pPr>
    </w:p>
    <w:p w:rsidR="00BF6749" w:rsidRDefault="00C87555">
      <w:pPr>
        <w:pStyle w:val="NumPar2"/>
        <w:numPr>
          <w:ilvl w:val="1"/>
          <w:numId w:val="49"/>
        </w:numPr>
        <w:rPr>
          <w:b/>
          <w:noProof/>
        </w:rPr>
      </w:pPr>
      <w:r>
        <w:rPr>
          <w:b/>
          <w:noProof/>
        </w:rPr>
        <w:t xml:space="preserve">Fifth Instalment (non-repayable support): </w:t>
      </w:r>
    </w:p>
    <w:p w:rsidR="00BF6749" w:rsidRDefault="00BF6749">
      <w:pPr>
        <w:pStyle w:val="Text1"/>
        <w:rPr>
          <w:noProof/>
        </w:rPr>
      </w:pPr>
    </w:p>
    <w:tbl>
      <w:tblPr>
        <w:tblW w:w="10632" w:type="dxa"/>
        <w:tblInd w:w="-601" w:type="dxa"/>
        <w:tblLook w:val="04A0" w:firstRow="1" w:lastRow="0" w:firstColumn="1" w:lastColumn="0" w:noHBand="0" w:noVBand="1"/>
      </w:tblPr>
      <w:tblGrid>
        <w:gridCol w:w="1276"/>
        <w:gridCol w:w="3969"/>
        <w:gridCol w:w="1178"/>
        <w:gridCol w:w="4209"/>
      </w:tblGrid>
      <w:tr w:rsidR="00BF6749">
        <w:trPr>
          <w:trHeight w:val="136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96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17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20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2 - Building renovation- Reform 2:  Increasing transparency and streamlining decisions of the Monuments  Board of the Slovak </w:t>
            </w:r>
            <w:r>
              <w:rPr>
                <w:rFonts w:eastAsia="Times New Roman" w:cs="Calibri"/>
                <w:noProof/>
                <w:color w:val="000000"/>
                <w:lang w:val="en-US"/>
              </w:rPr>
              <w:t>Republic</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Methodologies for the decision making process of the Monuments Board of the Slovak republic</w:t>
            </w:r>
          </w:p>
        </w:tc>
      </w:tr>
      <w:tr w:rsidR="00BF6749">
        <w:trPr>
          <w:trHeight w:val="1166"/>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 Reform 2: Public passenger transport reform</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Implementation of optimised rail transport timetable</w:t>
            </w:r>
          </w:p>
        </w:tc>
      </w:tr>
      <w:tr w:rsidR="00BF6749">
        <w:trPr>
          <w:trHeight w:val="117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4 - </w:t>
            </w:r>
            <w:r>
              <w:rPr>
                <w:rFonts w:eastAsia="Times New Roman" w:cs="Calibri"/>
                <w:noProof/>
                <w:color w:val="000000"/>
                <w:lang w:val="en-US"/>
              </w:rPr>
              <w:t>Decarbonisation of industry- Reform 1: The termination of  coal-based electricity production at Nováky power plant and transformation of the Upper Nitra region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Transition away from coal at the Upper Nitra region</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5 - Adapting to climate change </w:t>
            </w:r>
            <w:r>
              <w:rPr>
                <w:rFonts w:eastAsia="Times New Roman" w:cs="Calibri"/>
                <w:noProof/>
                <w:color w:val="000000"/>
                <w:lang w:val="en-US"/>
              </w:rPr>
              <w:t>– Reform 2: Reforming nature conservation and water management in the countryside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More effective application of nature protection measures  in landscapes in protected areas and the revitalization of watercourses</w:t>
            </w:r>
          </w:p>
        </w:tc>
      </w:tr>
      <w:tr w:rsidR="00BF6749">
        <w:trPr>
          <w:trHeight w:val="121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5 - Adapting to climate </w:t>
            </w:r>
            <w:r>
              <w:rPr>
                <w:rFonts w:eastAsia="Times New Roman" w:cs="Calibri"/>
                <w:noProof/>
                <w:color w:val="000000"/>
                <w:lang w:val="en-US"/>
              </w:rPr>
              <w:t>change – Investment 1: Adapting regions to climate change, focusing on nature conservation and biodiversity development</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Property settlement with private landowners (in Area of land settled in ha)</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6 - Accessibility, development and quality of </w:t>
            </w:r>
            <w:r>
              <w:rPr>
                <w:rFonts w:eastAsia="Times New Roman" w:cs="Calibri"/>
                <w:noProof/>
                <w:color w:val="000000"/>
                <w:lang w:val="en-US"/>
              </w:rPr>
              <w:t>inclusive education- Reform 5:Supporting school desegregation</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Adoption of legislative amendments  that introduce of  the definition of at schools in the legislation and the development of methodological material for the implementation of </w:t>
            </w:r>
            <w:r>
              <w:rPr>
                <w:rFonts w:eastAsia="Times New Roman" w:cs="Calibri"/>
                <w:noProof/>
                <w:color w:val="000000"/>
                <w:lang w:val="en-US"/>
              </w:rPr>
              <w:t>desegregation</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Reform 2:Preparing and developing teachers for new content and form of teaching</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Percentage of teachers trained especially in preparation for the new curriculum inclusive education and digital skills </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 Increase in the performance of Slovak higher education institutions- Reform 1:Change in funding for universities, including the introduction of performance contracts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Performance contracts signed with public universities (in percentage) </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10 </w:t>
            </w:r>
            <w:r>
              <w:rPr>
                <w:rFonts w:eastAsia="Times New Roman" w:cs="Calibri"/>
                <w:noProof/>
                <w:color w:val="000000"/>
                <w:lang w:val="en-US"/>
              </w:rPr>
              <w:t>- Attracting and retaining talent- Investment 1: Support tools and assistance for returnees, highly qualified third-country workers and their family members and foreign higher education students studying in Slovakia</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one-stop shops for </w:t>
            </w:r>
            <w:r>
              <w:rPr>
                <w:rFonts w:eastAsia="Times New Roman" w:cs="Calibri"/>
                <w:noProof/>
                <w:color w:val="000000"/>
                <w:lang w:val="en-US"/>
              </w:rPr>
              <w:t>integration in Slovakia</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Reform 3 Centralization of the management of the largest hospitals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Establishment of a central hospital management body from an organisational, operational and economic point of vi</w:t>
            </w:r>
            <w:r>
              <w:rPr>
                <w:rFonts w:eastAsia="Times New Roman" w:cs="Calibri"/>
                <w:noProof/>
                <w:color w:val="000000"/>
                <w:lang w:val="en-US"/>
              </w:rPr>
              <w:t>ew</w:t>
            </w:r>
          </w:p>
        </w:tc>
      </w:tr>
      <w:tr w:rsidR="00BF6749">
        <w:trPr>
          <w:trHeight w:val="1104"/>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Investment 3 Digitalisation in health</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Navigation system for the treatment of atrial fibrillation in 3 cardiovascular disease institutions</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13 - Accessible and high-quality long-term socio-health care-</w:t>
            </w:r>
            <w:r>
              <w:rPr>
                <w:rFonts w:eastAsia="Times New Roman" w:cs="Calibri"/>
                <w:noProof/>
                <w:color w:val="000000"/>
                <w:lang w:val="en-US"/>
              </w:rPr>
              <w:t xml:space="preserve"> Reform of integration and financing of long-term social and health care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Publication of the concept of financing social services for public debate</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15 - Judicial reform- Investment 2:Supporting instruments for reform of the Judicial Map – </w:t>
            </w:r>
            <w:r>
              <w:rPr>
                <w:rFonts w:eastAsia="Times New Roman" w:cs="Calibri"/>
                <w:noProof/>
                <w:color w:val="000000"/>
                <w:lang w:val="en-US"/>
              </w:rPr>
              <w:t>Commercial Register and Centralised System of Judicial Governance</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Development and handover of an IT system – Business Register</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 Investment 1: Tools and capacity for the fight against corrupt</w:t>
            </w:r>
            <w:r>
              <w:rPr>
                <w:rFonts w:eastAsia="Times New Roman" w:cs="Calibri"/>
                <w:noProof/>
                <w:color w:val="000000"/>
                <w:lang w:val="en-US"/>
              </w:rPr>
              <w:t>ion and money laundering</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Providing necessary Infrastructure to support the fight against money laundering and corruption </w:t>
            </w:r>
          </w:p>
        </w:tc>
      </w:tr>
      <w:tr w:rsidR="00BF6749">
        <w:trPr>
          <w:trHeight w:val="138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Fight against corruption and money laundering - Investment 1: Tools and capacity for the fight against corruption </w:t>
            </w:r>
            <w:r>
              <w:rPr>
                <w:rFonts w:eastAsia="Times New Roman" w:cs="Calibri"/>
                <w:noProof/>
                <w:color w:val="000000"/>
                <w:lang w:val="en-US"/>
              </w:rPr>
              <w:t>and money laundering</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Retraining police officers in financial investigations and analytical activities</w:t>
            </w:r>
          </w:p>
        </w:tc>
      </w:tr>
      <w:tr w:rsidR="00BF6749">
        <w:trPr>
          <w:trHeight w:val="1172"/>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Reform 1: Creating eGovernment solutions for priority life situations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Roadmap of the priority life situations</w:t>
            </w:r>
          </w:p>
        </w:tc>
      </w:tr>
      <w:tr w:rsidR="00BF6749">
        <w:trPr>
          <w:trHeight w:val="126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17</w:t>
            </w:r>
          </w:p>
        </w:tc>
        <w:tc>
          <w:tcPr>
            <w:tcW w:w="396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Reform 2: Central management of IT resources</w:t>
            </w:r>
          </w:p>
        </w:tc>
        <w:tc>
          <w:tcPr>
            <w:tcW w:w="117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20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Central platform for the use of IT resources (digital market place)</w:t>
            </w:r>
          </w:p>
        </w:tc>
      </w:tr>
      <w:tr w:rsidR="00BF6749">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96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 </w:t>
            </w:r>
          </w:p>
        </w:tc>
        <w:tc>
          <w:tcPr>
            <w:tcW w:w="117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20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xml:space="preserve"> EUR 923 828 000   </w:t>
            </w:r>
          </w:p>
        </w:tc>
      </w:tr>
    </w:tbl>
    <w:p w:rsidR="00BF6749" w:rsidRDefault="00BF6749">
      <w:pPr>
        <w:pStyle w:val="Text1"/>
        <w:rPr>
          <w:noProof/>
        </w:rPr>
      </w:pPr>
    </w:p>
    <w:p w:rsidR="00BF6749" w:rsidRDefault="00C87555">
      <w:pPr>
        <w:pStyle w:val="NumPar2"/>
        <w:numPr>
          <w:ilvl w:val="1"/>
          <w:numId w:val="49"/>
        </w:numPr>
        <w:rPr>
          <w:b/>
          <w:noProof/>
          <w:lang w:val="fr-BE"/>
        </w:rPr>
      </w:pPr>
      <w:r>
        <w:rPr>
          <w:b/>
          <w:noProof/>
          <w:lang w:val="fr-BE"/>
        </w:rPr>
        <w:t xml:space="preserve">Sixth Instalment (non-repayable support): </w:t>
      </w:r>
    </w:p>
    <w:p w:rsidR="00BF6749" w:rsidRDefault="00BF6749">
      <w:pPr>
        <w:pStyle w:val="Text1"/>
        <w:rPr>
          <w:noProof/>
          <w:lang w:val="fr-BE"/>
        </w:rPr>
      </w:pPr>
    </w:p>
    <w:tbl>
      <w:tblPr>
        <w:tblW w:w="10490" w:type="dxa"/>
        <w:tblInd w:w="-601" w:type="dxa"/>
        <w:tblLook w:val="04A0" w:firstRow="1" w:lastRow="0" w:firstColumn="1" w:lastColumn="0" w:noHBand="0" w:noVBand="1"/>
      </w:tblPr>
      <w:tblGrid>
        <w:gridCol w:w="1276"/>
        <w:gridCol w:w="3828"/>
        <w:gridCol w:w="1275"/>
        <w:gridCol w:w="4111"/>
      </w:tblGrid>
      <w:tr w:rsidR="00BF6749">
        <w:trPr>
          <w:trHeight w:val="570"/>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rsidR="00BF6749" w:rsidRDefault="00C87555">
            <w:pPr>
              <w:spacing w:after="0"/>
              <w:jc w:val="center"/>
              <w:rPr>
                <w:rFonts w:eastAsia="Times New Roman"/>
                <w:b/>
                <w:bCs/>
                <w:noProof/>
                <w:color w:val="000000"/>
                <w:lang w:val="en-US"/>
              </w:rPr>
            </w:pPr>
            <w:r>
              <w:rPr>
                <w:rFonts w:eastAsia="Times New Roman"/>
                <w:b/>
                <w:bCs/>
                <w:noProof/>
                <w:color w:val="000000"/>
                <w:lang w:eastAsia="en-GB"/>
              </w:rPr>
              <w:t>Sequential Number</w:t>
            </w:r>
          </w:p>
        </w:tc>
        <w:tc>
          <w:tcPr>
            <w:tcW w:w="3828" w:type="dxa"/>
            <w:tcBorders>
              <w:top w:val="single" w:sz="8" w:space="0" w:color="auto"/>
              <w:left w:val="nil"/>
              <w:bottom w:val="single" w:sz="8" w:space="0" w:color="auto"/>
              <w:right w:val="single" w:sz="8" w:space="0" w:color="auto"/>
            </w:tcBorders>
            <w:shd w:val="clear" w:color="auto" w:fill="BDD7EE"/>
            <w:vAlign w:val="center"/>
            <w:hideMark/>
          </w:tcPr>
          <w:p w:rsidR="00BF6749" w:rsidRDefault="00C87555">
            <w:pPr>
              <w:spacing w:after="0"/>
              <w:jc w:val="center"/>
              <w:rPr>
                <w:rFonts w:eastAsia="Times New Roman"/>
                <w:b/>
                <w:bCs/>
                <w:noProof/>
                <w:color w:val="000000"/>
                <w:lang w:val="en-US"/>
              </w:rPr>
            </w:pPr>
            <w:r>
              <w:rPr>
                <w:rFonts w:eastAsia="Times New Roman"/>
                <w:b/>
                <w:bCs/>
                <w:noProof/>
                <w:color w:val="000000"/>
                <w:lang w:eastAsia="en-GB"/>
              </w:rPr>
              <w:t>Related Measure (Reform or Investment)</w:t>
            </w:r>
          </w:p>
        </w:tc>
        <w:tc>
          <w:tcPr>
            <w:tcW w:w="1275" w:type="dxa"/>
            <w:tcBorders>
              <w:top w:val="single" w:sz="8" w:space="0" w:color="auto"/>
              <w:left w:val="nil"/>
              <w:bottom w:val="single" w:sz="8" w:space="0" w:color="auto"/>
              <w:right w:val="single" w:sz="8" w:space="0" w:color="auto"/>
            </w:tcBorders>
            <w:shd w:val="clear" w:color="auto" w:fill="BDD7EE"/>
            <w:vAlign w:val="center"/>
            <w:hideMark/>
          </w:tcPr>
          <w:p w:rsidR="00BF6749" w:rsidRDefault="00C87555">
            <w:pPr>
              <w:spacing w:after="0"/>
              <w:jc w:val="center"/>
              <w:rPr>
                <w:rFonts w:eastAsia="Times New Roman"/>
                <w:b/>
                <w:bCs/>
                <w:noProof/>
                <w:color w:val="000000"/>
                <w:lang w:val="en-US"/>
              </w:rPr>
            </w:pPr>
            <w:r>
              <w:rPr>
                <w:rFonts w:eastAsia="Times New Roman"/>
                <w:b/>
                <w:bCs/>
                <w:noProof/>
                <w:color w:val="000000"/>
                <w:lang w:eastAsia="en-GB"/>
              </w:rPr>
              <w:t>Milestone / Target</w:t>
            </w:r>
          </w:p>
        </w:tc>
        <w:tc>
          <w:tcPr>
            <w:tcW w:w="4111" w:type="dxa"/>
            <w:tcBorders>
              <w:top w:val="single" w:sz="8" w:space="0" w:color="auto"/>
              <w:left w:val="nil"/>
              <w:bottom w:val="single" w:sz="8" w:space="0" w:color="auto"/>
              <w:right w:val="single" w:sz="8" w:space="0" w:color="auto"/>
            </w:tcBorders>
            <w:shd w:val="clear" w:color="auto" w:fill="BDD7EE"/>
            <w:vAlign w:val="center"/>
            <w:hideMark/>
          </w:tcPr>
          <w:p w:rsidR="00BF6749" w:rsidRDefault="00C87555">
            <w:pPr>
              <w:spacing w:after="0"/>
              <w:jc w:val="center"/>
              <w:rPr>
                <w:rFonts w:eastAsia="Times New Roman"/>
                <w:b/>
                <w:bCs/>
                <w:noProof/>
                <w:color w:val="000000"/>
                <w:lang w:val="en-US"/>
              </w:rPr>
            </w:pPr>
            <w:r>
              <w:rPr>
                <w:rFonts w:eastAsia="Times New Roman"/>
                <w:b/>
                <w:bCs/>
                <w:noProof/>
                <w:color w:val="000000"/>
                <w:lang w:eastAsia="en-GB"/>
              </w:rPr>
              <w:t>Name</w:t>
            </w:r>
          </w:p>
        </w:tc>
      </w:tr>
      <w:tr w:rsidR="00BF6749">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lang w:val="en-US"/>
              </w:rPr>
              <w:t>1</w:t>
            </w:r>
          </w:p>
        </w:tc>
        <w:tc>
          <w:tcPr>
            <w:tcW w:w="3828"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3: Excellent science</w:t>
            </w:r>
          </w:p>
        </w:tc>
        <w:tc>
          <w:tcPr>
            <w:tcW w:w="1275"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 xml:space="preserve">Number of excellent researchers supported </w:t>
            </w:r>
          </w:p>
        </w:tc>
      </w:tr>
      <w:tr w:rsidR="00BF6749">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lang w:val="en-US"/>
              </w:rPr>
              <w:t>2</w:t>
            </w:r>
          </w:p>
        </w:tc>
        <w:tc>
          <w:tcPr>
            <w:tcW w:w="3828"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 xml:space="preserve">11 - Modern and accessible healthcare- </w:t>
            </w:r>
            <w:r>
              <w:rPr>
                <w:rFonts w:eastAsia="Times New Roman" w:cs="Calibri"/>
                <w:noProof/>
                <w:color w:val="000000"/>
                <w:lang w:val="en-US"/>
              </w:rPr>
              <w:t>Investment 2: New hospital network – construction, reconstruction and equipment</w:t>
            </w:r>
          </w:p>
        </w:tc>
        <w:tc>
          <w:tcPr>
            <w:tcW w:w="1275"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Call for tender for the construction and reconstruction of hospitals</w:t>
            </w:r>
          </w:p>
        </w:tc>
      </w:tr>
      <w:tr w:rsidR="00BF6749">
        <w:trPr>
          <w:trHeight w:val="6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lang w:val="en-US"/>
              </w:rPr>
              <w:t>3</w:t>
            </w:r>
          </w:p>
        </w:tc>
        <w:tc>
          <w:tcPr>
            <w:tcW w:w="3828"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13 - Accessible and high-quality long-term socio-health care – Reform 2: Assessment of care ne</w:t>
            </w:r>
            <w:r>
              <w:rPr>
                <w:rFonts w:eastAsia="Times New Roman" w:cs="Calibri"/>
                <w:noProof/>
                <w:color w:val="000000"/>
                <w:lang w:val="en-US"/>
              </w:rPr>
              <w:t>eds</w:t>
            </w:r>
          </w:p>
        </w:tc>
        <w:tc>
          <w:tcPr>
            <w:tcW w:w="1275"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Unification of the assessment system</w:t>
            </w:r>
          </w:p>
        </w:tc>
      </w:tr>
      <w:tr w:rsidR="00BF6749">
        <w:trPr>
          <w:trHeight w:val="12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lang w:val="en-US"/>
              </w:rPr>
              <w:t>4</w:t>
            </w:r>
          </w:p>
        </w:tc>
        <w:tc>
          <w:tcPr>
            <w:tcW w:w="3828"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13 - Accessible and high-quality long-term socio-health care- Reform 3: Reforming the supervision of social care and providing infrastructure for its implementation</w:t>
            </w:r>
          </w:p>
        </w:tc>
        <w:tc>
          <w:tcPr>
            <w:tcW w:w="1275"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 xml:space="preserve">Establishment of a unified supervisory systemwith headquarter and 8 branches </w:t>
            </w:r>
          </w:p>
        </w:tc>
      </w:tr>
      <w:tr w:rsidR="00BF6749">
        <w:trPr>
          <w:trHeight w:val="12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lang w:val="en-US"/>
              </w:rPr>
              <w:t>5</w:t>
            </w:r>
          </w:p>
        </w:tc>
        <w:tc>
          <w:tcPr>
            <w:tcW w:w="3828"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 xml:space="preserve">13 - Accessible and high-quality long-term socio-health care- Investment 1: Enhancement of community-based social care capacities </w:t>
            </w:r>
          </w:p>
        </w:tc>
        <w:tc>
          <w:tcPr>
            <w:tcW w:w="1275"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 xml:space="preserve">Enhancement of the capacities of </w:t>
            </w:r>
            <w:r>
              <w:rPr>
                <w:rFonts w:eastAsia="Times New Roman" w:cs="Calibri"/>
                <w:noProof/>
                <w:color w:val="000000"/>
                <w:lang w:val="en-US"/>
              </w:rPr>
              <w:t>community-based residential services and health-social low-capacity facilities (indicator: minimum number of places created)</w:t>
            </w:r>
          </w:p>
        </w:tc>
      </w:tr>
      <w:tr w:rsidR="00BF6749">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lang w:val="en-US"/>
              </w:rPr>
              <w:t>6</w:t>
            </w:r>
          </w:p>
        </w:tc>
        <w:tc>
          <w:tcPr>
            <w:tcW w:w="3828"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 xml:space="preserve">13 - Accessible and high-quality long-term socio-health care- Enhancement of community-based social care capacities </w:t>
            </w:r>
          </w:p>
        </w:tc>
        <w:tc>
          <w:tcPr>
            <w:tcW w:w="1275"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Expa</w:t>
            </w:r>
            <w:r>
              <w:rPr>
                <w:rFonts w:eastAsia="Times New Roman" w:cs="Calibri"/>
                <w:noProof/>
                <w:color w:val="000000"/>
                <w:lang w:val="en-US"/>
              </w:rPr>
              <w:t>nsion of outpatient service capacities (indicator: minimum number of places created)</w:t>
            </w:r>
          </w:p>
        </w:tc>
      </w:tr>
      <w:tr w:rsidR="00BF6749">
        <w:trPr>
          <w:trHeight w:val="9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lang w:val="en-US"/>
              </w:rPr>
              <w:t>7</w:t>
            </w:r>
          </w:p>
        </w:tc>
        <w:tc>
          <w:tcPr>
            <w:tcW w:w="3828"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14 - Improve the business environment- Investment 2: Digitalisation of insolvency processes</w:t>
            </w:r>
          </w:p>
        </w:tc>
        <w:tc>
          <w:tcPr>
            <w:tcW w:w="1275"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auto" w:fill="C6EFCE"/>
            <w:vAlign w:val="center"/>
            <w:hideMark/>
          </w:tcPr>
          <w:p w:rsidR="00BF6749" w:rsidRDefault="00C87555">
            <w:pPr>
              <w:spacing w:after="0"/>
              <w:jc w:val="center"/>
              <w:rPr>
                <w:rFonts w:eastAsia="Times New Roman" w:cs="Calibri"/>
                <w:noProof/>
                <w:color w:val="000000"/>
                <w:lang w:val="en-US"/>
              </w:rPr>
            </w:pPr>
            <w:r>
              <w:rPr>
                <w:rFonts w:eastAsia="Times New Roman" w:cs="Calibri"/>
                <w:noProof/>
                <w:color w:val="000000"/>
                <w:lang w:val="en-US"/>
              </w:rPr>
              <w:t>A single, fully digitised insolvency process is fully operational.</w:t>
            </w:r>
          </w:p>
        </w:tc>
      </w:tr>
      <w:tr w:rsidR="00BF6749">
        <w:trPr>
          <w:trHeight w:val="315"/>
        </w:trPr>
        <w:tc>
          <w:tcPr>
            <w:tcW w:w="1276" w:type="dxa"/>
            <w:tcBorders>
              <w:top w:val="nil"/>
              <w:left w:val="single" w:sz="8" w:space="0" w:color="auto"/>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rPr>
              <w:t> </w:t>
            </w:r>
          </w:p>
        </w:tc>
        <w:tc>
          <w:tcPr>
            <w:tcW w:w="3828" w:type="dxa"/>
            <w:tcBorders>
              <w:top w:val="nil"/>
              <w:left w:val="nil"/>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color w:val="006100"/>
                <w:lang w:val="en-US"/>
              </w:rPr>
            </w:pPr>
            <w:r>
              <w:rPr>
                <w:rFonts w:eastAsia="Times New Roman"/>
                <w:noProof/>
                <w:color w:val="006100"/>
              </w:rPr>
              <w:t> </w:t>
            </w:r>
          </w:p>
        </w:tc>
        <w:tc>
          <w:tcPr>
            <w:tcW w:w="1275" w:type="dxa"/>
            <w:tcBorders>
              <w:top w:val="nil"/>
              <w:left w:val="nil"/>
              <w:bottom w:val="single" w:sz="8" w:space="0" w:color="auto"/>
              <w:right w:val="single" w:sz="8" w:space="0" w:color="auto"/>
            </w:tcBorders>
            <w:shd w:val="clear" w:color="auto" w:fill="C6EFCE"/>
            <w:noWrap/>
            <w:vAlign w:val="center"/>
            <w:hideMark/>
          </w:tcPr>
          <w:p w:rsidR="00BF6749" w:rsidRDefault="00C87555">
            <w:pPr>
              <w:spacing w:after="0"/>
              <w:jc w:val="center"/>
              <w:rPr>
                <w:rFonts w:eastAsia="Times New Roman"/>
                <w:noProof/>
                <w:lang w:val="en-US"/>
              </w:rPr>
            </w:pPr>
            <w:r>
              <w:rPr>
                <w:rFonts w:eastAsia="Times New Roman"/>
                <w:noProof/>
              </w:rPr>
              <w:t>Instalment Amount</w:t>
            </w:r>
          </w:p>
        </w:tc>
        <w:tc>
          <w:tcPr>
            <w:tcW w:w="4111" w:type="dxa"/>
            <w:tcBorders>
              <w:top w:val="nil"/>
              <w:left w:val="nil"/>
              <w:bottom w:val="single" w:sz="8" w:space="0" w:color="auto"/>
              <w:right w:val="single" w:sz="8" w:space="0" w:color="auto"/>
            </w:tcBorders>
            <w:shd w:val="clear" w:color="auto" w:fill="C6EFCE"/>
            <w:noWrap/>
            <w:vAlign w:val="center"/>
            <w:hideMark/>
          </w:tcPr>
          <w:p w:rsidR="00BF6749" w:rsidRDefault="00C87555">
            <w:pPr>
              <w:spacing w:after="0"/>
              <w:jc w:val="center"/>
              <w:rPr>
                <w:rFonts w:cs="Calibri"/>
                <w:noProof/>
                <w:lang w:val="en-US"/>
              </w:rPr>
            </w:pPr>
            <w:r>
              <w:rPr>
                <w:rFonts w:cs="Calibri"/>
                <w:noProof/>
                <w:lang w:val="en-US"/>
              </w:rPr>
              <w:t xml:space="preserve">EUR 792 892 000   </w:t>
            </w:r>
          </w:p>
        </w:tc>
      </w:tr>
    </w:tbl>
    <w:p w:rsidR="00BF6749" w:rsidRDefault="00BF6749">
      <w:pPr>
        <w:pStyle w:val="Text1"/>
        <w:rPr>
          <w:noProof/>
          <w:lang w:val="fr-BE"/>
        </w:rPr>
      </w:pPr>
    </w:p>
    <w:p w:rsidR="00BF6749" w:rsidRDefault="00C87555">
      <w:pPr>
        <w:pStyle w:val="NumPar2"/>
        <w:numPr>
          <w:ilvl w:val="1"/>
          <w:numId w:val="49"/>
        </w:numPr>
        <w:rPr>
          <w:b/>
          <w:noProof/>
        </w:rPr>
      </w:pPr>
      <w:r>
        <w:rPr>
          <w:b/>
          <w:noProof/>
        </w:rPr>
        <w:t xml:space="preserve">Seventh Instalment (non-repayable support): </w:t>
      </w:r>
    </w:p>
    <w:p w:rsidR="00BF6749" w:rsidRDefault="00BF6749">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BF6749">
        <w:trPr>
          <w:trHeight w:val="76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2 - Building renovation- Investment 1: Improving the energy efficiency of family houses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renovated family houses achieving at least 30 % primary energy savings </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2 - Building renovation- Investment 2:  Renovation of public historical and listed  buildings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Area (m2) of renovated  public historical and monumental protected  buildings achieving at least 30 % of the primary energy savings </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5 - Adapting to cl</w:t>
            </w:r>
            <w:r>
              <w:rPr>
                <w:rFonts w:eastAsia="Times New Roman" w:cs="Calibri"/>
                <w:noProof/>
                <w:color w:val="000000"/>
                <w:lang w:val="en-US"/>
              </w:rPr>
              <w:t>imate change – Investment 1: Adapting regions to climate change, focusing on nature conservation and biodiversity development</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Rehabilitation of watercourses ( in Km of rehabilitated watercourses)</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Reform 1:Education c</w:t>
            </w:r>
            <w:r>
              <w:rPr>
                <w:rFonts w:eastAsia="Times New Roman" w:cs="Calibri"/>
                <w:noProof/>
                <w:color w:val="000000"/>
                <w:lang w:val="en-US"/>
              </w:rPr>
              <w:t>ontent and form reform – Curricular and textbook reform</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Creation of a network of regional centres of support</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Investment 1: Digital infrastructure in schools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Increase in percentage of schools with basic level </w:t>
            </w:r>
            <w:r>
              <w:rPr>
                <w:rFonts w:eastAsia="Times New Roman" w:cs="Calibri"/>
                <w:noProof/>
                <w:color w:val="000000"/>
                <w:lang w:val="en-US"/>
              </w:rPr>
              <w:t>of digital equipment</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Investment 2: Completion of school infrastructure</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The number of schools with their own library as an educational centre or with a modernised library</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efficient governance and strengthening RDI  funding- Investment 2: Support for cooperation between firms, academia and RD organisations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Number of  collaborative projects  and vouchers supported</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efficient governance and </w:t>
            </w:r>
            <w:r>
              <w:rPr>
                <w:rFonts w:eastAsia="Times New Roman" w:cs="Calibri"/>
                <w:noProof/>
                <w:color w:val="000000"/>
                <w:lang w:val="en-US"/>
              </w:rPr>
              <w:t>strengthening RDI  funding- Investment 4: Research and innovation to decarbonise the economy</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selected projects addressing the challenges of the green transition </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5</w:t>
            </w:r>
            <w:r>
              <w:rPr>
                <w:rFonts w:eastAsia="Times New Roman" w:cs="Calibri"/>
                <w:noProof/>
                <w:color w:val="000000"/>
                <w:lang w:val="en-US"/>
              </w:rPr>
              <w:t>: Research and innovation for the digitalisation of the economy</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RDI projects selected under the calls addressing the challenges of digital transformation.</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10 - Attracting and retaining talent- Investment 3: Scholarships for domestic </w:t>
            </w:r>
            <w:r>
              <w:rPr>
                <w:rFonts w:eastAsia="Times New Roman" w:cs="Calibri"/>
                <w:noProof/>
                <w:color w:val="000000"/>
                <w:lang w:val="en-US"/>
              </w:rPr>
              <w:t>and foreign talented students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awarded scholarships for talented students.</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Investment 5: Renewal of the ambulance fleet</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Purchase of vehicles </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14 - Improve the business environment- Inves</w:t>
            </w:r>
            <w:r>
              <w:rPr>
                <w:rFonts w:eastAsia="Times New Roman" w:cs="Calibri"/>
                <w:noProof/>
                <w:color w:val="000000"/>
                <w:lang w:val="en-US"/>
              </w:rPr>
              <w:t>tment 1: Reducing regulatory burden on business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Reduction of the administrative burden on entrepreneurs</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15 - Judicial reform- Investment 1: Reform of the judicial map – Reorganisation of courts – renovation of buildings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Reconstructed </w:t>
            </w:r>
            <w:r>
              <w:rPr>
                <w:rFonts w:eastAsia="Times New Roman" w:cs="Calibri"/>
                <w:noProof/>
                <w:color w:val="000000"/>
                <w:lang w:val="en-US"/>
              </w:rPr>
              <w:t>area of court buildings (in m²) </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15 - Judicial reform- Investment 1: Reorganisation of courts – Construction/procurement of new buildings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Area of court buildings constructed or purchased (in m²) </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Fight against corruption and money </w:t>
            </w:r>
            <w:r>
              <w:rPr>
                <w:rFonts w:eastAsia="Times New Roman" w:cs="Calibri"/>
                <w:noProof/>
                <w:color w:val="000000"/>
                <w:lang w:val="en-US"/>
              </w:rPr>
              <w:t>laundering - Investment 2: Equipping and digitalising the police force – training and equipment</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Training and equipment related to the police reform are rolled out</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Fight against corruption and money laundering- Investment 2: Equipping and </w:t>
            </w:r>
            <w:r>
              <w:rPr>
                <w:rFonts w:eastAsia="Times New Roman" w:cs="Calibri"/>
                <w:noProof/>
                <w:color w:val="000000"/>
                <w:lang w:val="en-US"/>
              </w:rPr>
              <w:t>digitalising the police force – Reconstruction of buildings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Extent of the renovated floor area of police buildings to reduce the energy intensity of buildings (in m²)</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17</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 Investment 2: Equippi</w:t>
            </w:r>
            <w:r>
              <w:rPr>
                <w:rFonts w:eastAsia="Times New Roman" w:cs="Calibri"/>
                <w:noProof/>
                <w:color w:val="000000"/>
                <w:lang w:val="en-US"/>
              </w:rPr>
              <w:t>ng and digitalising the police force – new Foreign Residents Registration Information System (IS ECU)</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Electronicising residence permit processes to simplify processes for the public</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18</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 Investm</w:t>
            </w:r>
            <w:r>
              <w:rPr>
                <w:rFonts w:eastAsia="Times New Roman" w:cs="Calibri"/>
                <w:noProof/>
                <w:color w:val="000000"/>
                <w:lang w:val="en-US"/>
              </w:rPr>
              <w:t>ent 4:Strengthening administrative capacity at different levels of government – establishment of shared service centres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Establishment of shared service centres.</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19</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Investment 1: Better services for citizens and businesses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Platform for the development and provision of priority life situations</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20</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Investment 2: Digital transformation of public service delivery</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Digital transformation of public administration sections</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21</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w:t>
            </w:r>
            <w:r>
              <w:rPr>
                <w:rFonts w:eastAsia="Times New Roman" w:cs="Calibri"/>
                <w:noProof/>
                <w:color w:val="000000"/>
                <w:lang w:val="en-US"/>
              </w:rPr>
              <w:t>vakia- Investment 3: Engaging in cross-border European projects related to the digital economy</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Development and construction of the supercomputer for the national supercomputing centre</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22</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17 - Digital Slovakia- Investment 3: Engaging in </w:t>
            </w:r>
            <w:r>
              <w:rPr>
                <w:rFonts w:eastAsia="Times New Roman" w:cs="Calibri"/>
                <w:noProof/>
                <w:color w:val="000000"/>
                <w:lang w:val="en-US"/>
              </w:rPr>
              <w:t>cross-border European projects related to the digital economy</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Participation in multi-country digital projects from the pre-defined set </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23</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17 - Digital Slovakia- Investment 4: Support for projects aiming at the development and application of top </w:t>
            </w:r>
            <w:r>
              <w:rPr>
                <w:rFonts w:eastAsia="Times New Roman" w:cs="Calibri"/>
                <w:noProof/>
                <w:color w:val="000000"/>
                <w:lang w:val="en-US"/>
              </w:rPr>
              <w:t>digital technologies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projects for development and application of top digital technologies</w:t>
            </w:r>
          </w:p>
        </w:tc>
      </w:tr>
      <w:tr w:rsidR="00BF6749">
        <w:trPr>
          <w:trHeight w:val="76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24</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17 - Digital Slovakia-Investment 6: Strengthening preventive measures, increasing the speed of incident detection and resolution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w:t>
            </w:r>
            <w:r>
              <w:rPr>
                <w:rFonts w:eastAsia="Times New Roman" w:cs="Calibri"/>
                <w:noProof/>
                <w:color w:val="000000"/>
                <w:lang w:val="en-US"/>
              </w:rPr>
              <w:t>of secured IT systems  in the public administration environment</w:t>
            </w:r>
          </w:p>
        </w:tc>
      </w:tr>
      <w:tr w:rsidR="00BF6749">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111"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w:t>
            </w:r>
            <w:r>
              <w:rPr>
                <w:rFonts w:cs="Calibri"/>
                <w:noProof/>
                <w:lang w:val="en-US"/>
              </w:rPr>
              <w:t xml:space="preserve">EUR 792 892 000   </w:t>
            </w:r>
          </w:p>
        </w:tc>
      </w:tr>
    </w:tbl>
    <w:p w:rsidR="00BF6749" w:rsidRDefault="00BF6749">
      <w:pPr>
        <w:pStyle w:val="Text1"/>
        <w:rPr>
          <w:noProof/>
        </w:rPr>
      </w:pPr>
    </w:p>
    <w:p w:rsidR="00BF6749" w:rsidRDefault="00C87555">
      <w:pPr>
        <w:pStyle w:val="NumPar2"/>
        <w:numPr>
          <w:ilvl w:val="1"/>
          <w:numId w:val="49"/>
        </w:numPr>
        <w:rPr>
          <w:b/>
          <w:noProof/>
        </w:rPr>
      </w:pPr>
      <w:r>
        <w:rPr>
          <w:b/>
          <w:noProof/>
        </w:rPr>
        <w:t xml:space="preserve">Eighth Instalment (non-repayable support): </w:t>
      </w:r>
    </w:p>
    <w:p w:rsidR="00BF6749" w:rsidRDefault="00BF6749">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BF6749">
        <w:trPr>
          <w:trHeight w:val="181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3 - Sustainable </w:t>
            </w:r>
            <w:r>
              <w:rPr>
                <w:rFonts w:eastAsia="Times New Roman" w:cs="Calibri"/>
                <w:noProof/>
                <w:color w:val="000000"/>
                <w:lang w:val="en-US"/>
              </w:rPr>
              <w:t>transport- Investment 2: Promoting clean passenger transport</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clean passenger rolling stock procured (weighted)</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4 - Decarbonisation of industry- Investment 2: Ensuring the functioning of the Slovak Inspectorate of the Environment linked to decarbonisation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Capacity increasing investments for the Slovak Inspectorate of the Environment </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w:t>
            </w:r>
            <w:r>
              <w:rPr>
                <w:rFonts w:eastAsia="Times New Roman" w:cs="Calibri"/>
                <w:noProof/>
                <w:color w:val="000000"/>
                <w:lang w:val="en-US"/>
              </w:rPr>
              <w:t xml:space="preserve"> development and quality of inclusive education- Reform 4:Implementation of tools to prevent early school leaving and adapt F-type study programmesF</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Share of lower secondary vocational education (NSOV) programmes optimised in response to labour mark</w:t>
            </w:r>
            <w:r>
              <w:rPr>
                <w:rFonts w:eastAsia="Times New Roman" w:cs="Calibri"/>
                <w:noProof/>
                <w:color w:val="000000"/>
                <w:lang w:val="en-US"/>
              </w:rPr>
              <w:t xml:space="preserve">et needs </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6 - Accessibility, development and quality of inclusive education- Investment 1:Removing of barriers of school buildings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Elimination of  architectural barriers of larger secondary schools</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10 - Attracting and retaining talent- </w:t>
            </w:r>
            <w:r>
              <w:rPr>
                <w:rFonts w:eastAsia="Times New Roman" w:cs="Calibri"/>
                <w:noProof/>
                <w:color w:val="000000"/>
                <w:lang w:val="en-US"/>
              </w:rPr>
              <w:t>Investment 1: Support tools and assistance for returnees, highly qualified third-country workers and their family members and foreign higher education students studying in Slovakia</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foreigners using the IOM Migration Information Centre </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Reform 3 Centralization of the management of the largest hospitals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hospitals involved in central management system</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11 - Modern and accessible healthcare- Investment 4 Construction and </w:t>
            </w:r>
            <w:r>
              <w:rPr>
                <w:rFonts w:eastAsia="Times New Roman" w:cs="Calibri"/>
                <w:noProof/>
                <w:color w:val="000000"/>
                <w:lang w:val="en-US"/>
              </w:rPr>
              <w:t>rehabilitation of ambulance stations (Ambulance Services)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ambulance station  constructed or reconstructed</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12 - Human, modern and accessible mental health care- Reform 1: Coordinated inter-ministerial cooperation and regulation</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Establishment of two coordination entities for mental health</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12 - Human, modern and accessible mental health care- Investment 6: Establishment of a repository of psychodiagnostic methods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registered and standardised psychodiagnostic met</w:t>
            </w:r>
            <w:r>
              <w:rPr>
                <w:rFonts w:eastAsia="Times New Roman" w:cs="Calibri"/>
                <w:noProof/>
                <w:color w:val="000000"/>
                <w:lang w:val="en-US"/>
              </w:rPr>
              <w:t>hods</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12 - Human, modern and accessible mental health care- Investment 8: Training in mental health for staff</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health sector workers trained in mental health </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13 - Accessible and high-quality long-term socio-health care- Extension </w:t>
            </w:r>
            <w:r>
              <w:rPr>
                <w:rFonts w:eastAsia="Times New Roman" w:cs="Calibri"/>
                <w:noProof/>
                <w:color w:val="000000"/>
                <w:lang w:val="en-US"/>
              </w:rPr>
              <w:t>and restoration of after-care and nursing capacities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Extension and renewal of home nursing providers (indicator: number of providers supported)</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13 - Accessible and high-quality long-term socio-health care- Extension and restoration of palliative</w:t>
            </w:r>
            <w:r>
              <w:rPr>
                <w:rFonts w:eastAsia="Times New Roman" w:cs="Calibri"/>
                <w:noProof/>
                <w:color w:val="000000"/>
                <w:lang w:val="en-US"/>
              </w:rPr>
              <w:t xml:space="preserve"> care capacities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Extension and renewal of the mobile hospices network (indicator: number of new and rebuilt providers)</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14 - Improve the business environment- Reform 1:Reducing the regulatory burden on business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1in-2out rule, ex ante evaluation to prevent goldplating and ex post evaluations of existing regulation </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15 - Judicial reform- Investment 2:Supporting instruments for reform of the Judicial Map – Commercial Register and Centralised System of Judicial G</w:t>
            </w:r>
            <w:r>
              <w:rPr>
                <w:rFonts w:eastAsia="Times New Roman" w:cs="Calibri"/>
                <w:noProof/>
                <w:color w:val="000000"/>
                <w:lang w:val="en-US"/>
              </w:rPr>
              <w:t>overnance</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Development and handover of IS – Centralised Judicial Management System</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Investment 1: Better services for citizens and businesses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eGovernment solutions built and deployed</w:t>
            </w:r>
          </w:p>
        </w:tc>
      </w:tr>
      <w:tr w:rsidR="00BF6749">
        <w:trPr>
          <w:trHeight w:val="9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17 - Digital </w:t>
            </w:r>
            <w:r>
              <w:rPr>
                <w:rFonts w:eastAsia="Times New Roman" w:cs="Calibri"/>
                <w:noProof/>
                <w:color w:val="000000"/>
                <w:lang w:val="en-US"/>
              </w:rPr>
              <w:t>Slovakia- Investment 6: Strengthening preventive measures, increasing the speed of incident detection and resolution</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Security audits of applications in  public administration environment </w:t>
            </w:r>
          </w:p>
        </w:tc>
      </w:tr>
      <w:tr w:rsidR="00BF6749">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111"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xml:space="preserve"> EUR 400 083 000   </w:t>
            </w:r>
          </w:p>
        </w:tc>
      </w:tr>
    </w:tbl>
    <w:p w:rsidR="00BF6749" w:rsidRDefault="00BF6749">
      <w:pPr>
        <w:pStyle w:val="Text1"/>
        <w:rPr>
          <w:noProof/>
        </w:rPr>
      </w:pPr>
    </w:p>
    <w:p w:rsidR="00BF6749" w:rsidRDefault="00BF6749">
      <w:pPr>
        <w:pStyle w:val="Text1"/>
        <w:ind w:left="0"/>
        <w:rPr>
          <w:noProof/>
        </w:rPr>
      </w:pPr>
    </w:p>
    <w:p w:rsidR="00BF6749" w:rsidRDefault="00C87555">
      <w:pPr>
        <w:pStyle w:val="NumPar2"/>
        <w:numPr>
          <w:ilvl w:val="1"/>
          <w:numId w:val="49"/>
        </w:numPr>
        <w:rPr>
          <w:b/>
          <w:noProof/>
        </w:rPr>
      </w:pPr>
      <w:r>
        <w:rPr>
          <w:b/>
          <w:noProof/>
        </w:rPr>
        <w:t xml:space="preserve">Ninth Instalment (non-repayable support): </w:t>
      </w:r>
    </w:p>
    <w:p w:rsidR="00BF6749" w:rsidRDefault="00BF6749">
      <w:pPr>
        <w:pStyle w:val="Text1"/>
        <w:rPr>
          <w:noProof/>
        </w:rPr>
      </w:pPr>
    </w:p>
    <w:tbl>
      <w:tblPr>
        <w:tblW w:w="10490" w:type="dxa"/>
        <w:tblInd w:w="-601" w:type="dxa"/>
        <w:tblLook w:val="04A0" w:firstRow="1" w:lastRow="0" w:firstColumn="1" w:lastColumn="0" w:noHBand="0" w:noVBand="1"/>
      </w:tblPr>
      <w:tblGrid>
        <w:gridCol w:w="1276"/>
        <w:gridCol w:w="3828"/>
        <w:gridCol w:w="1275"/>
        <w:gridCol w:w="4111"/>
      </w:tblGrid>
      <w:tr w:rsidR="00BF6749">
        <w:trPr>
          <w:trHeight w:val="915"/>
        </w:trPr>
        <w:tc>
          <w:tcPr>
            <w:tcW w:w="1276"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828"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275"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111"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5 - Adapting to climate change – Investment 1: Adapting regions to climate change, focusing on nature conservation and </w:t>
            </w:r>
            <w:r>
              <w:rPr>
                <w:rFonts w:eastAsia="Times New Roman" w:cs="Calibri"/>
                <w:noProof/>
                <w:color w:val="000000"/>
                <w:lang w:val="en-US"/>
              </w:rPr>
              <w:t>biodiversity development</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Property settlement with private landowners  (in Area of land settled in ha)</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Reform 5: Supporting school desegregation</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Entry into force the </w:t>
            </w:r>
            <w:r>
              <w:rPr>
                <w:rFonts w:eastAsia="Times New Roman" w:cs="Calibri"/>
                <w:noProof/>
                <w:color w:val="000000"/>
                <w:lang w:val="en-US"/>
              </w:rPr>
              <w:t>legislative definition of segregation at schools</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6 - Accessibility, development and quality of inclusive education- Reform 1:Ensuring conditions for the implementation of compulsory pre-primary education for children from the age of 5 and introducing a </w:t>
            </w:r>
            <w:r>
              <w:rPr>
                <w:rFonts w:eastAsia="Times New Roman" w:cs="Calibri"/>
                <w:noProof/>
                <w:color w:val="000000"/>
                <w:lang w:val="en-US"/>
              </w:rPr>
              <w:t>legal entitlement to a place in kindergarten or other pre-primary education providers from the age of 3</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newly built capacities</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6 - Accessibility, development and quality of inclusive education- Reform 2:Definition of the concept of spec</w:t>
            </w:r>
            <w:r>
              <w:rPr>
                <w:rFonts w:eastAsia="Times New Roman" w:cs="Calibri"/>
                <w:noProof/>
                <w:color w:val="000000"/>
                <w:lang w:val="en-US"/>
              </w:rPr>
              <w:t>ial educational needs of children and pupils and development of a model for eligible support measures in education and education, including their funding system</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trained teachers and specialized staff</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6 - Accessibility, development and </w:t>
            </w:r>
            <w:r>
              <w:rPr>
                <w:rFonts w:eastAsia="Times New Roman" w:cs="Calibri"/>
                <w:noProof/>
                <w:color w:val="000000"/>
                <w:lang w:val="en-US"/>
              </w:rPr>
              <w:t>quality of inclusive education- Reform 5: Supporting school desegregation</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Percentage of schools that apply desegregation standards coming from the adopted methodology</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Reform 1:Education content and form reform – Curr</w:t>
            </w:r>
            <w:r>
              <w:rPr>
                <w:rFonts w:eastAsia="Times New Roman" w:cs="Calibri"/>
                <w:noProof/>
                <w:color w:val="000000"/>
                <w:lang w:val="en-US"/>
              </w:rPr>
              <w:t>icular and textbook reform</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Primary schools that implement the new curriculum (in percentage) </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Reform 1:Education content and form reform – Curricular and textbook reform</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Introduction of an on-line matura </w:t>
            </w:r>
            <w:r>
              <w:rPr>
                <w:rFonts w:eastAsia="Times New Roman" w:cs="Calibri"/>
                <w:noProof/>
                <w:color w:val="000000"/>
                <w:lang w:val="en-US"/>
              </w:rPr>
              <w:t>(final exam for graduates from upper secondary school)</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10 - Attracting and retaining talent- Investment 4: Promoting internationalisation in the academic environment</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projects supported to promote or develop the internationalisation of u</w:t>
            </w:r>
            <w:r>
              <w:rPr>
                <w:rFonts w:eastAsia="Times New Roman" w:cs="Calibri"/>
                <w:noProof/>
                <w:color w:val="000000"/>
                <w:lang w:val="en-US"/>
              </w:rPr>
              <w:t>niversities and research institutions</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healthcare-Reform 1 Optimization of the Hospital Network (UN)</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Share of the reprofiled hospitals (authorised within the scope of general and specialised hospitals) under the new </w:t>
            </w:r>
            <w:r>
              <w:rPr>
                <w:rFonts w:eastAsia="Times New Roman" w:cs="Calibri"/>
                <w:noProof/>
                <w:color w:val="000000"/>
                <w:lang w:val="en-US"/>
              </w:rPr>
              <w:t>hospital network</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11 - Modern and accessible healthcare- Investment 1 Supporting the opening of new primary care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the primary care outpatient clinics supported by a pilot programme </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11 - Modern and accessible healthcare- Investment </w:t>
            </w:r>
            <w:r>
              <w:rPr>
                <w:rFonts w:eastAsia="Times New Roman" w:cs="Calibri"/>
                <w:noProof/>
                <w:color w:val="000000"/>
                <w:lang w:val="en-US"/>
              </w:rPr>
              <w:t>2 New hospital network – construction, reconstruction and equipment</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Beds made available in upgraded hospitals </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11 - Modern and accessible healthcare- Investment 3 Digitalisation in health</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hospitals connected to the Central ERP system </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12 - Human, modern and accessible mental health care- Investment 2: Creation of detention facilities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Patient capacity of detention facilities</w:t>
            </w:r>
          </w:p>
        </w:tc>
      </w:tr>
      <w:tr w:rsidR="00BF6749">
        <w:trPr>
          <w:trHeight w:val="830"/>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12 - Human, modern and accessible mental h</w:t>
            </w:r>
            <w:r>
              <w:rPr>
                <w:rFonts w:eastAsia="Times New Roman" w:cs="Calibri"/>
                <w:noProof/>
                <w:color w:val="000000"/>
                <w:lang w:val="en-US"/>
              </w:rPr>
              <w:t xml:space="preserve">ealth care-Investment 3: Building psycho-social centres; Investment 4: Completing the psychiatric stationary network; Investment 5: Establishment of specialised centres for autism spectrum disorders </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created community-based mental health c</w:t>
            </w:r>
            <w:r>
              <w:rPr>
                <w:rFonts w:eastAsia="Times New Roman" w:cs="Calibri"/>
                <w:noProof/>
                <w:color w:val="000000"/>
                <w:lang w:val="en-US"/>
              </w:rPr>
              <w:t>are centres</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12 - Human, modern and accessible mental health care-Investment 7: Humanisation of institutional psychiatric care</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Patient capacity in converted rooms in institutional psychiatric care.</w:t>
            </w:r>
          </w:p>
        </w:tc>
      </w:tr>
      <w:tr w:rsidR="00BF6749">
        <w:trPr>
          <w:trHeight w:val="1271"/>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13 - Accessible and high-quality long-term </w:t>
            </w:r>
            <w:r>
              <w:rPr>
                <w:rFonts w:eastAsia="Times New Roman" w:cs="Calibri"/>
                <w:noProof/>
                <w:color w:val="000000"/>
                <w:lang w:val="en-US"/>
              </w:rPr>
              <w:t>socio-health care- Extension and restoration of palliative care capacities</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Expansion and renewal of residential palliative care capacities (indicator: number of bed places created and restored)</w:t>
            </w:r>
          </w:p>
        </w:tc>
      </w:tr>
      <w:tr w:rsidR="00BF6749">
        <w:trPr>
          <w:trHeight w:val="139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17</w:t>
            </w:r>
          </w:p>
        </w:tc>
        <w:tc>
          <w:tcPr>
            <w:tcW w:w="3828"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13 - Accessible and high-quality long-term </w:t>
            </w:r>
            <w:r>
              <w:rPr>
                <w:rFonts w:eastAsia="Times New Roman" w:cs="Calibri"/>
                <w:noProof/>
                <w:color w:val="000000"/>
                <w:lang w:val="en-US"/>
              </w:rPr>
              <w:t>socio-health care- Reform of integration and financing of long-term social and health care</w:t>
            </w:r>
          </w:p>
        </w:tc>
        <w:tc>
          <w:tcPr>
            <w:tcW w:w="1275"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11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The new financing system of social services – introduction of a personal budget</w:t>
            </w:r>
          </w:p>
        </w:tc>
      </w:tr>
      <w:tr w:rsidR="00BF6749">
        <w:trPr>
          <w:trHeight w:val="315"/>
        </w:trPr>
        <w:tc>
          <w:tcPr>
            <w:tcW w:w="1276"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828"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 </w:t>
            </w:r>
          </w:p>
        </w:tc>
        <w:tc>
          <w:tcPr>
            <w:tcW w:w="1275"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111"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xml:space="preserve"> EUR 203 679 000   </w:t>
            </w:r>
          </w:p>
        </w:tc>
      </w:tr>
    </w:tbl>
    <w:p w:rsidR="00BF6749" w:rsidRDefault="00BF6749">
      <w:pPr>
        <w:pStyle w:val="Text1"/>
        <w:ind w:left="0"/>
        <w:rPr>
          <w:noProof/>
        </w:rPr>
      </w:pPr>
    </w:p>
    <w:p w:rsidR="00BF6749" w:rsidRDefault="00C87555">
      <w:pPr>
        <w:pStyle w:val="NumPar2"/>
        <w:numPr>
          <w:ilvl w:val="1"/>
          <w:numId w:val="49"/>
        </w:numPr>
        <w:rPr>
          <w:b/>
          <w:noProof/>
          <w:lang w:val="fr-FR"/>
        </w:rPr>
      </w:pPr>
      <w:r>
        <w:rPr>
          <w:b/>
          <w:noProof/>
          <w:lang w:val="fr-FR"/>
        </w:rPr>
        <w:t xml:space="preserve">Tenth Instalment (non-repayable support): </w:t>
      </w:r>
    </w:p>
    <w:p w:rsidR="00BF6749" w:rsidRDefault="00BF6749">
      <w:pPr>
        <w:pStyle w:val="NumPar2"/>
        <w:numPr>
          <w:ilvl w:val="0"/>
          <w:numId w:val="0"/>
        </w:numPr>
        <w:rPr>
          <w:noProof/>
          <w:lang w:val="fr-BE"/>
        </w:rPr>
      </w:pPr>
    </w:p>
    <w:tbl>
      <w:tblPr>
        <w:tblW w:w="10490" w:type="dxa"/>
        <w:tblInd w:w="-601" w:type="dxa"/>
        <w:tblLook w:val="04A0" w:firstRow="1" w:lastRow="0" w:firstColumn="1" w:lastColumn="0" w:noHBand="0" w:noVBand="1"/>
      </w:tblPr>
      <w:tblGrid>
        <w:gridCol w:w="1339"/>
        <w:gridCol w:w="3831"/>
        <w:gridCol w:w="1241"/>
        <w:gridCol w:w="4079"/>
      </w:tblGrid>
      <w:tr w:rsidR="00BF6749">
        <w:trPr>
          <w:trHeight w:val="1380"/>
        </w:trPr>
        <w:tc>
          <w:tcPr>
            <w:tcW w:w="1339"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Sequential Number</w:t>
            </w:r>
          </w:p>
        </w:tc>
        <w:tc>
          <w:tcPr>
            <w:tcW w:w="3831"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Related Measure (Reform or Investment)</w:t>
            </w:r>
          </w:p>
        </w:tc>
        <w:tc>
          <w:tcPr>
            <w:tcW w:w="1241"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Milestone / Target</w:t>
            </w:r>
          </w:p>
        </w:tc>
        <w:tc>
          <w:tcPr>
            <w:tcW w:w="4079" w:type="dxa"/>
            <w:tcBorders>
              <w:top w:val="single" w:sz="8" w:space="0" w:color="auto"/>
              <w:left w:val="nil"/>
              <w:bottom w:val="single" w:sz="8" w:space="0" w:color="auto"/>
              <w:right w:val="single" w:sz="8" w:space="0" w:color="auto"/>
            </w:tcBorders>
            <w:shd w:val="clear" w:color="000000" w:fill="BDD7EE"/>
            <w:vAlign w:val="center"/>
            <w:hideMark/>
          </w:tcPr>
          <w:p w:rsidR="00BF6749" w:rsidRDefault="00C87555">
            <w:pPr>
              <w:spacing w:after="0" w:line="240" w:lineRule="auto"/>
              <w:jc w:val="center"/>
              <w:rPr>
                <w:rFonts w:eastAsia="Times New Roman" w:cs="Calibri"/>
                <w:b/>
                <w:bCs/>
                <w:noProof/>
                <w:color w:val="000000"/>
                <w:lang w:val="en-US"/>
              </w:rPr>
            </w:pPr>
            <w:r>
              <w:rPr>
                <w:rFonts w:eastAsia="Times New Roman" w:cs="Calibri"/>
                <w:b/>
                <w:bCs/>
                <w:noProof/>
                <w:color w:val="000000"/>
                <w:lang w:eastAsia="en-GB"/>
              </w:rPr>
              <w:t>Name</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1 - Renewable energy sources and energy infrastructure- Investment 1:  Construction of the new renewable electricity sources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New renewable energy source capacity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1 - Renewable energy sources and energy infrastructure- Investment 2: Modernising the existing renewable electricity sources (repowering)</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Reconstructed renewable energy source  capacity</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1 - Renewable energy sources and energy infrastructure- Investment 3: Increasing flexibility of electricity systems for greater renewables integration </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Cumulative increase in capacity of installations increasing the flexibility of energy systems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2 - Building renovation- Investment 1: Improving the energy efficiency of family houses </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renovated family houses achieving at least 30 % primary energy savings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5</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2 - Building renovation- Investment 2:  Renovation of public historical and listed buildings </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Area (m2) of renovated  public historical and monumental protected  buildings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6</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 Reform 2: Public passenger transport reform</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w:t>
            </w:r>
            <w:r>
              <w:rPr>
                <w:rFonts w:eastAsia="Times New Roman" w:cs="Calibri"/>
                <w:noProof/>
                <w:color w:val="000000"/>
                <w:lang w:val="en-US"/>
              </w:rPr>
              <w:t>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counties in which tariff integration is in place allowing for travelling by multiple modes of public transport or by carriers per ticket</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7</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 Investment 1: Development of low-carbon transport infrastructure</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Length of new cycling infrastructure (km)</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8</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 Investment 1: Development of low-carbon transport infrastructure</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Length of clean passenger rail infrastructure reconstructed or upgraded (in km weighted)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9</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w:t>
            </w:r>
            <w:r>
              <w:rPr>
                <w:rFonts w:eastAsia="Times New Roman" w:cs="Calibri"/>
                <w:noProof/>
                <w:color w:val="000000"/>
                <w:lang w:val="en-US"/>
              </w:rPr>
              <w:t>sport- Investment 1: Development of low-carbon transport infrastructure</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Length of sections of railway lines dispatched (km)</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10</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3 - Sustainable transport- Investment 3: Development of intermodal freight transport</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Number of intermodal transport units procured in Twenty-foot Equivalent Units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11</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3 - Sustainable transport-Investment 4: Supporting the development of infrastructure for alternative fuel vehicles </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recharging points or hydrogen refuelli</w:t>
            </w:r>
            <w:r>
              <w:rPr>
                <w:rFonts w:eastAsia="Times New Roman" w:cs="Calibri"/>
                <w:noProof/>
                <w:color w:val="000000"/>
                <w:lang w:val="en-US"/>
              </w:rPr>
              <w:t>ng points in operation.</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12</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  4 -Decarbonisation of industry- Investment 1:  The operation of the industry decarbonisation scheme</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 Completion of implementation of the industry decarbonisation  projects co-financed by the RRF</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13</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5 - Adapting to</w:t>
            </w:r>
            <w:r>
              <w:rPr>
                <w:rFonts w:eastAsia="Times New Roman" w:cs="Calibri"/>
                <w:noProof/>
                <w:color w:val="000000"/>
                <w:lang w:val="en-US"/>
              </w:rPr>
              <w:t xml:space="preserve"> climate change – Investment 1: Adapting regions to climate change, focusing on nature conservation and biodiversity development</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Rehabilitation  of watercourses( in Km of rehabilitated watercourses)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14</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7 - Education for 21 Century- Investment 2:Com</w:t>
            </w:r>
            <w:r>
              <w:rPr>
                <w:rFonts w:eastAsia="Times New Roman" w:cs="Calibri"/>
                <w:noProof/>
                <w:color w:val="000000"/>
                <w:lang w:val="en-US"/>
              </w:rPr>
              <w:t>pletion of school infrastructure</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Elimination of the double-shift schools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15</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 Increase in the performance of Slovak higher education institutions- Reform 5: Concentration of excellent educational and research capacities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The completion </w:t>
            </w:r>
            <w:r>
              <w:rPr>
                <w:rFonts w:eastAsia="Times New Roman" w:cs="Calibri"/>
                <w:noProof/>
                <w:color w:val="000000"/>
                <w:lang w:val="en-US"/>
              </w:rPr>
              <w:t>of the process of merging research units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16</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8 - Increase in the performance of Slovak higher education institutions- Investment1: support for the strategic development of universities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reconstructed university area and dormitory  with primary </w:t>
            </w:r>
            <w:r>
              <w:rPr>
                <w:rFonts w:eastAsia="Times New Roman" w:cs="Calibri"/>
                <w:noProof/>
                <w:color w:val="000000"/>
                <w:lang w:val="en-US"/>
              </w:rPr>
              <w:t>energy savings of more than 30 % (in m2)</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17</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3: Excellent science</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excellent researchers supported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18</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efficient governance and strengthening RDI  funding- </w:t>
            </w:r>
            <w:r>
              <w:rPr>
                <w:rFonts w:eastAsia="Times New Roman" w:cs="Calibri"/>
                <w:noProof/>
                <w:color w:val="000000"/>
                <w:lang w:val="en-US"/>
              </w:rPr>
              <w:t>Investment 1: Promoting international cooperation and participation in Horizon Europe and EIT projects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Financial support for applications and participating projects in Horizon Europe programmes, under calls funded by the Recovery Fund.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19</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w:t>
            </w:r>
            <w:r>
              <w:rPr>
                <w:rFonts w:eastAsia="Times New Roman" w:cs="Calibri"/>
                <w:noProof/>
                <w:color w:val="000000"/>
                <w:lang w:val="en-US"/>
              </w:rPr>
              <w:t>efficient governance and strengthening RDI  funding- Investment 2: Support for cooperation between firms, academia and RD organisations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collaborative projects and vouchers  supported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20</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efficient governance and strengthening RDI </w:t>
            </w:r>
            <w:r>
              <w:rPr>
                <w:rFonts w:eastAsia="Times New Roman" w:cs="Calibri"/>
                <w:noProof/>
                <w:color w:val="000000"/>
                <w:lang w:val="en-US"/>
              </w:rPr>
              <w:t xml:space="preserve"> funding- Investment 4: Research and innovation to decarbonise the economy</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projects addressing the challenges of the green transition, which are completed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21</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9 - More efficient governance and strengthening RDI  funding- Investment 5: Rese</w:t>
            </w:r>
            <w:r>
              <w:rPr>
                <w:rFonts w:eastAsia="Times New Roman" w:cs="Calibri"/>
                <w:noProof/>
                <w:color w:val="000000"/>
                <w:lang w:val="en-US"/>
              </w:rPr>
              <w:t>arch and innovation for the digitalisation of the economy</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RDI projects addressing the challenges of digital transformation, which are completed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22</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9 - More efficient governance and strengthening RDI  funding- Investment 6: Financial </w:t>
            </w:r>
            <w:r>
              <w:rPr>
                <w:rFonts w:eastAsia="Times New Roman" w:cs="Calibri"/>
                <w:noProof/>
                <w:color w:val="000000"/>
                <w:lang w:val="en-US"/>
              </w:rPr>
              <w:t>instruments to support innovation</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companies supported through financial instruments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23</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10 - Attracting and retaining talent- Investment 2: Strengthening relations with the diaspora, supporting citizens’ initiatives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suppo</w:t>
            </w:r>
            <w:r>
              <w:rPr>
                <w:rFonts w:eastAsia="Times New Roman" w:cs="Calibri"/>
                <w:noProof/>
                <w:color w:val="000000"/>
                <w:lang w:val="en-US"/>
              </w:rPr>
              <w:t>rted events strengthening relations with the diaspora</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24</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10 - Attracting and retaining talent- Investment 4: Promoting internationalisation in the academic environment</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Supported person-months for foreign mobility scholarship programmes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25</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13 - Accessible and high-quality long-term socio-health care- Investment 1: Enhancement of community-based social care capacities </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Enhancement of the capacities of community-based residential services and health-social low-capacity facilities (indic</w:t>
            </w:r>
            <w:r>
              <w:rPr>
                <w:rFonts w:eastAsia="Times New Roman" w:cs="Calibri"/>
                <w:noProof/>
                <w:color w:val="000000"/>
                <w:lang w:val="en-US"/>
              </w:rPr>
              <w:t>ator: minimum number of places created)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26</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13 - Accessible and high-quality long-term socio-health care- Investment 1: Enhancement of community-based social care capacities </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Expansion of outpatient service capacities (indicator: minimum number of </w:t>
            </w:r>
            <w:r>
              <w:rPr>
                <w:rFonts w:eastAsia="Times New Roman" w:cs="Calibri"/>
                <w:noProof/>
                <w:color w:val="000000"/>
                <w:lang w:val="en-US"/>
              </w:rPr>
              <w:t>places created)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27</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13 - Accessible and high-quality long-term socio-health care- Investment 2: Extension and restoration of after-care and nursing capacities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Creation of post-care beds by reconstructing existing acute and chronic beds (indicator: </w:t>
            </w:r>
            <w:r>
              <w:rPr>
                <w:rFonts w:eastAsia="Times New Roman" w:cs="Calibri"/>
                <w:noProof/>
                <w:color w:val="000000"/>
                <w:lang w:val="en-US"/>
              </w:rPr>
              <w:t>minimum number of aftercare beds reconstructed)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28</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15 - Judicial reform- Investment 2: Digitalisation and analytical capacities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Modernisation of court IT equipment for the court staff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29</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15 - Judicial reform- Investment 2: Digitalisation and anal</w:t>
            </w:r>
            <w:r>
              <w:rPr>
                <w:rFonts w:eastAsia="Times New Roman" w:cs="Calibri"/>
                <w:noProof/>
                <w:color w:val="000000"/>
                <w:lang w:val="en-US"/>
              </w:rPr>
              <w:t>ytical capacities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Creation of an analytical support platform for access to case law in courts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30</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16 - Fight against corruption and money laundering- Investment 2: Equipping and digitalising the police force – Automated system for detecting road </w:t>
            </w:r>
            <w:r>
              <w:rPr>
                <w:rFonts w:eastAsia="Times New Roman" w:cs="Calibri"/>
                <w:noProof/>
                <w:color w:val="000000"/>
                <w:lang w:val="en-US"/>
              </w:rPr>
              <w:t>traffic offences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Automation of the system for detecting road traffic infringements into full operation</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31</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Investment 3: Modernisation of the fire and rescue system – building a network of Integ</w:t>
            </w:r>
            <w:r>
              <w:rPr>
                <w:rFonts w:eastAsia="Times New Roman" w:cs="Calibri"/>
                <w:noProof/>
                <w:color w:val="000000"/>
                <w:lang w:val="en-US"/>
              </w:rPr>
              <w:t>rated Security Centres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Construction and operationalisation of Integrated Security Centres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32</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Investment 3: Modernisation of the fire and rescue system – renewal of fire station buildings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Modernisation of firefighting stations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33</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16 - Fight against corruption and money laundering- Investment 4: Strengthening administrative capacity at different levels of government – building a platform for specialised training</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Automated specialisat</w:t>
            </w:r>
            <w:r>
              <w:rPr>
                <w:rFonts w:eastAsia="Times New Roman" w:cs="Calibri"/>
                <w:noProof/>
                <w:color w:val="000000"/>
                <w:lang w:val="en-US"/>
              </w:rPr>
              <w:t>ion training for all newly recruited first-contact staff</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34</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 Investment 1: Better services for citizens and businesses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eGovernment solutions built and deployed</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35</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17 - Digital Slovakia- Investment 2: Digital </w:t>
            </w:r>
            <w:r>
              <w:rPr>
                <w:rFonts w:eastAsia="Times New Roman" w:cs="Calibri"/>
                <w:noProof/>
                <w:color w:val="000000"/>
                <w:lang w:val="en-US"/>
              </w:rPr>
              <w:t>transformation of public service delivery</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Digital transformation of public administration sections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36</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Slovakia-Investment 4: Support for projects aiming at the development and application of top digital technologies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w:t>
            </w:r>
            <w:r>
              <w:rPr>
                <w:rFonts w:eastAsia="Times New Roman" w:cs="Calibri"/>
                <w:noProof/>
                <w:color w:val="000000"/>
                <w:lang w:val="en-US"/>
              </w:rPr>
              <w:t>projects for development and application of top digital technologies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37</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Slovakia-Investment 5: Fast grants – hackathons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organised fast grant events - hackathons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38</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17 - Digital Slovakia-Reform 5: Improving cybersecurity </w:t>
            </w:r>
            <w:r>
              <w:rPr>
                <w:rFonts w:eastAsia="Times New Roman" w:cs="Calibri"/>
                <w:noProof/>
                <w:color w:val="000000"/>
                <w:lang w:val="en-US"/>
              </w:rPr>
              <w:t>training and skills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 xml:space="preserve">Number of IT staff in public administration trained in cybersecurity </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39</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17 - Digital Slovakia-Investment 7: Improving the digital skills of seniors and the distribution of Senior Tablets</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Target</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Number of seniors and disadvantag</w:t>
            </w:r>
            <w:r>
              <w:rPr>
                <w:rFonts w:eastAsia="Times New Roman" w:cs="Calibri"/>
                <w:noProof/>
                <w:color w:val="000000"/>
                <w:lang w:val="en-US"/>
              </w:rPr>
              <w:t>ed persons trained in basic digital skills</w:t>
            </w:r>
          </w:p>
        </w:tc>
      </w:tr>
      <w:tr w:rsidR="00BF6749">
        <w:trPr>
          <w:trHeight w:val="103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lang w:val="en-US"/>
              </w:rPr>
              <w:t>40</w:t>
            </w:r>
          </w:p>
        </w:tc>
        <w:tc>
          <w:tcPr>
            <w:tcW w:w="383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18 - Sound, sustainable and competitive public finances – Reform 3: Reform of public investment management</w:t>
            </w:r>
          </w:p>
        </w:tc>
        <w:tc>
          <w:tcPr>
            <w:tcW w:w="1241"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Milestone</w:t>
            </w:r>
          </w:p>
        </w:tc>
        <w:tc>
          <w:tcPr>
            <w:tcW w:w="4079" w:type="dxa"/>
            <w:tcBorders>
              <w:top w:val="nil"/>
              <w:left w:val="nil"/>
              <w:bottom w:val="single" w:sz="8" w:space="0" w:color="auto"/>
              <w:right w:val="single" w:sz="8" w:space="0" w:color="auto"/>
            </w:tcBorders>
            <w:shd w:val="clear" w:color="000000" w:fill="C6EFCE"/>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lang w:val="en-US"/>
              </w:rPr>
              <w:t>application of the methodology for the procedures for preparing and prioritising investments</w:t>
            </w:r>
          </w:p>
        </w:tc>
      </w:tr>
      <w:tr w:rsidR="00BF6749">
        <w:trPr>
          <w:trHeight w:val="315"/>
        </w:trPr>
        <w:tc>
          <w:tcPr>
            <w:tcW w:w="1339" w:type="dxa"/>
            <w:tcBorders>
              <w:top w:val="nil"/>
              <w:left w:val="single" w:sz="8" w:space="0" w:color="auto"/>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3831"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6100"/>
                <w:lang w:val="en-US"/>
              </w:rPr>
            </w:pPr>
            <w:r>
              <w:rPr>
                <w:rFonts w:eastAsia="Times New Roman" w:cs="Calibri"/>
                <w:noProof/>
                <w:color w:val="006100"/>
              </w:rPr>
              <w:t> </w:t>
            </w:r>
          </w:p>
        </w:tc>
        <w:tc>
          <w:tcPr>
            <w:tcW w:w="1241"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jc w:val="center"/>
              <w:rPr>
                <w:rFonts w:eastAsia="Times New Roman" w:cs="Calibri"/>
                <w:noProof/>
                <w:color w:val="000000"/>
                <w:lang w:val="en-US"/>
              </w:rPr>
            </w:pPr>
            <w:r>
              <w:rPr>
                <w:rFonts w:eastAsia="Times New Roman" w:cs="Calibri"/>
                <w:noProof/>
                <w:color w:val="000000"/>
              </w:rPr>
              <w:t>Instalment Amount</w:t>
            </w:r>
          </w:p>
        </w:tc>
        <w:tc>
          <w:tcPr>
            <w:tcW w:w="4079" w:type="dxa"/>
            <w:tcBorders>
              <w:top w:val="nil"/>
              <w:left w:val="nil"/>
              <w:bottom w:val="single" w:sz="8" w:space="0" w:color="auto"/>
              <w:right w:val="single" w:sz="8" w:space="0" w:color="auto"/>
            </w:tcBorders>
            <w:shd w:val="clear" w:color="000000" w:fill="C6EFCE"/>
            <w:noWrap/>
            <w:vAlign w:val="center"/>
            <w:hideMark/>
          </w:tcPr>
          <w:p w:rsidR="00BF6749" w:rsidRDefault="00C87555">
            <w:pPr>
              <w:spacing w:after="0" w:line="240" w:lineRule="auto"/>
              <w:rPr>
                <w:rFonts w:eastAsia="Times New Roman" w:cs="Calibri"/>
                <w:noProof/>
                <w:color w:val="000000"/>
                <w:lang w:val="en-US"/>
              </w:rPr>
            </w:pPr>
            <w:r>
              <w:rPr>
                <w:rFonts w:eastAsia="Times New Roman" w:cs="Calibri"/>
                <w:noProof/>
                <w:color w:val="000000"/>
                <w:lang w:val="en-US"/>
              </w:rPr>
              <w:t> EUR 203 677 359</w:t>
            </w:r>
          </w:p>
        </w:tc>
      </w:tr>
    </w:tbl>
    <w:p w:rsidR="00BF6749" w:rsidRDefault="00BF6749">
      <w:pPr>
        <w:ind w:left="-851"/>
        <w:rPr>
          <w:noProof/>
        </w:rPr>
      </w:pPr>
    </w:p>
    <w:p w:rsidR="00BF6749" w:rsidRDefault="00BF6749">
      <w:pPr>
        <w:spacing w:before="360" w:after="120" w:line="240" w:lineRule="auto"/>
        <w:jc w:val="both"/>
        <w:outlineLvl w:val="0"/>
        <w:rPr>
          <w:rFonts w:ascii="Times New Roman" w:hAnsi="Times New Roman"/>
          <w:noProof/>
          <w:sz w:val="24"/>
          <w:szCs w:val="24"/>
        </w:rPr>
        <w:sectPr w:rsidR="00BF6749">
          <w:headerReference w:type="even" r:id="rId234"/>
          <w:headerReference w:type="default" r:id="rId235"/>
          <w:footerReference w:type="even" r:id="rId236"/>
          <w:footerReference w:type="default" r:id="rId237"/>
          <w:headerReference w:type="first" r:id="rId238"/>
          <w:footerReference w:type="first" r:id="rId239"/>
          <w:pgSz w:w="11907" w:h="16839"/>
          <w:pgMar w:top="1134" w:right="1418" w:bottom="1134" w:left="1418" w:header="709" w:footer="709" w:gutter="0"/>
          <w:cols w:space="720"/>
          <w:docGrid w:linePitch="360"/>
        </w:sectPr>
      </w:pPr>
    </w:p>
    <w:p w:rsidR="00BF6749" w:rsidRDefault="00C87555">
      <w:pPr>
        <w:rPr>
          <w:rFonts w:ascii="Times New Roman" w:hAnsi="Times New Roman"/>
          <w:b/>
          <w:noProof/>
          <w:sz w:val="24"/>
        </w:rPr>
      </w:pPr>
      <w:r>
        <w:rPr>
          <w:rFonts w:ascii="Times New Roman" w:hAnsi="Times New Roman"/>
          <w:b/>
          <w:bCs/>
          <w:noProof/>
          <w:sz w:val="24"/>
        </w:rPr>
        <w:t xml:space="preserve">SECTION 3: ADDITIONAL ARRANGEMENTS </w:t>
      </w:r>
    </w:p>
    <w:p w:rsidR="00BF6749" w:rsidRDefault="00C87555">
      <w:pPr>
        <w:pStyle w:val="NormalLeft"/>
        <w:rPr>
          <w:b/>
          <w:noProof/>
        </w:rPr>
      </w:pPr>
      <w:r>
        <w:rPr>
          <w:b/>
          <w:noProof/>
        </w:rPr>
        <w:t>1. Arrangements for monitoring and implementation of the recovery and resilience plan</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 xml:space="preserve">The monitoring and implementation of the recovery and resilience plan of Slovakia shall take place in accordance with the following arrangements: </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In order to ensure well-defined tasks, competences and powers, the Slovak Republic is preparing a specific Ac</w:t>
      </w:r>
      <w:r>
        <w:rPr>
          <w:rFonts w:ascii="Times New Roman" w:hAnsi="Times New Roman"/>
          <w:noProof/>
          <w:sz w:val="24"/>
        </w:rPr>
        <w:t>t on the Recovery and Resilience Facility and amending certain acts (“Recovery and Resilience Facility Act” or “Act on RRF”). The Act is expected to govern, inter alia, the selection of beneficiaries and their responsibilities, how financial corrections ar</w:t>
      </w:r>
      <w:r>
        <w:rPr>
          <w:rFonts w:ascii="Times New Roman" w:hAnsi="Times New Roman"/>
          <w:noProof/>
          <w:sz w:val="24"/>
        </w:rPr>
        <w:t>e to be carried out and irregularities are dealt with, conflicts of interest and the processing of personal data. It is expected to also introduce measures to protect the financial interests of the European Union at the level of each entity involved in the</w:t>
      </w:r>
      <w:r>
        <w:rPr>
          <w:rFonts w:ascii="Times New Roman" w:hAnsi="Times New Roman"/>
          <w:noProof/>
          <w:sz w:val="24"/>
        </w:rPr>
        <w:t xml:space="preserve"> implementation. It regulates the monitoring of the achievement of milestones and targets and the system of data collection covering beneficial owners.</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National Implementation and Coordination Authority (NIKA) is the one stop shop for implementation of</w:t>
      </w:r>
      <w:r>
        <w:rPr>
          <w:rFonts w:ascii="Times New Roman" w:hAnsi="Times New Roman"/>
          <w:noProof/>
          <w:sz w:val="24"/>
        </w:rPr>
        <w:t xml:space="preserve"> the Slovak recovery and resilience plan. It coordinates and guides the implementation and conducts checks on executors, intermediaries and beneficiaries. It is responsible for monitoring and assessing the implementation of the plan and the achievement of </w:t>
      </w:r>
      <w:r>
        <w:rPr>
          <w:rFonts w:ascii="Times New Roman" w:hAnsi="Times New Roman"/>
          <w:noProof/>
          <w:sz w:val="24"/>
        </w:rPr>
        <w:t>milestones as well as providing the Commission with the data collected on request.</w:t>
      </w:r>
    </w:p>
    <w:p w:rsidR="00BF6749" w:rsidRDefault="00BF6749">
      <w:pPr>
        <w:spacing w:before="120" w:after="120" w:line="240" w:lineRule="auto"/>
        <w:jc w:val="both"/>
        <w:rPr>
          <w:rFonts w:ascii="Times New Roman" w:hAnsi="Times New Roman"/>
          <w:noProof/>
          <w:sz w:val="24"/>
        </w:rPr>
      </w:pPr>
    </w:p>
    <w:p w:rsidR="00BF6749" w:rsidRDefault="00C87555">
      <w:pPr>
        <w:pStyle w:val="NormalLeft"/>
        <w:rPr>
          <w:b/>
          <w:noProof/>
        </w:rPr>
      </w:pPr>
      <w:r>
        <w:rPr>
          <w:b/>
          <w:noProof/>
        </w:rPr>
        <w:t>2. Arrangements</w:t>
      </w:r>
      <w:r>
        <w:rPr>
          <w:b/>
          <w:bCs/>
          <w:noProof/>
        </w:rPr>
        <w:t xml:space="preserve"> for providing full </w:t>
      </w:r>
      <w:r>
        <w:rPr>
          <w:b/>
          <w:noProof/>
        </w:rPr>
        <w:t>access by the Commission to the underlying data</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The National Implementation and Coordination Authority (NIKA), as the central coordinatin</w:t>
      </w:r>
      <w:r>
        <w:rPr>
          <w:rFonts w:ascii="Times New Roman" w:hAnsi="Times New Roman"/>
          <w:noProof/>
          <w:sz w:val="24"/>
        </w:rPr>
        <w:t>g body for Slovakia’s recovery and resilience plan and its implementation, is responsible for overall coordination and monitoring of the plan. In particular, it acts as a coordinating body for monitoring progress on milestones and targets, for monitoring a</w:t>
      </w:r>
      <w:r>
        <w:rPr>
          <w:rFonts w:ascii="Times New Roman" w:hAnsi="Times New Roman"/>
          <w:noProof/>
          <w:sz w:val="24"/>
        </w:rPr>
        <w:t>nd, where appropriate, implementing control and audit activities, and for providing reporting and requests for payments. It coordinates the reporting of milestones and targets, relevant indicators, but also qualitative financial information and other data,</w:t>
      </w:r>
      <w:r>
        <w:rPr>
          <w:rFonts w:ascii="Times New Roman" w:hAnsi="Times New Roman"/>
          <w:noProof/>
          <w:sz w:val="24"/>
        </w:rPr>
        <w:t xml:space="preserve"> such as on final recipients. By 30 September 2022, the data encoding is expected to be conducted using an IT system called ISPO.</w:t>
      </w:r>
    </w:p>
    <w:p w:rsidR="00BF6749" w:rsidRDefault="00C87555">
      <w:pPr>
        <w:spacing w:before="120" w:after="120" w:line="240" w:lineRule="auto"/>
        <w:jc w:val="both"/>
        <w:rPr>
          <w:rFonts w:ascii="Times New Roman" w:hAnsi="Times New Roman"/>
          <w:noProof/>
          <w:sz w:val="24"/>
        </w:rPr>
      </w:pPr>
      <w:r>
        <w:rPr>
          <w:rFonts w:ascii="Times New Roman" w:hAnsi="Times New Roman"/>
          <w:noProof/>
          <w:sz w:val="24"/>
        </w:rPr>
        <w:t>In accordance with Article 24(2) of Regulation (EU) 2021/241, upon completion of the relevant agreed milestones and targets in</w:t>
      </w:r>
      <w:r>
        <w:rPr>
          <w:rFonts w:ascii="Times New Roman" w:hAnsi="Times New Roman"/>
          <w:noProof/>
          <w:sz w:val="24"/>
        </w:rPr>
        <w:t xml:space="preserve"> Section 2.1 of this Annex, Slovakia shall submit to the Commission a duly justified request for payment of the financial contribution. Slovakia shall ensure that, upon request, the Commission has full access to the underlying relevant data that supports t</w:t>
      </w:r>
      <w:r>
        <w:rPr>
          <w:rFonts w:ascii="Times New Roman" w:hAnsi="Times New Roman"/>
          <w:noProof/>
          <w:sz w:val="24"/>
        </w:rPr>
        <w:t>he due justification of the request for payment, both for the assessment of the request for payment in accordance with Article 24(3) of Regulation (EU) 2021/241 and for audit and control purposes.</w:t>
      </w:r>
    </w:p>
    <w:p w:rsidR="00BF6749" w:rsidRDefault="00BF6749">
      <w:pPr>
        <w:rPr>
          <w:noProof/>
        </w:rPr>
      </w:pPr>
    </w:p>
    <w:sectPr w:rsidR="00BF6749">
      <w:headerReference w:type="even" r:id="rId240"/>
      <w:headerReference w:type="default" r:id="rId241"/>
      <w:footerReference w:type="even" r:id="rId242"/>
      <w:footerReference w:type="default" r:id="rId243"/>
      <w:headerReference w:type="first" r:id="rId244"/>
      <w:footerReference w:type="first" r:id="rId24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749" w:rsidRDefault="00C87555">
      <w:pPr>
        <w:spacing w:after="0" w:line="240" w:lineRule="auto"/>
      </w:pPr>
      <w:r>
        <w:separator/>
      </w:r>
    </w:p>
  </w:endnote>
  <w:endnote w:type="continuationSeparator" w:id="0">
    <w:p w:rsidR="00BF6749" w:rsidRDefault="00C87555">
      <w:pPr>
        <w:spacing w:after="0" w:line="240" w:lineRule="auto"/>
      </w:pPr>
      <w:r>
        <w:continuationSeparator/>
      </w:r>
    </w:p>
  </w:endnote>
  <w:endnote w:type="continuationNotice" w:id="1">
    <w:p w:rsidR="00BF6749" w:rsidRDefault="00BF6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55" w:rsidRPr="00C87555" w:rsidRDefault="00C87555" w:rsidP="00C875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151</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160</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162</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164</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184</w:t>
    </w:r>
    <w: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185</w:t>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Landscape"/>
    </w:pP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Landscape"/>
      <w:jc w:val="center"/>
    </w:pPr>
    <w:r>
      <w:fldChar w:fldCharType="begin"/>
    </w:r>
    <w:r>
      <w:instrText xml:space="preserve"> PAGE  \* MERGEFORMAT </w:instrText>
    </w:r>
    <w:r>
      <w:fldChar w:fldCharType="separate"/>
    </w:r>
    <w:r>
      <w:rPr>
        <w:noProof/>
      </w:rPr>
      <w:t>18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Landscape"/>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55" w:rsidRPr="00C87555" w:rsidRDefault="00C87555" w:rsidP="00C87555">
    <w:pPr>
      <w:pStyle w:val="FooterCoverPage"/>
      <w:rPr>
        <w:rFonts w:ascii="Arial" w:hAnsi="Arial" w:cs="Arial"/>
        <w:b/>
        <w:sz w:val="48"/>
      </w:rPr>
    </w:pPr>
    <w:r w:rsidRPr="00C87555">
      <w:rPr>
        <w:rFonts w:ascii="Arial" w:hAnsi="Arial" w:cs="Arial"/>
        <w:b/>
        <w:sz w:val="48"/>
      </w:rPr>
      <w:t>EN</w:t>
    </w:r>
    <w:r w:rsidRPr="00C87555">
      <w:rPr>
        <w:rFonts w:ascii="Arial" w:hAnsi="Arial" w:cs="Arial"/>
        <w:b/>
        <w:sz w:val="48"/>
      </w:rPr>
      <w:tab/>
    </w:r>
    <w:r w:rsidRPr="00C87555">
      <w:rPr>
        <w:rFonts w:ascii="Arial" w:hAnsi="Arial" w:cs="Arial"/>
        <w:b/>
        <w:sz w:val="48"/>
      </w:rPr>
      <w:tab/>
    </w:r>
    <w:r w:rsidRPr="00C87555">
      <w:tab/>
    </w:r>
    <w:r w:rsidRPr="00C87555">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Landscape"/>
    </w:pP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Landscape"/>
      <w:jc w:val="center"/>
    </w:pPr>
    <w:r>
      <w:fldChar w:fldCharType="begin"/>
    </w:r>
    <w:r>
      <w:instrText xml:space="preserve"> PAGE  \* MERGEFORMAT </w:instrText>
    </w:r>
    <w:r>
      <w:fldChar w:fldCharType="separate"/>
    </w:r>
    <w:r>
      <w:rPr>
        <w:noProof/>
      </w:rPr>
      <w:t>28</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Landscap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Landscape"/>
    </w:pP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55" w:rsidRPr="00C87555" w:rsidRDefault="00C87555" w:rsidP="00C8755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39</w:t>
    </w:r>
    <w:r>
      <w:rPr>
        <w:noProof/>
      </w:rPr>
      <w:fldChar w:fldCharType="end"/>
    </w:r>
  </w:p>
  <w:p w:rsidR="00BF6749" w:rsidRDefault="00BF674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55</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61</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69</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73</w:t>
    </w:r>
    <w:r>
      <w:fldChar w:fldCharType="end"/>
    </w:r>
    <w:r>
      <w:tab/>
    </w:r>
    <w: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81</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84</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89</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92</w:t>
    </w:r>
    <w:r>
      <w:fldChar w:fldCharType="end"/>
    </w:r>
    <w:r>
      <w:tab/>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99</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102</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107</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110</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Landscape"/>
    </w:pP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118</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120</w:t>
    </w:r>
    <w:r>
      <w:fldChar w:fldCharType="end"/>
    </w:r>
    <w:r>
      <w:tab/>
    </w:r>
    <w:r>
      <w:tab/>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126</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129</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Landscape"/>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133</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pPr>
    <w:r>
      <w:rPr>
        <w:rFonts w:ascii="Arial" w:hAnsi="Arial" w:cs="Arial"/>
        <w:b/>
        <w:sz w:val="48"/>
      </w:rPr>
      <w:tab/>
    </w:r>
    <w:r>
      <w:fldChar w:fldCharType="begin"/>
    </w:r>
    <w:r>
      <w:instrText xml:space="preserve"> PAGE  \* MERGEFORMAT </w:instrText>
    </w:r>
    <w:r>
      <w:fldChar w:fldCharType="separate"/>
    </w:r>
    <w:r>
      <w:rPr>
        <w:noProof/>
      </w:rPr>
      <w:t>136</w:t>
    </w:r>
    <w:r>
      <w:fldChar w:fldCharType="end"/>
    </w:r>
    <w:r>
      <w:tab/>
    </w:r>
    <w: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C87555">
    <w:pPr>
      <w:pStyle w:val="Footer"/>
      <w:jc w:val="center"/>
    </w:pPr>
    <w:r>
      <w:fldChar w:fldCharType="begin"/>
    </w:r>
    <w:r>
      <w:instrText xml:space="preserve"> PAGE  \* MERGEFORMAT </w:instrText>
    </w:r>
    <w:r>
      <w:fldChar w:fldCharType="separate"/>
    </w:r>
    <w:r>
      <w:rPr>
        <w:noProof/>
      </w:rPr>
      <w:t>145</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749" w:rsidRDefault="00C87555">
      <w:pPr>
        <w:spacing w:after="0" w:line="240" w:lineRule="auto"/>
      </w:pPr>
      <w:r>
        <w:separator/>
      </w:r>
    </w:p>
  </w:footnote>
  <w:footnote w:type="continuationSeparator" w:id="0">
    <w:p w:rsidR="00BF6749" w:rsidRDefault="00C87555">
      <w:pPr>
        <w:spacing w:after="0" w:line="240" w:lineRule="auto"/>
      </w:pPr>
      <w:r>
        <w:continuationSeparator/>
      </w:r>
    </w:p>
  </w:footnote>
  <w:footnote w:type="continuationNotice" w:id="1">
    <w:p w:rsidR="00BF6749" w:rsidRDefault="00BF6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55" w:rsidRPr="00C87555" w:rsidRDefault="00C87555" w:rsidP="00C87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55" w:rsidRPr="00C87555" w:rsidRDefault="00C87555" w:rsidP="00C8755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55" w:rsidRPr="00C87555" w:rsidRDefault="00C87555" w:rsidP="00C8755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Landscape"/>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49" w:rsidRDefault="00BF6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413E96"/>
    <w:multiLevelType w:val="hybridMultilevel"/>
    <w:tmpl w:val="A15CF8C8"/>
    <w:lvl w:ilvl="0" w:tplc="69A2FF08">
      <w:start w:val="17"/>
      <w:numFmt w:val="bullet"/>
      <w:lvlText w:val="-"/>
      <w:lvlJc w:val="left"/>
      <w:pPr>
        <w:ind w:left="1210" w:hanging="360"/>
      </w:pPr>
      <w:rPr>
        <w:rFonts w:ascii="Times New Roman" w:eastAsia="Times New Roman" w:hAnsi="Times New Roman" w:cs="Times New Roman" w:hint="default"/>
      </w:rPr>
    </w:lvl>
    <w:lvl w:ilvl="1" w:tplc="080C0003">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9" w15:restartNumberingAfterBreak="0">
    <w:nsid w:val="083800CE"/>
    <w:multiLevelType w:val="hybridMultilevel"/>
    <w:tmpl w:val="1A349196"/>
    <w:lvl w:ilvl="0" w:tplc="8DD21384">
      <w:start w:val="1"/>
      <w:numFmt w:val="bullet"/>
      <w:lvlText w:val="·"/>
      <w:lvlJc w:val="left"/>
      <w:pPr>
        <w:ind w:left="720" w:hanging="360"/>
      </w:pPr>
      <w:rPr>
        <w:rFonts w:ascii="Symbol" w:hAnsi="Symbol" w:hint="default"/>
      </w:rPr>
    </w:lvl>
    <w:lvl w:ilvl="1" w:tplc="30E2C636">
      <w:start w:val="1"/>
      <w:numFmt w:val="bullet"/>
      <w:lvlText w:val="o"/>
      <w:lvlJc w:val="left"/>
      <w:pPr>
        <w:ind w:left="1440" w:hanging="360"/>
      </w:pPr>
      <w:rPr>
        <w:rFonts w:ascii="Courier New" w:hAnsi="Courier New" w:hint="default"/>
      </w:rPr>
    </w:lvl>
    <w:lvl w:ilvl="2" w:tplc="9170EEEA">
      <w:start w:val="1"/>
      <w:numFmt w:val="bullet"/>
      <w:lvlText w:val=""/>
      <w:lvlJc w:val="left"/>
      <w:pPr>
        <w:ind w:left="2160" w:hanging="360"/>
      </w:pPr>
      <w:rPr>
        <w:rFonts w:ascii="Wingdings" w:hAnsi="Wingdings" w:hint="default"/>
      </w:rPr>
    </w:lvl>
    <w:lvl w:ilvl="3" w:tplc="41FE1CAA">
      <w:start w:val="1"/>
      <w:numFmt w:val="bullet"/>
      <w:lvlText w:val=""/>
      <w:lvlJc w:val="left"/>
      <w:pPr>
        <w:ind w:left="2880" w:hanging="360"/>
      </w:pPr>
      <w:rPr>
        <w:rFonts w:ascii="Symbol" w:hAnsi="Symbol" w:hint="default"/>
      </w:rPr>
    </w:lvl>
    <w:lvl w:ilvl="4" w:tplc="1E9A7426">
      <w:start w:val="1"/>
      <w:numFmt w:val="bullet"/>
      <w:lvlText w:val="o"/>
      <w:lvlJc w:val="left"/>
      <w:pPr>
        <w:ind w:left="3600" w:hanging="360"/>
      </w:pPr>
      <w:rPr>
        <w:rFonts w:ascii="Courier New" w:hAnsi="Courier New" w:hint="default"/>
      </w:rPr>
    </w:lvl>
    <w:lvl w:ilvl="5" w:tplc="5AC227AC">
      <w:start w:val="1"/>
      <w:numFmt w:val="bullet"/>
      <w:lvlText w:val=""/>
      <w:lvlJc w:val="left"/>
      <w:pPr>
        <w:ind w:left="4320" w:hanging="360"/>
      </w:pPr>
      <w:rPr>
        <w:rFonts w:ascii="Wingdings" w:hAnsi="Wingdings" w:hint="default"/>
      </w:rPr>
    </w:lvl>
    <w:lvl w:ilvl="6" w:tplc="7480F6E2">
      <w:start w:val="1"/>
      <w:numFmt w:val="bullet"/>
      <w:lvlText w:val=""/>
      <w:lvlJc w:val="left"/>
      <w:pPr>
        <w:ind w:left="5040" w:hanging="360"/>
      </w:pPr>
      <w:rPr>
        <w:rFonts w:ascii="Symbol" w:hAnsi="Symbol" w:hint="default"/>
      </w:rPr>
    </w:lvl>
    <w:lvl w:ilvl="7" w:tplc="D878EFB0">
      <w:start w:val="1"/>
      <w:numFmt w:val="bullet"/>
      <w:lvlText w:val="o"/>
      <w:lvlJc w:val="left"/>
      <w:pPr>
        <w:ind w:left="5760" w:hanging="360"/>
      </w:pPr>
      <w:rPr>
        <w:rFonts w:ascii="Courier New" w:hAnsi="Courier New" w:hint="default"/>
      </w:rPr>
    </w:lvl>
    <w:lvl w:ilvl="8" w:tplc="C0143F40">
      <w:start w:val="1"/>
      <w:numFmt w:val="bullet"/>
      <w:lvlText w:val=""/>
      <w:lvlJc w:val="left"/>
      <w:pPr>
        <w:ind w:left="6480" w:hanging="360"/>
      </w:pPr>
      <w:rPr>
        <w:rFonts w:ascii="Wingdings" w:hAnsi="Wingdings" w:hint="default"/>
      </w:rPr>
    </w:lvl>
  </w:abstractNum>
  <w:abstractNum w:abstractNumId="10" w15:restartNumberingAfterBreak="0">
    <w:nsid w:val="10F4203F"/>
    <w:multiLevelType w:val="hybridMultilevel"/>
    <w:tmpl w:val="53A08C80"/>
    <w:lvl w:ilvl="0" w:tplc="6B261C98">
      <w:start w:val="1"/>
      <w:numFmt w:val="bullet"/>
      <w:lvlText w:val="-"/>
      <w:lvlJc w:val="left"/>
      <w:pPr>
        <w:ind w:left="720" w:hanging="360"/>
      </w:pPr>
      <w:rPr>
        <w:rFonts w:ascii="Times New Roman" w:eastAsia="Times New Roman" w:hAnsi="Times New Roman" w:cs="Times New Roman" w:hint="default"/>
        <w:color w:val="00000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CB348F1"/>
    <w:multiLevelType w:val="hybridMultilevel"/>
    <w:tmpl w:val="57B0724E"/>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2550"/>
        </w:tabs>
        <w:ind w:left="2550" w:hanging="850"/>
      </w:pPr>
    </w:lvl>
    <w:lvl w:ilvl="1">
      <w:start w:val="1"/>
      <w:numFmt w:val="decimal"/>
      <w:pStyle w:val="NumPar2"/>
      <w:lvlText w:val="%1.%2."/>
      <w:lvlJc w:val="left"/>
      <w:pPr>
        <w:tabs>
          <w:tab w:val="num" w:pos="2550"/>
        </w:tabs>
        <w:ind w:left="2550" w:hanging="850"/>
      </w:pPr>
    </w:lvl>
    <w:lvl w:ilvl="2">
      <w:start w:val="1"/>
      <w:numFmt w:val="decimal"/>
      <w:pStyle w:val="NumPar3"/>
      <w:lvlText w:val="%1.%2.%3."/>
      <w:lvlJc w:val="left"/>
      <w:pPr>
        <w:tabs>
          <w:tab w:val="num" w:pos="2550"/>
        </w:tabs>
        <w:ind w:left="2550" w:hanging="850"/>
      </w:pPr>
    </w:lvl>
    <w:lvl w:ilvl="3">
      <w:start w:val="1"/>
      <w:numFmt w:val="decimal"/>
      <w:pStyle w:val="NumPar4"/>
      <w:lvlText w:val="%1.%2.%3.%4."/>
      <w:lvlJc w:val="left"/>
      <w:pPr>
        <w:tabs>
          <w:tab w:val="num" w:pos="2550"/>
        </w:tabs>
        <w:ind w:left="2550" w:hanging="850"/>
      </w:pPr>
    </w:lvl>
    <w:lvl w:ilvl="4">
      <w:start w:val="1"/>
      <w:numFmt w:val="lowerLetter"/>
      <w:lvlText w:val="(%5)"/>
      <w:lvlJc w:val="left"/>
      <w:pPr>
        <w:ind w:left="3500" w:hanging="360"/>
      </w:pPr>
    </w:lvl>
    <w:lvl w:ilvl="5">
      <w:start w:val="1"/>
      <w:numFmt w:val="lowerRoman"/>
      <w:lvlText w:val="(%6)"/>
      <w:lvlJc w:val="left"/>
      <w:pPr>
        <w:ind w:left="3860" w:hanging="360"/>
      </w:pPr>
    </w:lvl>
    <w:lvl w:ilvl="6">
      <w:start w:val="1"/>
      <w:numFmt w:val="decimal"/>
      <w:lvlText w:val="%7."/>
      <w:lvlJc w:val="left"/>
      <w:pPr>
        <w:ind w:left="4220" w:hanging="360"/>
      </w:pPr>
    </w:lvl>
    <w:lvl w:ilvl="7">
      <w:start w:val="1"/>
      <w:numFmt w:val="lowerLetter"/>
      <w:lvlText w:val="%8."/>
      <w:lvlJc w:val="left"/>
      <w:pPr>
        <w:ind w:left="4580" w:hanging="360"/>
      </w:pPr>
    </w:lvl>
    <w:lvl w:ilvl="8">
      <w:start w:val="1"/>
      <w:numFmt w:val="lowerRoman"/>
      <w:lvlText w:val="%9."/>
      <w:lvlJc w:val="left"/>
      <w:pPr>
        <w:ind w:left="4940" w:hanging="360"/>
      </w:pPr>
    </w:lvl>
  </w:abstractNum>
  <w:abstractNum w:abstractNumId="14" w15:restartNumberingAfterBreak="0">
    <w:nsid w:val="271210D2"/>
    <w:multiLevelType w:val="hybridMultilevel"/>
    <w:tmpl w:val="F2683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76551C"/>
    <w:multiLevelType w:val="hybridMultilevel"/>
    <w:tmpl w:val="B0ECF862"/>
    <w:lvl w:ilvl="0" w:tplc="DB0264F6">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16F3F01"/>
    <w:multiLevelType w:val="hybridMultilevel"/>
    <w:tmpl w:val="0A4A29A0"/>
    <w:lvl w:ilvl="0" w:tplc="2BC8EB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7382F"/>
    <w:multiLevelType w:val="hybridMultilevel"/>
    <w:tmpl w:val="6030A95A"/>
    <w:lvl w:ilvl="0" w:tplc="7FC6435C">
      <w:start w:val="1"/>
      <w:numFmt w:val="bullet"/>
      <w:lvlText w:val="·"/>
      <w:lvlJc w:val="left"/>
      <w:pPr>
        <w:ind w:left="720" w:hanging="360"/>
      </w:pPr>
      <w:rPr>
        <w:rFonts w:ascii="Symbol" w:hAnsi="Symbol" w:hint="default"/>
      </w:rPr>
    </w:lvl>
    <w:lvl w:ilvl="1" w:tplc="81CAC3CC">
      <w:start w:val="1"/>
      <w:numFmt w:val="bullet"/>
      <w:lvlText w:val="o"/>
      <w:lvlJc w:val="left"/>
      <w:pPr>
        <w:ind w:left="1440" w:hanging="360"/>
      </w:pPr>
      <w:rPr>
        <w:rFonts w:ascii="Courier New" w:hAnsi="Courier New" w:hint="default"/>
      </w:rPr>
    </w:lvl>
    <w:lvl w:ilvl="2" w:tplc="ECD2BE6A">
      <w:start w:val="1"/>
      <w:numFmt w:val="bullet"/>
      <w:lvlText w:val=""/>
      <w:lvlJc w:val="left"/>
      <w:pPr>
        <w:ind w:left="2160" w:hanging="360"/>
      </w:pPr>
      <w:rPr>
        <w:rFonts w:ascii="Wingdings" w:hAnsi="Wingdings" w:hint="default"/>
      </w:rPr>
    </w:lvl>
    <w:lvl w:ilvl="3" w:tplc="5CC41EDC">
      <w:start w:val="1"/>
      <w:numFmt w:val="bullet"/>
      <w:lvlText w:val=""/>
      <w:lvlJc w:val="left"/>
      <w:pPr>
        <w:ind w:left="2880" w:hanging="360"/>
      </w:pPr>
      <w:rPr>
        <w:rFonts w:ascii="Symbol" w:hAnsi="Symbol" w:hint="default"/>
      </w:rPr>
    </w:lvl>
    <w:lvl w:ilvl="4" w:tplc="4822933E">
      <w:start w:val="1"/>
      <w:numFmt w:val="bullet"/>
      <w:lvlText w:val="o"/>
      <w:lvlJc w:val="left"/>
      <w:pPr>
        <w:ind w:left="3600" w:hanging="360"/>
      </w:pPr>
      <w:rPr>
        <w:rFonts w:ascii="Courier New" w:hAnsi="Courier New" w:hint="default"/>
      </w:rPr>
    </w:lvl>
    <w:lvl w:ilvl="5" w:tplc="3A34400E">
      <w:start w:val="1"/>
      <w:numFmt w:val="bullet"/>
      <w:lvlText w:val=""/>
      <w:lvlJc w:val="left"/>
      <w:pPr>
        <w:ind w:left="4320" w:hanging="360"/>
      </w:pPr>
      <w:rPr>
        <w:rFonts w:ascii="Wingdings" w:hAnsi="Wingdings" w:hint="default"/>
      </w:rPr>
    </w:lvl>
    <w:lvl w:ilvl="6" w:tplc="E1EEF0D4">
      <w:start w:val="1"/>
      <w:numFmt w:val="bullet"/>
      <w:lvlText w:val=""/>
      <w:lvlJc w:val="left"/>
      <w:pPr>
        <w:ind w:left="5040" w:hanging="360"/>
      </w:pPr>
      <w:rPr>
        <w:rFonts w:ascii="Symbol" w:hAnsi="Symbol" w:hint="default"/>
      </w:rPr>
    </w:lvl>
    <w:lvl w:ilvl="7" w:tplc="AF504168">
      <w:start w:val="1"/>
      <w:numFmt w:val="bullet"/>
      <w:lvlText w:val="o"/>
      <w:lvlJc w:val="left"/>
      <w:pPr>
        <w:ind w:left="5760" w:hanging="360"/>
      </w:pPr>
      <w:rPr>
        <w:rFonts w:ascii="Courier New" w:hAnsi="Courier New" w:hint="default"/>
      </w:rPr>
    </w:lvl>
    <w:lvl w:ilvl="8" w:tplc="A442E3DA">
      <w:start w:val="1"/>
      <w:numFmt w:val="bullet"/>
      <w:lvlText w:val=""/>
      <w:lvlJc w:val="left"/>
      <w:pPr>
        <w:ind w:left="6480" w:hanging="360"/>
      </w:pPr>
      <w:rPr>
        <w:rFonts w:ascii="Wingdings" w:hAnsi="Wingdings" w:hint="default"/>
      </w:rPr>
    </w:lvl>
  </w:abstractNum>
  <w:abstractNum w:abstractNumId="20" w15:restartNumberingAfterBreak="0">
    <w:nsid w:val="3BE75B0D"/>
    <w:multiLevelType w:val="hybridMultilevel"/>
    <w:tmpl w:val="7B4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66434"/>
    <w:multiLevelType w:val="hybridMultilevel"/>
    <w:tmpl w:val="EBD4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4747F"/>
    <w:multiLevelType w:val="hybridMultilevel"/>
    <w:tmpl w:val="DA6AD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3B66896"/>
    <w:multiLevelType w:val="hybridMultilevel"/>
    <w:tmpl w:val="00C03238"/>
    <w:lvl w:ilvl="0" w:tplc="1FB49796">
      <w:start w:val="1"/>
      <w:numFmt w:val="bullet"/>
      <w:lvlText w:val="·"/>
      <w:lvlJc w:val="left"/>
      <w:pPr>
        <w:ind w:left="720" w:hanging="360"/>
      </w:pPr>
      <w:rPr>
        <w:rFonts w:ascii="Symbol" w:hAnsi="Symbol" w:hint="default"/>
      </w:rPr>
    </w:lvl>
    <w:lvl w:ilvl="1" w:tplc="C3D6903C">
      <w:start w:val="1"/>
      <w:numFmt w:val="bullet"/>
      <w:lvlText w:val="o"/>
      <w:lvlJc w:val="left"/>
      <w:pPr>
        <w:ind w:left="1440" w:hanging="360"/>
      </w:pPr>
      <w:rPr>
        <w:rFonts w:ascii="Courier New" w:hAnsi="Courier New" w:hint="default"/>
      </w:rPr>
    </w:lvl>
    <w:lvl w:ilvl="2" w:tplc="BF966412">
      <w:start w:val="1"/>
      <w:numFmt w:val="bullet"/>
      <w:lvlText w:val=""/>
      <w:lvlJc w:val="left"/>
      <w:pPr>
        <w:ind w:left="2160" w:hanging="360"/>
      </w:pPr>
      <w:rPr>
        <w:rFonts w:ascii="Wingdings" w:hAnsi="Wingdings" w:hint="default"/>
      </w:rPr>
    </w:lvl>
    <w:lvl w:ilvl="3" w:tplc="98903784">
      <w:start w:val="1"/>
      <w:numFmt w:val="bullet"/>
      <w:lvlText w:val=""/>
      <w:lvlJc w:val="left"/>
      <w:pPr>
        <w:ind w:left="2880" w:hanging="360"/>
      </w:pPr>
      <w:rPr>
        <w:rFonts w:ascii="Symbol" w:hAnsi="Symbol" w:hint="default"/>
      </w:rPr>
    </w:lvl>
    <w:lvl w:ilvl="4" w:tplc="4E02FE26">
      <w:start w:val="1"/>
      <w:numFmt w:val="bullet"/>
      <w:lvlText w:val="o"/>
      <w:lvlJc w:val="left"/>
      <w:pPr>
        <w:ind w:left="3600" w:hanging="360"/>
      </w:pPr>
      <w:rPr>
        <w:rFonts w:ascii="Courier New" w:hAnsi="Courier New" w:hint="default"/>
      </w:rPr>
    </w:lvl>
    <w:lvl w:ilvl="5" w:tplc="B8008522">
      <w:start w:val="1"/>
      <w:numFmt w:val="bullet"/>
      <w:lvlText w:val=""/>
      <w:lvlJc w:val="left"/>
      <w:pPr>
        <w:ind w:left="4320" w:hanging="360"/>
      </w:pPr>
      <w:rPr>
        <w:rFonts w:ascii="Wingdings" w:hAnsi="Wingdings" w:hint="default"/>
      </w:rPr>
    </w:lvl>
    <w:lvl w:ilvl="6" w:tplc="11EE35AE">
      <w:start w:val="1"/>
      <w:numFmt w:val="bullet"/>
      <w:lvlText w:val=""/>
      <w:lvlJc w:val="left"/>
      <w:pPr>
        <w:ind w:left="5040" w:hanging="360"/>
      </w:pPr>
      <w:rPr>
        <w:rFonts w:ascii="Symbol" w:hAnsi="Symbol" w:hint="default"/>
      </w:rPr>
    </w:lvl>
    <w:lvl w:ilvl="7" w:tplc="DCDA2EBC">
      <w:start w:val="1"/>
      <w:numFmt w:val="bullet"/>
      <w:lvlText w:val="o"/>
      <w:lvlJc w:val="left"/>
      <w:pPr>
        <w:ind w:left="5760" w:hanging="360"/>
      </w:pPr>
      <w:rPr>
        <w:rFonts w:ascii="Courier New" w:hAnsi="Courier New" w:hint="default"/>
      </w:rPr>
    </w:lvl>
    <w:lvl w:ilvl="8" w:tplc="378089C8">
      <w:start w:val="1"/>
      <w:numFmt w:val="bullet"/>
      <w:lvlText w:val=""/>
      <w:lvlJc w:val="left"/>
      <w:pPr>
        <w:ind w:left="6480" w:hanging="360"/>
      </w:pPr>
      <w:rPr>
        <w:rFonts w:ascii="Wingdings" w:hAnsi="Wingdings" w:hint="default"/>
      </w:r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AED2B8B"/>
    <w:multiLevelType w:val="hybridMultilevel"/>
    <w:tmpl w:val="471C5510"/>
    <w:lvl w:ilvl="0" w:tplc="CF5EF852">
      <w:start w:val="1"/>
      <w:numFmt w:val="bullet"/>
      <w:lvlText w:val="·"/>
      <w:lvlJc w:val="left"/>
      <w:pPr>
        <w:ind w:left="720" w:hanging="360"/>
      </w:pPr>
      <w:rPr>
        <w:rFonts w:ascii="Symbol" w:hAnsi="Symbol" w:hint="default"/>
      </w:rPr>
    </w:lvl>
    <w:lvl w:ilvl="1" w:tplc="ED0457AC">
      <w:start w:val="1"/>
      <w:numFmt w:val="bullet"/>
      <w:lvlText w:val="o"/>
      <w:lvlJc w:val="left"/>
      <w:pPr>
        <w:ind w:left="1440" w:hanging="360"/>
      </w:pPr>
      <w:rPr>
        <w:rFonts w:ascii="Courier New" w:hAnsi="Courier New" w:hint="default"/>
      </w:rPr>
    </w:lvl>
    <w:lvl w:ilvl="2" w:tplc="D47AEEBC">
      <w:start w:val="1"/>
      <w:numFmt w:val="bullet"/>
      <w:lvlText w:val=""/>
      <w:lvlJc w:val="left"/>
      <w:pPr>
        <w:ind w:left="2160" w:hanging="360"/>
      </w:pPr>
      <w:rPr>
        <w:rFonts w:ascii="Wingdings" w:hAnsi="Wingdings" w:hint="default"/>
      </w:rPr>
    </w:lvl>
    <w:lvl w:ilvl="3" w:tplc="39BC322E">
      <w:start w:val="1"/>
      <w:numFmt w:val="bullet"/>
      <w:lvlText w:val=""/>
      <w:lvlJc w:val="left"/>
      <w:pPr>
        <w:ind w:left="2880" w:hanging="360"/>
      </w:pPr>
      <w:rPr>
        <w:rFonts w:ascii="Symbol" w:hAnsi="Symbol" w:hint="default"/>
      </w:rPr>
    </w:lvl>
    <w:lvl w:ilvl="4" w:tplc="980C762E">
      <w:start w:val="1"/>
      <w:numFmt w:val="bullet"/>
      <w:lvlText w:val="o"/>
      <w:lvlJc w:val="left"/>
      <w:pPr>
        <w:ind w:left="3600" w:hanging="360"/>
      </w:pPr>
      <w:rPr>
        <w:rFonts w:ascii="Courier New" w:hAnsi="Courier New" w:hint="default"/>
      </w:rPr>
    </w:lvl>
    <w:lvl w:ilvl="5" w:tplc="3D1CE338">
      <w:start w:val="1"/>
      <w:numFmt w:val="bullet"/>
      <w:lvlText w:val=""/>
      <w:lvlJc w:val="left"/>
      <w:pPr>
        <w:ind w:left="4320" w:hanging="360"/>
      </w:pPr>
      <w:rPr>
        <w:rFonts w:ascii="Wingdings" w:hAnsi="Wingdings" w:hint="default"/>
      </w:rPr>
    </w:lvl>
    <w:lvl w:ilvl="6" w:tplc="70D4E4D2">
      <w:start w:val="1"/>
      <w:numFmt w:val="bullet"/>
      <w:lvlText w:val=""/>
      <w:lvlJc w:val="left"/>
      <w:pPr>
        <w:ind w:left="5040" w:hanging="360"/>
      </w:pPr>
      <w:rPr>
        <w:rFonts w:ascii="Symbol" w:hAnsi="Symbol" w:hint="default"/>
      </w:rPr>
    </w:lvl>
    <w:lvl w:ilvl="7" w:tplc="F67233A8">
      <w:start w:val="1"/>
      <w:numFmt w:val="bullet"/>
      <w:lvlText w:val="o"/>
      <w:lvlJc w:val="left"/>
      <w:pPr>
        <w:ind w:left="5760" w:hanging="360"/>
      </w:pPr>
      <w:rPr>
        <w:rFonts w:ascii="Courier New" w:hAnsi="Courier New" w:hint="default"/>
      </w:rPr>
    </w:lvl>
    <w:lvl w:ilvl="8" w:tplc="0E3A1082">
      <w:start w:val="1"/>
      <w:numFmt w:val="bullet"/>
      <w:lvlText w:val=""/>
      <w:lvlJc w:val="left"/>
      <w:pPr>
        <w:ind w:left="6480" w:hanging="360"/>
      </w:pPr>
      <w:rPr>
        <w:rFonts w:ascii="Wingdings" w:hAnsi="Wingdings" w:hint="default"/>
      </w:rPr>
    </w:lvl>
  </w:abstractNum>
  <w:abstractNum w:abstractNumId="28" w15:restartNumberingAfterBreak="0">
    <w:nsid w:val="4D574519"/>
    <w:multiLevelType w:val="hybridMultilevel"/>
    <w:tmpl w:val="12B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F6ABF"/>
    <w:multiLevelType w:val="hybridMultilevel"/>
    <w:tmpl w:val="13644728"/>
    <w:lvl w:ilvl="0" w:tplc="A8D815F0">
      <w:start w:val="3"/>
      <w:numFmt w:val="bullet"/>
      <w:lvlText w:val="-"/>
      <w:lvlJc w:val="left"/>
      <w:pPr>
        <w:ind w:left="1210" w:hanging="360"/>
      </w:pPr>
      <w:rPr>
        <w:rFonts w:ascii="Times New Roman" w:eastAsia="Calibri"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9E6164A"/>
    <w:multiLevelType w:val="hybridMultilevel"/>
    <w:tmpl w:val="774E5854"/>
    <w:lvl w:ilvl="0" w:tplc="12A48E54">
      <w:start w:val="1"/>
      <w:numFmt w:val="bullet"/>
      <w:lvlText w:val="·"/>
      <w:lvlJc w:val="left"/>
      <w:pPr>
        <w:ind w:left="720" w:hanging="360"/>
      </w:pPr>
      <w:rPr>
        <w:rFonts w:ascii="Symbol" w:hAnsi="Symbol" w:hint="default"/>
      </w:rPr>
    </w:lvl>
    <w:lvl w:ilvl="1" w:tplc="BB16C39E">
      <w:start w:val="1"/>
      <w:numFmt w:val="bullet"/>
      <w:lvlText w:val="o"/>
      <w:lvlJc w:val="left"/>
      <w:pPr>
        <w:ind w:left="1440" w:hanging="360"/>
      </w:pPr>
      <w:rPr>
        <w:rFonts w:ascii="Courier New" w:hAnsi="Courier New" w:hint="default"/>
      </w:rPr>
    </w:lvl>
    <w:lvl w:ilvl="2" w:tplc="3DB60304">
      <w:start w:val="1"/>
      <w:numFmt w:val="bullet"/>
      <w:lvlText w:val=""/>
      <w:lvlJc w:val="left"/>
      <w:pPr>
        <w:ind w:left="2160" w:hanging="360"/>
      </w:pPr>
      <w:rPr>
        <w:rFonts w:ascii="Wingdings" w:hAnsi="Wingdings" w:hint="default"/>
      </w:rPr>
    </w:lvl>
    <w:lvl w:ilvl="3" w:tplc="FC866250">
      <w:start w:val="1"/>
      <w:numFmt w:val="bullet"/>
      <w:lvlText w:val=""/>
      <w:lvlJc w:val="left"/>
      <w:pPr>
        <w:ind w:left="2880" w:hanging="360"/>
      </w:pPr>
      <w:rPr>
        <w:rFonts w:ascii="Symbol" w:hAnsi="Symbol" w:hint="default"/>
      </w:rPr>
    </w:lvl>
    <w:lvl w:ilvl="4" w:tplc="FB348414">
      <w:start w:val="1"/>
      <w:numFmt w:val="bullet"/>
      <w:lvlText w:val="o"/>
      <w:lvlJc w:val="left"/>
      <w:pPr>
        <w:ind w:left="3600" w:hanging="360"/>
      </w:pPr>
      <w:rPr>
        <w:rFonts w:ascii="Courier New" w:hAnsi="Courier New" w:hint="default"/>
      </w:rPr>
    </w:lvl>
    <w:lvl w:ilvl="5" w:tplc="97226D14">
      <w:start w:val="1"/>
      <w:numFmt w:val="bullet"/>
      <w:lvlText w:val=""/>
      <w:lvlJc w:val="left"/>
      <w:pPr>
        <w:ind w:left="4320" w:hanging="360"/>
      </w:pPr>
      <w:rPr>
        <w:rFonts w:ascii="Wingdings" w:hAnsi="Wingdings" w:hint="default"/>
      </w:rPr>
    </w:lvl>
    <w:lvl w:ilvl="6" w:tplc="367E1066">
      <w:start w:val="1"/>
      <w:numFmt w:val="bullet"/>
      <w:lvlText w:val=""/>
      <w:lvlJc w:val="left"/>
      <w:pPr>
        <w:ind w:left="5040" w:hanging="360"/>
      </w:pPr>
      <w:rPr>
        <w:rFonts w:ascii="Symbol" w:hAnsi="Symbol" w:hint="default"/>
      </w:rPr>
    </w:lvl>
    <w:lvl w:ilvl="7" w:tplc="898661A4">
      <w:start w:val="1"/>
      <w:numFmt w:val="bullet"/>
      <w:lvlText w:val="o"/>
      <w:lvlJc w:val="left"/>
      <w:pPr>
        <w:ind w:left="5760" w:hanging="360"/>
      </w:pPr>
      <w:rPr>
        <w:rFonts w:ascii="Courier New" w:hAnsi="Courier New" w:hint="default"/>
      </w:rPr>
    </w:lvl>
    <w:lvl w:ilvl="8" w:tplc="48AEACB4">
      <w:start w:val="1"/>
      <w:numFmt w:val="bullet"/>
      <w:lvlText w:val=""/>
      <w:lvlJc w:val="left"/>
      <w:pPr>
        <w:ind w:left="6480"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BFB66DB"/>
    <w:multiLevelType w:val="hybridMultilevel"/>
    <w:tmpl w:val="63B22BE4"/>
    <w:lvl w:ilvl="0" w:tplc="23A60898">
      <w:start w:val="1"/>
      <w:numFmt w:val="bullet"/>
      <w:lvlText w:val="·"/>
      <w:lvlJc w:val="left"/>
      <w:pPr>
        <w:ind w:left="720" w:hanging="360"/>
      </w:pPr>
      <w:rPr>
        <w:rFonts w:ascii="Symbol" w:hAnsi="Symbol" w:hint="default"/>
      </w:rPr>
    </w:lvl>
    <w:lvl w:ilvl="1" w:tplc="2138BDCA">
      <w:start w:val="1"/>
      <w:numFmt w:val="bullet"/>
      <w:lvlText w:val="o"/>
      <w:lvlJc w:val="left"/>
      <w:pPr>
        <w:ind w:left="1440" w:hanging="360"/>
      </w:pPr>
      <w:rPr>
        <w:rFonts w:ascii="Courier New" w:hAnsi="Courier New" w:hint="default"/>
      </w:rPr>
    </w:lvl>
    <w:lvl w:ilvl="2" w:tplc="74960E32">
      <w:start w:val="1"/>
      <w:numFmt w:val="bullet"/>
      <w:lvlText w:val=""/>
      <w:lvlJc w:val="left"/>
      <w:pPr>
        <w:ind w:left="2160" w:hanging="360"/>
      </w:pPr>
      <w:rPr>
        <w:rFonts w:ascii="Wingdings" w:hAnsi="Wingdings" w:hint="default"/>
      </w:rPr>
    </w:lvl>
    <w:lvl w:ilvl="3" w:tplc="1228C6DA">
      <w:start w:val="1"/>
      <w:numFmt w:val="bullet"/>
      <w:lvlText w:val=""/>
      <w:lvlJc w:val="left"/>
      <w:pPr>
        <w:ind w:left="2880" w:hanging="360"/>
      </w:pPr>
      <w:rPr>
        <w:rFonts w:ascii="Symbol" w:hAnsi="Symbol" w:hint="default"/>
      </w:rPr>
    </w:lvl>
    <w:lvl w:ilvl="4" w:tplc="0E226A60">
      <w:start w:val="1"/>
      <w:numFmt w:val="bullet"/>
      <w:lvlText w:val="o"/>
      <w:lvlJc w:val="left"/>
      <w:pPr>
        <w:ind w:left="3600" w:hanging="360"/>
      </w:pPr>
      <w:rPr>
        <w:rFonts w:ascii="Courier New" w:hAnsi="Courier New" w:hint="default"/>
      </w:rPr>
    </w:lvl>
    <w:lvl w:ilvl="5" w:tplc="6B7853A4">
      <w:start w:val="1"/>
      <w:numFmt w:val="bullet"/>
      <w:lvlText w:val=""/>
      <w:lvlJc w:val="left"/>
      <w:pPr>
        <w:ind w:left="4320" w:hanging="360"/>
      </w:pPr>
      <w:rPr>
        <w:rFonts w:ascii="Wingdings" w:hAnsi="Wingdings" w:hint="default"/>
      </w:rPr>
    </w:lvl>
    <w:lvl w:ilvl="6" w:tplc="24A06BC4">
      <w:start w:val="1"/>
      <w:numFmt w:val="bullet"/>
      <w:lvlText w:val=""/>
      <w:lvlJc w:val="left"/>
      <w:pPr>
        <w:ind w:left="5040" w:hanging="360"/>
      </w:pPr>
      <w:rPr>
        <w:rFonts w:ascii="Symbol" w:hAnsi="Symbol" w:hint="default"/>
      </w:rPr>
    </w:lvl>
    <w:lvl w:ilvl="7" w:tplc="B4047056">
      <w:start w:val="1"/>
      <w:numFmt w:val="bullet"/>
      <w:lvlText w:val="o"/>
      <w:lvlJc w:val="left"/>
      <w:pPr>
        <w:ind w:left="5760" w:hanging="360"/>
      </w:pPr>
      <w:rPr>
        <w:rFonts w:ascii="Courier New" w:hAnsi="Courier New" w:hint="default"/>
      </w:rPr>
    </w:lvl>
    <w:lvl w:ilvl="8" w:tplc="032ACD90">
      <w:start w:val="1"/>
      <w:numFmt w:val="bullet"/>
      <w:lvlText w:val=""/>
      <w:lvlJc w:val="left"/>
      <w:pPr>
        <w:ind w:left="6480" w:hanging="360"/>
      </w:pPr>
      <w:rPr>
        <w:rFonts w:ascii="Wingdings" w:hAnsi="Wingdings" w:hint="default"/>
      </w:rPr>
    </w:lvl>
  </w:abstractNum>
  <w:abstractNum w:abstractNumId="3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3840903"/>
    <w:multiLevelType w:val="hybridMultilevel"/>
    <w:tmpl w:val="E9EA4938"/>
    <w:lvl w:ilvl="0" w:tplc="6876FE28">
      <w:start w:val="1"/>
      <w:numFmt w:val="bullet"/>
      <w:lvlText w:val="·"/>
      <w:lvlJc w:val="left"/>
      <w:pPr>
        <w:ind w:left="720" w:hanging="360"/>
      </w:pPr>
      <w:rPr>
        <w:rFonts w:ascii="Symbol" w:hAnsi="Symbol" w:hint="default"/>
      </w:rPr>
    </w:lvl>
    <w:lvl w:ilvl="1" w:tplc="F7FE912C">
      <w:start w:val="1"/>
      <w:numFmt w:val="bullet"/>
      <w:lvlText w:val="o"/>
      <w:lvlJc w:val="left"/>
      <w:pPr>
        <w:ind w:left="1440" w:hanging="360"/>
      </w:pPr>
      <w:rPr>
        <w:rFonts w:ascii="Courier New" w:hAnsi="Courier New" w:hint="default"/>
      </w:rPr>
    </w:lvl>
    <w:lvl w:ilvl="2" w:tplc="B908DB5C">
      <w:start w:val="1"/>
      <w:numFmt w:val="bullet"/>
      <w:lvlText w:val=""/>
      <w:lvlJc w:val="left"/>
      <w:pPr>
        <w:ind w:left="2160" w:hanging="360"/>
      </w:pPr>
      <w:rPr>
        <w:rFonts w:ascii="Wingdings" w:hAnsi="Wingdings" w:hint="default"/>
      </w:rPr>
    </w:lvl>
    <w:lvl w:ilvl="3" w:tplc="06A647CE">
      <w:start w:val="1"/>
      <w:numFmt w:val="bullet"/>
      <w:lvlText w:val=""/>
      <w:lvlJc w:val="left"/>
      <w:pPr>
        <w:ind w:left="2880" w:hanging="360"/>
      </w:pPr>
      <w:rPr>
        <w:rFonts w:ascii="Symbol" w:hAnsi="Symbol" w:hint="default"/>
      </w:rPr>
    </w:lvl>
    <w:lvl w:ilvl="4" w:tplc="36D4DA56">
      <w:start w:val="1"/>
      <w:numFmt w:val="bullet"/>
      <w:lvlText w:val="o"/>
      <w:lvlJc w:val="left"/>
      <w:pPr>
        <w:ind w:left="3600" w:hanging="360"/>
      </w:pPr>
      <w:rPr>
        <w:rFonts w:ascii="Courier New" w:hAnsi="Courier New" w:hint="default"/>
      </w:rPr>
    </w:lvl>
    <w:lvl w:ilvl="5" w:tplc="B2306344">
      <w:start w:val="1"/>
      <w:numFmt w:val="bullet"/>
      <w:lvlText w:val=""/>
      <w:lvlJc w:val="left"/>
      <w:pPr>
        <w:ind w:left="4320" w:hanging="360"/>
      </w:pPr>
      <w:rPr>
        <w:rFonts w:ascii="Wingdings" w:hAnsi="Wingdings" w:hint="default"/>
      </w:rPr>
    </w:lvl>
    <w:lvl w:ilvl="6" w:tplc="BF686ABC">
      <w:start w:val="1"/>
      <w:numFmt w:val="bullet"/>
      <w:lvlText w:val=""/>
      <w:lvlJc w:val="left"/>
      <w:pPr>
        <w:ind w:left="5040" w:hanging="360"/>
      </w:pPr>
      <w:rPr>
        <w:rFonts w:ascii="Symbol" w:hAnsi="Symbol" w:hint="default"/>
      </w:rPr>
    </w:lvl>
    <w:lvl w:ilvl="7" w:tplc="3390898E">
      <w:start w:val="1"/>
      <w:numFmt w:val="bullet"/>
      <w:lvlText w:val="o"/>
      <w:lvlJc w:val="left"/>
      <w:pPr>
        <w:ind w:left="5760" w:hanging="360"/>
      </w:pPr>
      <w:rPr>
        <w:rFonts w:ascii="Courier New" w:hAnsi="Courier New" w:hint="default"/>
      </w:rPr>
    </w:lvl>
    <w:lvl w:ilvl="8" w:tplc="9FD8A56C">
      <w:start w:val="1"/>
      <w:numFmt w:val="bullet"/>
      <w:lvlText w:val=""/>
      <w:lvlJc w:val="left"/>
      <w:pPr>
        <w:ind w:left="648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64676C"/>
    <w:multiLevelType w:val="hybridMultilevel"/>
    <w:tmpl w:val="F45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9011131"/>
    <w:multiLevelType w:val="hybridMultilevel"/>
    <w:tmpl w:val="5FA8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7036B"/>
    <w:multiLevelType w:val="multilevel"/>
    <w:tmpl w:val="5690240C"/>
    <w:name w:val="NumPar2"/>
    <w:lvl w:ilvl="0">
      <w:start w:val="1"/>
      <w:numFmt w:val="decimal"/>
      <w:lvlText w:val="%1."/>
      <w:lvlJc w:val="left"/>
      <w:pPr>
        <w:ind w:left="-13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89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230" w:hanging="1800"/>
      </w:pPr>
      <w:rPr>
        <w:rFonts w:hint="default"/>
      </w:rPr>
    </w:lvl>
  </w:abstractNum>
  <w:abstractNum w:abstractNumId="42" w15:restartNumberingAfterBreak="0">
    <w:nsid w:val="709E295F"/>
    <w:multiLevelType w:val="hybridMultilevel"/>
    <w:tmpl w:val="C49E54D6"/>
    <w:lvl w:ilvl="0" w:tplc="00CE157E">
      <w:start w:val="1"/>
      <w:numFmt w:val="bullet"/>
      <w:lvlText w:val="·"/>
      <w:lvlJc w:val="left"/>
      <w:pPr>
        <w:ind w:left="720" w:hanging="360"/>
      </w:pPr>
      <w:rPr>
        <w:rFonts w:ascii="Symbol" w:hAnsi="Symbol" w:hint="default"/>
      </w:rPr>
    </w:lvl>
    <w:lvl w:ilvl="1" w:tplc="E5382716">
      <w:start w:val="1"/>
      <w:numFmt w:val="bullet"/>
      <w:lvlText w:val="o"/>
      <w:lvlJc w:val="left"/>
      <w:pPr>
        <w:ind w:left="1440" w:hanging="360"/>
      </w:pPr>
      <w:rPr>
        <w:rFonts w:ascii="Courier New" w:hAnsi="Courier New" w:hint="default"/>
      </w:rPr>
    </w:lvl>
    <w:lvl w:ilvl="2" w:tplc="021AEBE8">
      <w:start w:val="1"/>
      <w:numFmt w:val="bullet"/>
      <w:lvlText w:val=""/>
      <w:lvlJc w:val="left"/>
      <w:pPr>
        <w:ind w:left="2160" w:hanging="360"/>
      </w:pPr>
      <w:rPr>
        <w:rFonts w:ascii="Wingdings" w:hAnsi="Wingdings" w:hint="default"/>
      </w:rPr>
    </w:lvl>
    <w:lvl w:ilvl="3" w:tplc="E3D4EAEC">
      <w:start w:val="1"/>
      <w:numFmt w:val="bullet"/>
      <w:lvlText w:val=""/>
      <w:lvlJc w:val="left"/>
      <w:pPr>
        <w:ind w:left="2880" w:hanging="360"/>
      </w:pPr>
      <w:rPr>
        <w:rFonts w:ascii="Symbol" w:hAnsi="Symbol" w:hint="default"/>
      </w:rPr>
    </w:lvl>
    <w:lvl w:ilvl="4" w:tplc="0EDE967E">
      <w:start w:val="1"/>
      <w:numFmt w:val="bullet"/>
      <w:lvlText w:val="o"/>
      <w:lvlJc w:val="left"/>
      <w:pPr>
        <w:ind w:left="3600" w:hanging="360"/>
      </w:pPr>
      <w:rPr>
        <w:rFonts w:ascii="Courier New" w:hAnsi="Courier New" w:hint="default"/>
      </w:rPr>
    </w:lvl>
    <w:lvl w:ilvl="5" w:tplc="EB5E1184">
      <w:start w:val="1"/>
      <w:numFmt w:val="bullet"/>
      <w:lvlText w:val=""/>
      <w:lvlJc w:val="left"/>
      <w:pPr>
        <w:ind w:left="4320" w:hanging="360"/>
      </w:pPr>
      <w:rPr>
        <w:rFonts w:ascii="Wingdings" w:hAnsi="Wingdings" w:hint="default"/>
      </w:rPr>
    </w:lvl>
    <w:lvl w:ilvl="6" w:tplc="5AA87610">
      <w:start w:val="1"/>
      <w:numFmt w:val="bullet"/>
      <w:lvlText w:val=""/>
      <w:lvlJc w:val="left"/>
      <w:pPr>
        <w:ind w:left="5040" w:hanging="360"/>
      </w:pPr>
      <w:rPr>
        <w:rFonts w:ascii="Symbol" w:hAnsi="Symbol" w:hint="default"/>
      </w:rPr>
    </w:lvl>
    <w:lvl w:ilvl="7" w:tplc="E898D140">
      <w:start w:val="1"/>
      <w:numFmt w:val="bullet"/>
      <w:lvlText w:val="o"/>
      <w:lvlJc w:val="left"/>
      <w:pPr>
        <w:ind w:left="5760" w:hanging="360"/>
      </w:pPr>
      <w:rPr>
        <w:rFonts w:ascii="Courier New" w:hAnsi="Courier New" w:hint="default"/>
      </w:rPr>
    </w:lvl>
    <w:lvl w:ilvl="8" w:tplc="3072E41A">
      <w:start w:val="1"/>
      <w:numFmt w:val="bullet"/>
      <w:lvlText w:val=""/>
      <w:lvlJc w:val="left"/>
      <w:pPr>
        <w:ind w:left="6480" w:hanging="360"/>
      </w:pPr>
      <w:rPr>
        <w:rFonts w:ascii="Wingdings" w:hAnsi="Wingdings" w:hint="default"/>
      </w:rPr>
    </w:lvl>
  </w:abstractNum>
  <w:abstractNum w:abstractNumId="43" w15:restartNumberingAfterBreak="0">
    <w:nsid w:val="72991C8D"/>
    <w:multiLevelType w:val="hybridMultilevel"/>
    <w:tmpl w:val="EA08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CD2CB5"/>
    <w:multiLevelType w:val="hybridMultilevel"/>
    <w:tmpl w:val="AEBE2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35"/>
  </w:num>
  <w:num w:numId="11">
    <w:abstractNumId w:val="23"/>
  </w:num>
  <w:num w:numId="12">
    <w:abstractNumId w:val="39"/>
  </w:num>
  <w:num w:numId="13">
    <w:abstractNumId w:val="17"/>
  </w:num>
  <w:num w:numId="14">
    <w:abstractNumId w:val="24"/>
  </w:num>
  <w:num w:numId="15">
    <w:abstractNumId w:val="37"/>
  </w:num>
  <w:num w:numId="16">
    <w:abstractNumId w:val="11"/>
  </w:num>
  <w:num w:numId="17">
    <w:abstractNumId w:val="26"/>
  </w:num>
  <w:num w:numId="18">
    <w:abstractNumId w:val="32"/>
  </w:num>
  <w:num w:numId="19">
    <w:abstractNumId w:val="34"/>
  </w:num>
  <w:num w:numId="20">
    <w:abstractNumId w:val="16"/>
  </w:num>
  <w:num w:numId="21">
    <w:abstractNumId w:val="30"/>
  </w:num>
  <w:num w:numId="22">
    <w:abstractNumId w:val="43"/>
  </w:num>
  <w:num w:numId="23">
    <w:abstractNumId w:val="14"/>
  </w:num>
  <w:num w:numId="24">
    <w:abstractNumId w:val="28"/>
  </w:num>
  <w:num w:numId="25">
    <w:abstractNumId w:val="8"/>
  </w:num>
  <w:num w:numId="26">
    <w:abstractNumId w:val="20"/>
  </w:num>
  <w:num w:numId="27">
    <w:abstractNumId w:val="44"/>
  </w:num>
  <w:num w:numId="28">
    <w:abstractNumId w:val="36"/>
  </w:num>
  <w:num w:numId="29">
    <w:abstractNumId w:val="31"/>
  </w:num>
  <w:num w:numId="30">
    <w:abstractNumId w:val="29"/>
  </w:num>
  <w:num w:numId="31">
    <w:abstractNumId w:val="21"/>
  </w:num>
  <w:num w:numId="32">
    <w:abstractNumId w:val="38"/>
  </w:num>
  <w:num w:numId="33">
    <w:abstractNumId w:val="40"/>
  </w:num>
  <w:num w:numId="34">
    <w:abstractNumId w:val="9"/>
  </w:num>
  <w:num w:numId="35">
    <w:abstractNumId w:val="42"/>
  </w:num>
  <w:num w:numId="36">
    <w:abstractNumId w:val="19"/>
  </w:num>
  <w:num w:numId="37">
    <w:abstractNumId w:val="15"/>
  </w:num>
  <w:num w:numId="38">
    <w:abstractNumId w:val="12"/>
  </w:num>
  <w:num w:numId="39">
    <w:abstractNumId w:val="18"/>
  </w:num>
  <w:num w:numId="40">
    <w:abstractNumId w:val="22"/>
  </w:num>
  <w:num w:numId="41">
    <w:abstractNumId w:val="13"/>
  </w:num>
  <w:num w:numId="42">
    <w:abstractNumId w:val="33"/>
  </w:num>
  <w:num w:numId="43">
    <w:abstractNumId w:val="27"/>
  </w:num>
  <w:num w:numId="44">
    <w:abstractNumId w:val="25"/>
  </w:num>
  <w:num w:numId="45">
    <w:abstractNumId w:val="10"/>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FB45F71F-B790-4D45-9C14-CD5A8105FB90"/>
    <w:docVar w:name="LW_COVERPAGE_TYPE" w:val="1"/>
    <w:docVar w:name="LW_CROSSREFERENCE" w:val="{SWD(2021) 161 final}"/>
    <w:docVar w:name="LW_DocType" w:val="NORMAL"/>
    <w:docVar w:name="LW_EMISSION" w:val="21.6.2021"/>
    <w:docVar w:name="LW_EMISSION_ISODATE" w:val="2021-06-21"/>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approval of the assessment of the recovery and resilience plan for Slovakia"/>
    <w:docVar w:name="LW_PART_NBR" w:val="1"/>
    <w:docVar w:name="LW_PART_NBR_TOTAL" w:val="1"/>
    <w:docVar w:name="LW_REF.INST.NEW" w:val="COM"/>
    <w:docVar w:name="LW_REF.INST.NEW_ADOPTED" w:val="final"/>
    <w:docVar w:name="LW_REF.INST.NEW_TEXT" w:val="(2021)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Implementing Decision"/>
    <w:docVar w:name="LwApiVersions" w:val="LW4CoDe 1.23.0.0; LW 8.0, Build 20210114"/>
  </w:docVars>
  <w:rsids>
    <w:rsidRoot w:val="00BF6749"/>
    <w:rsid w:val="00BF6749"/>
    <w:rsid w:val="00C87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713B167-7612-4F08-A84D-FCE3912E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5"/>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5"/>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5"/>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5"/>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cs="Times New Roman"/>
      <w:b/>
      <w:bCs/>
      <w:sz w:val="24"/>
      <w:szCs w:val="26"/>
    </w:rPr>
  </w:style>
  <w:style w:type="character" w:customStyle="1" w:styleId="Heading3Char">
    <w:name w:val="Heading 3 Char"/>
    <w:link w:val="Heading3"/>
    <w:uiPriority w:val="9"/>
    <w:semiHidden/>
    <w:rPr>
      <w:rFonts w:ascii="Times New Roman" w:eastAsia="Times New Roman" w:hAnsi="Times New Roman" w:cs="Times New Roman"/>
      <w:bCs/>
      <w:i/>
      <w:sz w:val="24"/>
    </w:rPr>
  </w:style>
  <w:style w:type="character" w:customStyle="1" w:styleId="Heading4Char">
    <w:name w:val="Heading 4 Char"/>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Pr>
      <w:lang w:val="en-US"/>
    </w:rPr>
  </w:style>
  <w:style w:type="character" w:styleId="IntenseEmphasis">
    <w:name w:val="Intense Emphasis"/>
    <w:uiPriority w:val="21"/>
    <w:qFormat/>
    <w:rPr>
      <w:i/>
      <w:iCs/>
      <w:color w:val="4F81BD"/>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
      </w:numPr>
      <w:spacing w:before="120" w:after="120" w:line="240" w:lineRule="auto"/>
      <w:contextualSpacing/>
      <w:jc w:val="both"/>
    </w:pPr>
    <w:rPr>
      <w:rFonts w:ascii="Times New Roman" w:hAnsi="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Revision">
    <w:name w:val="Revision"/>
    <w:hidden/>
    <w:uiPriority w:val="99"/>
    <w:semiHidden/>
    <w:rPr>
      <w:rFonts w:ascii="Times New Roman" w:hAnsi="Times New Roman"/>
      <w:sz w:val="24"/>
      <w:szCs w:val="22"/>
      <w:lang w:eastAsia="en-US"/>
    </w:rPr>
  </w:style>
  <w:style w:type="paragraph" w:styleId="Caption">
    <w:name w:val="caption"/>
    <w:basedOn w:val="Normal"/>
    <w:next w:val="Normal"/>
    <w:uiPriority w:val="35"/>
    <w:semiHidden/>
    <w:unhideWhenUsed/>
    <w:qFormat/>
    <w:pPr>
      <w:spacing w:line="240" w:lineRule="auto"/>
      <w:jc w:val="both"/>
    </w:pPr>
    <w:rPr>
      <w:rFonts w:ascii="Times New Roman" w:hAnsi="Times New Roman"/>
      <w:i/>
      <w:iCs/>
      <w:color w:val="1F497D"/>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sz w:val="24"/>
    </w:rPr>
  </w:style>
  <w:style w:type="paragraph" w:styleId="ListNumber">
    <w:name w:val="List Number"/>
    <w:basedOn w:val="Normal"/>
    <w:uiPriority w:val="99"/>
    <w:semiHidden/>
    <w:unhideWhenUsed/>
    <w:pPr>
      <w:numPr>
        <w:numId w:val="6"/>
      </w:numPr>
      <w:spacing w:before="120" w:after="120" w:line="240" w:lineRule="auto"/>
      <w:contextualSpacing/>
      <w:jc w:val="both"/>
    </w:pPr>
    <w:rPr>
      <w:rFonts w:ascii="Times New Roman" w:hAnsi="Times New Roman"/>
      <w:sz w:val="24"/>
    </w:rPr>
  </w:style>
  <w:style w:type="paragraph" w:styleId="ListNumber2">
    <w:name w:val="List Number 2"/>
    <w:basedOn w:val="Normal"/>
    <w:uiPriority w:val="99"/>
    <w:semiHidden/>
    <w:unhideWhenUsed/>
    <w:pPr>
      <w:numPr>
        <w:numId w:val="7"/>
      </w:numPr>
      <w:spacing w:before="120" w:after="120" w:line="240" w:lineRule="auto"/>
      <w:contextualSpacing/>
      <w:jc w:val="both"/>
    </w:pPr>
    <w:rPr>
      <w:rFonts w:ascii="Times New Roman" w:hAnsi="Times New Roman"/>
      <w:sz w:val="24"/>
    </w:rPr>
  </w:style>
  <w:style w:type="paragraph" w:styleId="ListNumber3">
    <w:name w:val="List Number 3"/>
    <w:basedOn w:val="Normal"/>
    <w:uiPriority w:val="99"/>
    <w:semiHidden/>
    <w:unhideWhenUsed/>
    <w:pPr>
      <w:numPr>
        <w:numId w:val="8"/>
      </w:numPr>
      <w:spacing w:before="120" w:after="120" w:line="240" w:lineRule="auto"/>
      <w:contextualSpacing/>
      <w:jc w:val="both"/>
    </w:pPr>
    <w:rPr>
      <w:rFonts w:ascii="Times New Roman" w:hAnsi="Times New Roman"/>
      <w:sz w:val="24"/>
    </w:rPr>
  </w:style>
  <w:style w:type="paragraph" w:styleId="ListNumber4">
    <w:name w:val="List Number 4"/>
    <w:basedOn w:val="Normal"/>
    <w:uiPriority w:val="99"/>
    <w:semiHidden/>
    <w:unhideWhenUsed/>
    <w:pPr>
      <w:numPr>
        <w:numId w:val="9"/>
      </w:numPr>
      <w:spacing w:before="120" w:after="120" w:line="240" w:lineRule="auto"/>
      <w:contextualSpacing/>
      <w:jc w:val="both"/>
    </w:pPr>
    <w:rPr>
      <w:rFonts w:ascii="Times New Roman" w:hAnsi="Times New Roman"/>
      <w:sz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hAnsi="Times New Roman"/>
      <w:sz w:val="24"/>
    </w:rPr>
  </w:style>
  <w:style w:type="paragraph" w:customStyle="1" w:styleId="Point1number">
    <w:name w:val="Point 1 (number)"/>
    <w:basedOn w:val="Normal"/>
    <w:pPr>
      <w:numPr>
        <w:ilvl w:val="2"/>
        <w:numId w:val="16"/>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6"/>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6"/>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6"/>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6"/>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6"/>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6"/>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6"/>
      </w:numPr>
      <w:spacing w:before="120" w:after="120" w:line="240" w:lineRule="auto"/>
      <w:jc w:val="both"/>
    </w:pPr>
    <w:rPr>
      <w:rFonts w:ascii="Times New Roman" w:hAnsi="Times New Roman"/>
      <w:sz w:val="24"/>
    </w:rPr>
  </w:style>
  <w:style w:type="paragraph" w:customStyle="1" w:styleId="Bullet0">
    <w:name w:val="Bullet 0"/>
    <w:basedOn w:val="Normal"/>
    <w:pPr>
      <w:numPr>
        <w:numId w:val="17"/>
      </w:numPr>
      <w:spacing w:before="120" w:after="120" w:line="240" w:lineRule="auto"/>
      <w:jc w:val="both"/>
    </w:pPr>
    <w:rPr>
      <w:rFonts w:ascii="Times New Roman" w:hAnsi="Times New Roman"/>
      <w:sz w:val="24"/>
    </w:rPr>
  </w:style>
  <w:style w:type="paragraph" w:customStyle="1" w:styleId="Bullet1">
    <w:name w:val="Bullet 1"/>
    <w:basedOn w:val="Normal"/>
    <w:pPr>
      <w:numPr>
        <w:numId w:val="18"/>
      </w:numPr>
      <w:spacing w:before="120" w:after="120" w:line="240" w:lineRule="auto"/>
      <w:jc w:val="both"/>
    </w:pPr>
    <w:rPr>
      <w:rFonts w:ascii="Times New Roman" w:hAnsi="Times New Roman"/>
      <w:sz w:val="24"/>
    </w:rPr>
  </w:style>
  <w:style w:type="paragraph" w:customStyle="1" w:styleId="Bullet2">
    <w:name w:val="Bullet 2"/>
    <w:basedOn w:val="Normal"/>
    <w:pPr>
      <w:numPr>
        <w:numId w:val="19"/>
      </w:numPr>
      <w:spacing w:before="120" w:after="120" w:line="240" w:lineRule="auto"/>
      <w:jc w:val="both"/>
    </w:pPr>
    <w:rPr>
      <w:rFonts w:ascii="Times New Roman" w:hAnsi="Times New Roman"/>
      <w:sz w:val="24"/>
    </w:rPr>
  </w:style>
  <w:style w:type="paragraph" w:customStyle="1" w:styleId="Bullet3">
    <w:name w:val="Bullet 3"/>
    <w:basedOn w:val="Normal"/>
    <w:pPr>
      <w:numPr>
        <w:numId w:val="20"/>
      </w:numPr>
      <w:spacing w:before="120" w:after="120" w:line="240" w:lineRule="auto"/>
      <w:jc w:val="both"/>
    </w:pPr>
    <w:rPr>
      <w:rFonts w:ascii="Times New Roman" w:hAnsi="Times New Roman"/>
      <w:sz w:val="24"/>
    </w:rPr>
  </w:style>
  <w:style w:type="paragraph" w:customStyle="1" w:styleId="Bullet4">
    <w:name w:val="Bullet 4"/>
    <w:basedOn w:val="Normal"/>
    <w:pPr>
      <w:numPr>
        <w:numId w:val="21"/>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after="24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2">
    <w:name w:val="xl72"/>
    <w:basedOn w:val="Normal"/>
    <w:pPr>
      <w:pBdr>
        <w:top w:val="single" w:sz="4" w:space="0" w:color="auto"/>
        <w:left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3">
    <w:name w:val="xl73"/>
    <w:basedOn w:val="Normal"/>
    <w:pPr>
      <w:pBdr>
        <w:top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lang w:val="en-US"/>
    </w:rPr>
  </w:style>
  <w:style w:type="paragraph" w:customStyle="1" w:styleId="xl75">
    <w:name w:val="xl75"/>
    <w:basedOn w:val="Normal"/>
    <w:pPr>
      <w:pBdr>
        <w:top w:val="single" w:sz="4" w:space="0" w:color="auto"/>
        <w:left w:val="single" w:sz="4" w:space="0" w:color="auto"/>
        <w:bottom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6">
    <w:name w:val="xl76"/>
    <w:basedOn w:val="Normal"/>
    <w:pPr>
      <w:pBdr>
        <w:top w:val="single" w:sz="4" w:space="0" w:color="auto"/>
        <w:bottom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7">
    <w:name w:val="xl77"/>
    <w:basedOn w:val="Normal"/>
    <w:pPr>
      <w:pBdr>
        <w:top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8">
    <w:name w:val="xl78"/>
    <w:basedOn w:val="Normal"/>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ascii="Times New Roman" w:eastAsia="Times New Roman" w:hAnsi="Times New Roman"/>
      <w:color w:val="006100"/>
      <w:sz w:val="24"/>
      <w:szCs w:val="24"/>
      <w:lang w:val="en-US"/>
    </w:rPr>
  </w:style>
  <w:style w:type="paragraph" w:customStyle="1" w:styleId="xl80">
    <w:name w:val="xl80"/>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ascii="Times New Roman" w:eastAsia="Times New Roman" w:hAnsi="Times New Roman"/>
      <w:color w:val="006100"/>
      <w:sz w:val="24"/>
      <w:szCs w:val="24"/>
      <w:lang w:val="en-US"/>
    </w:rPr>
  </w:style>
  <w:style w:type="paragraph" w:customStyle="1" w:styleId="xl82">
    <w:name w:val="xl82"/>
    <w:basedOn w:val="Normal"/>
    <w:pPr>
      <w:pBdr>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lang w:val="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ascii="Times New Roman" w:eastAsia="Times New Roman" w:hAnsi="Times New Roman"/>
      <w:color w:val="006100"/>
      <w:sz w:val="24"/>
      <w:szCs w:val="24"/>
      <w:lang w:val="en-US"/>
    </w:rPr>
  </w:style>
  <w:style w:type="paragraph" w:customStyle="1" w:styleId="xl84">
    <w:name w:val="xl84"/>
    <w:basedOn w:val="Normal"/>
    <w:pPr>
      <w:pBdr>
        <w:top w:val="single" w:sz="4" w:space="0" w:color="auto"/>
        <w:left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lang w:val="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ascii="Times New Roman" w:eastAsia="Times New Roman" w:hAnsi="Times New Roman"/>
      <w:color w:val="006100"/>
      <w:sz w:val="24"/>
      <w:szCs w:val="24"/>
      <w:lang w:val="en-US"/>
    </w:rPr>
  </w:style>
  <w:style w:type="paragraph" w:customStyle="1" w:styleId="xl86">
    <w:name w:val="xl86"/>
    <w:basedOn w:val="Normal"/>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7">
    <w:name w:val="xl87"/>
    <w:basedOn w:val="Normal"/>
    <w:pPr>
      <w:pBdr>
        <w:top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88">
    <w:name w:val="xl88"/>
    <w:basedOn w:val="Normal"/>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style>
  <w:style w:type="character" w:customStyle="1" w:styleId="tabchar">
    <w:name w:val="tabchar"/>
    <w:basedOn w:val="DefaultParagraphFont"/>
  </w:style>
  <w:style w:type="paragraph" w:styleId="NormalWeb">
    <w:name w:val="Normal (Web)"/>
    <w:basedOn w:val="Normal"/>
    <w:uiPriority w:val="99"/>
    <w:semiHidden/>
    <w:unhideWhenUsed/>
    <w:pPr>
      <w:spacing w:before="120" w:after="120" w:line="240" w:lineRule="auto"/>
      <w:jc w:val="both"/>
    </w:pPr>
    <w:rPr>
      <w:rFonts w:ascii="Times New Roman"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k-SK" w:eastAsia="sk-SK"/>
    </w:rPr>
  </w:style>
  <w:style w:type="character" w:customStyle="1" w:styleId="HTMLPreformattedChar">
    <w:name w:val="HTML Preformatted Char"/>
    <w:link w:val="HTMLPreformatted"/>
    <w:uiPriority w:val="99"/>
    <w:semiHidden/>
    <w:rPr>
      <w:rFonts w:ascii="Courier New" w:eastAsia="Times New Roman" w:hAnsi="Courier New" w:cs="Courier New"/>
      <w:sz w:val="20"/>
      <w:szCs w:val="20"/>
      <w:lang w:val="sk-SK" w:eastAsia="sk-SK"/>
    </w:rPr>
  </w:style>
  <w:style w:type="table" w:styleId="TableGrid">
    <w:name w:val="Table Grid"/>
    <w:basedOn w:val="TableNormal"/>
    <w:uiPriority w:val="59"/>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0"/>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5073">
      <w:bodyDiv w:val="1"/>
      <w:marLeft w:val="0"/>
      <w:marRight w:val="0"/>
      <w:marTop w:val="0"/>
      <w:marBottom w:val="0"/>
      <w:divBdr>
        <w:top w:val="none" w:sz="0" w:space="0" w:color="auto"/>
        <w:left w:val="none" w:sz="0" w:space="0" w:color="auto"/>
        <w:bottom w:val="none" w:sz="0" w:space="0" w:color="auto"/>
        <w:right w:val="none" w:sz="0" w:space="0" w:color="auto"/>
      </w:divBdr>
    </w:div>
    <w:div w:id="550046156">
      <w:bodyDiv w:val="1"/>
      <w:marLeft w:val="0"/>
      <w:marRight w:val="0"/>
      <w:marTop w:val="0"/>
      <w:marBottom w:val="0"/>
      <w:divBdr>
        <w:top w:val="none" w:sz="0" w:space="0" w:color="auto"/>
        <w:left w:val="none" w:sz="0" w:space="0" w:color="auto"/>
        <w:bottom w:val="none" w:sz="0" w:space="0" w:color="auto"/>
        <w:right w:val="none" w:sz="0" w:space="0" w:color="auto"/>
      </w:divBdr>
    </w:div>
    <w:div w:id="605236040">
      <w:bodyDiv w:val="1"/>
      <w:marLeft w:val="0"/>
      <w:marRight w:val="0"/>
      <w:marTop w:val="0"/>
      <w:marBottom w:val="0"/>
      <w:divBdr>
        <w:top w:val="none" w:sz="0" w:space="0" w:color="auto"/>
        <w:left w:val="none" w:sz="0" w:space="0" w:color="auto"/>
        <w:bottom w:val="none" w:sz="0" w:space="0" w:color="auto"/>
        <w:right w:val="none" w:sz="0" w:space="0" w:color="auto"/>
      </w:divBdr>
    </w:div>
    <w:div w:id="617952145">
      <w:bodyDiv w:val="1"/>
      <w:marLeft w:val="0"/>
      <w:marRight w:val="0"/>
      <w:marTop w:val="0"/>
      <w:marBottom w:val="0"/>
      <w:divBdr>
        <w:top w:val="none" w:sz="0" w:space="0" w:color="auto"/>
        <w:left w:val="none" w:sz="0" w:space="0" w:color="auto"/>
        <w:bottom w:val="none" w:sz="0" w:space="0" w:color="auto"/>
        <w:right w:val="none" w:sz="0" w:space="0" w:color="auto"/>
      </w:divBdr>
    </w:div>
    <w:div w:id="688457106">
      <w:bodyDiv w:val="1"/>
      <w:marLeft w:val="0"/>
      <w:marRight w:val="0"/>
      <w:marTop w:val="0"/>
      <w:marBottom w:val="0"/>
      <w:divBdr>
        <w:top w:val="none" w:sz="0" w:space="0" w:color="auto"/>
        <w:left w:val="none" w:sz="0" w:space="0" w:color="auto"/>
        <w:bottom w:val="none" w:sz="0" w:space="0" w:color="auto"/>
        <w:right w:val="none" w:sz="0" w:space="0" w:color="auto"/>
      </w:divBdr>
    </w:div>
    <w:div w:id="694575399">
      <w:bodyDiv w:val="1"/>
      <w:marLeft w:val="0"/>
      <w:marRight w:val="0"/>
      <w:marTop w:val="0"/>
      <w:marBottom w:val="0"/>
      <w:divBdr>
        <w:top w:val="none" w:sz="0" w:space="0" w:color="auto"/>
        <w:left w:val="none" w:sz="0" w:space="0" w:color="auto"/>
        <w:bottom w:val="none" w:sz="0" w:space="0" w:color="auto"/>
        <w:right w:val="none" w:sz="0" w:space="0" w:color="auto"/>
      </w:divBdr>
    </w:div>
    <w:div w:id="799420005">
      <w:bodyDiv w:val="1"/>
      <w:marLeft w:val="0"/>
      <w:marRight w:val="0"/>
      <w:marTop w:val="0"/>
      <w:marBottom w:val="0"/>
      <w:divBdr>
        <w:top w:val="none" w:sz="0" w:space="0" w:color="auto"/>
        <w:left w:val="none" w:sz="0" w:space="0" w:color="auto"/>
        <w:bottom w:val="none" w:sz="0" w:space="0" w:color="auto"/>
        <w:right w:val="none" w:sz="0" w:space="0" w:color="auto"/>
      </w:divBdr>
    </w:div>
    <w:div w:id="897664336">
      <w:bodyDiv w:val="1"/>
      <w:marLeft w:val="0"/>
      <w:marRight w:val="0"/>
      <w:marTop w:val="0"/>
      <w:marBottom w:val="0"/>
      <w:divBdr>
        <w:top w:val="none" w:sz="0" w:space="0" w:color="auto"/>
        <w:left w:val="none" w:sz="0" w:space="0" w:color="auto"/>
        <w:bottom w:val="none" w:sz="0" w:space="0" w:color="auto"/>
        <w:right w:val="none" w:sz="0" w:space="0" w:color="auto"/>
      </w:divBdr>
    </w:div>
    <w:div w:id="962806410">
      <w:bodyDiv w:val="1"/>
      <w:marLeft w:val="0"/>
      <w:marRight w:val="0"/>
      <w:marTop w:val="0"/>
      <w:marBottom w:val="0"/>
      <w:divBdr>
        <w:top w:val="none" w:sz="0" w:space="0" w:color="auto"/>
        <w:left w:val="none" w:sz="0" w:space="0" w:color="auto"/>
        <w:bottom w:val="none" w:sz="0" w:space="0" w:color="auto"/>
        <w:right w:val="none" w:sz="0" w:space="0" w:color="auto"/>
      </w:divBdr>
    </w:div>
    <w:div w:id="1008752142">
      <w:bodyDiv w:val="1"/>
      <w:marLeft w:val="0"/>
      <w:marRight w:val="0"/>
      <w:marTop w:val="0"/>
      <w:marBottom w:val="0"/>
      <w:divBdr>
        <w:top w:val="none" w:sz="0" w:space="0" w:color="auto"/>
        <w:left w:val="none" w:sz="0" w:space="0" w:color="auto"/>
        <w:bottom w:val="none" w:sz="0" w:space="0" w:color="auto"/>
        <w:right w:val="none" w:sz="0" w:space="0" w:color="auto"/>
      </w:divBdr>
    </w:div>
    <w:div w:id="1027949554">
      <w:bodyDiv w:val="1"/>
      <w:marLeft w:val="0"/>
      <w:marRight w:val="0"/>
      <w:marTop w:val="0"/>
      <w:marBottom w:val="0"/>
      <w:divBdr>
        <w:top w:val="none" w:sz="0" w:space="0" w:color="auto"/>
        <w:left w:val="none" w:sz="0" w:space="0" w:color="auto"/>
        <w:bottom w:val="none" w:sz="0" w:space="0" w:color="auto"/>
        <w:right w:val="none" w:sz="0" w:space="0" w:color="auto"/>
      </w:divBdr>
    </w:div>
    <w:div w:id="1234199675">
      <w:bodyDiv w:val="1"/>
      <w:marLeft w:val="0"/>
      <w:marRight w:val="0"/>
      <w:marTop w:val="0"/>
      <w:marBottom w:val="0"/>
      <w:divBdr>
        <w:top w:val="none" w:sz="0" w:space="0" w:color="auto"/>
        <w:left w:val="none" w:sz="0" w:space="0" w:color="auto"/>
        <w:bottom w:val="none" w:sz="0" w:space="0" w:color="auto"/>
        <w:right w:val="none" w:sz="0" w:space="0" w:color="auto"/>
      </w:divBdr>
    </w:div>
    <w:div w:id="1309477704">
      <w:bodyDiv w:val="1"/>
      <w:marLeft w:val="0"/>
      <w:marRight w:val="0"/>
      <w:marTop w:val="0"/>
      <w:marBottom w:val="0"/>
      <w:divBdr>
        <w:top w:val="none" w:sz="0" w:space="0" w:color="auto"/>
        <w:left w:val="none" w:sz="0" w:space="0" w:color="auto"/>
        <w:bottom w:val="none" w:sz="0" w:space="0" w:color="auto"/>
        <w:right w:val="none" w:sz="0" w:space="0" w:color="auto"/>
      </w:divBdr>
    </w:div>
    <w:div w:id="1397902122">
      <w:bodyDiv w:val="1"/>
      <w:marLeft w:val="0"/>
      <w:marRight w:val="0"/>
      <w:marTop w:val="0"/>
      <w:marBottom w:val="0"/>
      <w:divBdr>
        <w:top w:val="none" w:sz="0" w:space="0" w:color="auto"/>
        <w:left w:val="none" w:sz="0" w:space="0" w:color="auto"/>
        <w:bottom w:val="none" w:sz="0" w:space="0" w:color="auto"/>
        <w:right w:val="none" w:sz="0" w:space="0" w:color="auto"/>
      </w:divBdr>
    </w:div>
    <w:div w:id="1489974430">
      <w:bodyDiv w:val="1"/>
      <w:marLeft w:val="0"/>
      <w:marRight w:val="0"/>
      <w:marTop w:val="0"/>
      <w:marBottom w:val="0"/>
      <w:divBdr>
        <w:top w:val="none" w:sz="0" w:space="0" w:color="auto"/>
        <w:left w:val="none" w:sz="0" w:space="0" w:color="auto"/>
        <w:bottom w:val="none" w:sz="0" w:space="0" w:color="auto"/>
        <w:right w:val="none" w:sz="0" w:space="0" w:color="auto"/>
      </w:divBdr>
    </w:div>
    <w:div w:id="1535079011">
      <w:bodyDiv w:val="1"/>
      <w:marLeft w:val="0"/>
      <w:marRight w:val="0"/>
      <w:marTop w:val="0"/>
      <w:marBottom w:val="0"/>
      <w:divBdr>
        <w:top w:val="none" w:sz="0" w:space="0" w:color="auto"/>
        <w:left w:val="none" w:sz="0" w:space="0" w:color="auto"/>
        <w:bottom w:val="none" w:sz="0" w:space="0" w:color="auto"/>
        <w:right w:val="none" w:sz="0" w:space="0" w:color="auto"/>
      </w:divBdr>
    </w:div>
    <w:div w:id="1616062013">
      <w:bodyDiv w:val="1"/>
      <w:marLeft w:val="0"/>
      <w:marRight w:val="0"/>
      <w:marTop w:val="0"/>
      <w:marBottom w:val="0"/>
      <w:divBdr>
        <w:top w:val="none" w:sz="0" w:space="0" w:color="auto"/>
        <w:left w:val="none" w:sz="0" w:space="0" w:color="auto"/>
        <w:bottom w:val="none" w:sz="0" w:space="0" w:color="auto"/>
        <w:right w:val="none" w:sz="0" w:space="0" w:color="auto"/>
      </w:divBdr>
    </w:div>
    <w:div w:id="1735202314">
      <w:bodyDiv w:val="1"/>
      <w:marLeft w:val="0"/>
      <w:marRight w:val="0"/>
      <w:marTop w:val="0"/>
      <w:marBottom w:val="0"/>
      <w:divBdr>
        <w:top w:val="none" w:sz="0" w:space="0" w:color="auto"/>
        <w:left w:val="none" w:sz="0" w:space="0" w:color="auto"/>
        <w:bottom w:val="none" w:sz="0" w:space="0" w:color="auto"/>
        <w:right w:val="none" w:sz="0" w:space="0" w:color="auto"/>
      </w:divBdr>
    </w:div>
    <w:div w:id="1851329101">
      <w:bodyDiv w:val="1"/>
      <w:marLeft w:val="0"/>
      <w:marRight w:val="0"/>
      <w:marTop w:val="0"/>
      <w:marBottom w:val="0"/>
      <w:divBdr>
        <w:top w:val="none" w:sz="0" w:space="0" w:color="auto"/>
        <w:left w:val="none" w:sz="0" w:space="0" w:color="auto"/>
        <w:bottom w:val="none" w:sz="0" w:space="0" w:color="auto"/>
        <w:right w:val="none" w:sz="0" w:space="0" w:color="auto"/>
      </w:divBdr>
    </w:div>
    <w:div w:id="1874416107">
      <w:bodyDiv w:val="1"/>
      <w:marLeft w:val="0"/>
      <w:marRight w:val="0"/>
      <w:marTop w:val="0"/>
      <w:marBottom w:val="0"/>
      <w:divBdr>
        <w:top w:val="none" w:sz="0" w:space="0" w:color="auto"/>
        <w:left w:val="none" w:sz="0" w:space="0" w:color="auto"/>
        <w:bottom w:val="none" w:sz="0" w:space="0" w:color="auto"/>
        <w:right w:val="none" w:sz="0" w:space="0" w:color="auto"/>
      </w:divBdr>
    </w:div>
    <w:div w:id="1950431679">
      <w:bodyDiv w:val="1"/>
      <w:marLeft w:val="0"/>
      <w:marRight w:val="0"/>
      <w:marTop w:val="0"/>
      <w:marBottom w:val="0"/>
      <w:divBdr>
        <w:top w:val="none" w:sz="0" w:space="0" w:color="auto"/>
        <w:left w:val="none" w:sz="0" w:space="0" w:color="auto"/>
        <w:bottom w:val="none" w:sz="0" w:space="0" w:color="auto"/>
        <w:right w:val="none" w:sz="0" w:space="0" w:color="auto"/>
      </w:divBdr>
    </w:div>
    <w:div w:id="2001300785">
      <w:bodyDiv w:val="1"/>
      <w:marLeft w:val="0"/>
      <w:marRight w:val="0"/>
      <w:marTop w:val="0"/>
      <w:marBottom w:val="0"/>
      <w:divBdr>
        <w:top w:val="none" w:sz="0" w:space="0" w:color="auto"/>
        <w:left w:val="none" w:sz="0" w:space="0" w:color="auto"/>
        <w:bottom w:val="none" w:sz="0" w:space="0" w:color="auto"/>
        <w:right w:val="none" w:sz="0" w:space="0" w:color="auto"/>
      </w:divBdr>
    </w:div>
    <w:div w:id="2009627114">
      <w:bodyDiv w:val="1"/>
      <w:marLeft w:val="0"/>
      <w:marRight w:val="0"/>
      <w:marTop w:val="0"/>
      <w:marBottom w:val="0"/>
      <w:divBdr>
        <w:top w:val="none" w:sz="0" w:space="0" w:color="auto"/>
        <w:left w:val="none" w:sz="0" w:space="0" w:color="auto"/>
        <w:bottom w:val="none" w:sz="0" w:space="0" w:color="auto"/>
        <w:right w:val="none" w:sz="0" w:space="0" w:color="auto"/>
      </w:divBdr>
    </w:div>
    <w:div w:id="21199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theme" Target="theme/theme1.xml"/><Relationship Id="rId107" Type="http://schemas.openxmlformats.org/officeDocument/2006/relationships/footer" Target="footer48.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08" Type="http://schemas.openxmlformats.org/officeDocument/2006/relationships/header" Target="header49.xml"/><Relationship Id="rId124" Type="http://schemas.openxmlformats.org/officeDocument/2006/relationships/header" Target="header57.xml"/><Relationship Id="rId129" Type="http://schemas.openxmlformats.org/officeDocument/2006/relationships/footer" Target="footer59.xml"/><Relationship Id="rId54" Type="http://schemas.openxmlformats.org/officeDocument/2006/relationships/header" Target="header22.xml"/><Relationship Id="rId70" Type="http://schemas.openxmlformats.org/officeDocument/2006/relationships/header" Target="head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40" Type="http://schemas.openxmlformats.org/officeDocument/2006/relationships/footer" Target="footer64.xml"/><Relationship Id="rId145" Type="http://schemas.openxmlformats.org/officeDocument/2006/relationships/header" Target="header68.xml"/><Relationship Id="rId161" Type="http://schemas.openxmlformats.org/officeDocument/2006/relationships/footer" Target="footer75.xml"/><Relationship Id="rId166" Type="http://schemas.openxmlformats.org/officeDocument/2006/relationships/header" Target="header78.xml"/><Relationship Id="rId182" Type="http://schemas.openxmlformats.org/officeDocument/2006/relationships/footer" Target="footer85.xml"/><Relationship Id="rId187" Type="http://schemas.openxmlformats.org/officeDocument/2006/relationships/header" Target="header89.xml"/><Relationship Id="rId217" Type="http://schemas.openxmlformats.org/officeDocument/2006/relationships/header" Target="header104.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footer" Target="footer100.xml"/><Relationship Id="rId233" Type="http://schemas.openxmlformats.org/officeDocument/2006/relationships/footer" Target="footer111.xml"/><Relationship Id="rId238" Type="http://schemas.openxmlformats.org/officeDocument/2006/relationships/header" Target="header114.xml"/><Relationship Id="rId23" Type="http://schemas.openxmlformats.org/officeDocument/2006/relationships/footer" Target="footer6.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119" Type="http://schemas.openxmlformats.org/officeDocument/2006/relationships/footer" Target="footer54.xml"/><Relationship Id="rId44"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0" Type="http://schemas.openxmlformats.org/officeDocument/2006/relationships/header" Target="header60.xml"/><Relationship Id="rId135" Type="http://schemas.openxmlformats.org/officeDocument/2006/relationships/footer" Target="footer62.xml"/><Relationship Id="rId151" Type="http://schemas.openxmlformats.org/officeDocument/2006/relationships/header" Target="header71.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172" Type="http://schemas.openxmlformats.org/officeDocument/2006/relationships/header" Target="header81.xml"/><Relationship Id="rId193" Type="http://schemas.openxmlformats.org/officeDocument/2006/relationships/header" Target="header92.xml"/><Relationship Id="rId202" Type="http://schemas.openxmlformats.org/officeDocument/2006/relationships/header" Target="header96.xml"/><Relationship Id="rId207" Type="http://schemas.openxmlformats.org/officeDocument/2006/relationships/footer" Target="footer98.xml"/><Relationship Id="rId223" Type="http://schemas.openxmlformats.org/officeDocument/2006/relationships/header" Target="header107.xml"/><Relationship Id="rId228" Type="http://schemas.openxmlformats.org/officeDocument/2006/relationships/header" Target="header109.xml"/><Relationship Id="rId244" Type="http://schemas.openxmlformats.org/officeDocument/2006/relationships/header" Target="header117.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50.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header" Target="header55.xml"/><Relationship Id="rId125" Type="http://schemas.openxmlformats.org/officeDocument/2006/relationships/footer" Target="footer57.xml"/><Relationship Id="rId141" Type="http://schemas.openxmlformats.org/officeDocument/2006/relationships/footer" Target="footer65.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footer" Target="footer40.xml"/><Relationship Id="rId162" Type="http://schemas.openxmlformats.org/officeDocument/2006/relationships/header" Target="header76.xml"/><Relationship Id="rId183" Type="http://schemas.openxmlformats.org/officeDocument/2006/relationships/footer" Target="footer86.xml"/><Relationship Id="rId213" Type="http://schemas.openxmlformats.org/officeDocument/2006/relationships/footer" Target="footer101.xml"/><Relationship Id="rId218" Type="http://schemas.openxmlformats.org/officeDocument/2006/relationships/footer" Target="footer103.xml"/><Relationship Id="rId234" Type="http://schemas.openxmlformats.org/officeDocument/2006/relationships/header" Target="header112.xml"/><Relationship Id="rId239" Type="http://schemas.openxmlformats.org/officeDocument/2006/relationships/footer" Target="footer114.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header" Target="header53.xml"/><Relationship Id="rId131" Type="http://schemas.openxmlformats.org/officeDocument/2006/relationships/footer" Target="footer60.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61" Type="http://schemas.openxmlformats.org/officeDocument/2006/relationships/header" Target="header26.xml"/><Relationship Id="rId82" Type="http://schemas.openxmlformats.org/officeDocument/2006/relationships/header" Target="header36.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199" Type="http://schemas.openxmlformats.org/officeDocument/2006/relationships/header" Target="header95.xml"/><Relationship Id="rId203" Type="http://schemas.openxmlformats.org/officeDocument/2006/relationships/footer" Target="footer96.xml"/><Relationship Id="rId208" Type="http://schemas.openxmlformats.org/officeDocument/2006/relationships/header" Target="header99.xml"/><Relationship Id="rId229" Type="http://schemas.openxmlformats.org/officeDocument/2006/relationships/header" Target="header110.xml"/><Relationship Id="rId19" Type="http://schemas.openxmlformats.org/officeDocument/2006/relationships/header" Target="header5.xml"/><Relationship Id="rId224" Type="http://schemas.openxmlformats.org/officeDocument/2006/relationships/footer" Target="footer106.xml"/><Relationship Id="rId240" Type="http://schemas.openxmlformats.org/officeDocument/2006/relationships/header" Target="header115.xml"/><Relationship Id="rId245" Type="http://schemas.openxmlformats.org/officeDocument/2006/relationships/footer" Target="footer117.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customXml" Target="../customXml/item3.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header" Target="header116.xml"/><Relationship Id="rId246"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48" Type="http://schemas.openxmlformats.org/officeDocument/2006/relationships/header" Target="header69.xml"/><Relationship Id="rId164" Type="http://schemas.openxmlformats.org/officeDocument/2006/relationships/footer" Target="footer76.xml"/><Relationship Id="rId169" Type="http://schemas.openxmlformats.org/officeDocument/2006/relationships/header" Target="header80.xml"/><Relationship Id="rId185" Type="http://schemas.openxmlformats.org/officeDocument/2006/relationships/footer" Target="footer8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2.xml"/><Relationship Id="rId236" Type="http://schemas.openxmlformats.org/officeDocument/2006/relationships/footer" Target="footer112.xml"/><Relationship Id="rId26" Type="http://schemas.openxmlformats.org/officeDocument/2006/relationships/footer" Target="footer7.xml"/><Relationship Id="rId231" Type="http://schemas.openxmlformats.org/officeDocument/2006/relationships/footer" Target="footer110.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header" Target="header101.xml"/><Relationship Id="rId232" Type="http://schemas.openxmlformats.org/officeDocument/2006/relationships/header" Target="header111.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TRANSFERRED_BY xmlns="AA0C4121-4F5B-4B36-B887-483EE459F216" xsi:nil="true"/>
    <EC_ARES_NUMBER xmlns="AA0C4121-4F5B-4B36-B887-483EE459F216">
      <Url xsi:nil="true"/>
      <Description xsi:nil="true"/>
    </EC_ARES_NUMBER>
    <EC_Collab_Status xmlns="AA0C4121-4F5B-4B36-B887-483EE459F216">Not Started</EC_Collab_Status>
    <_Status xmlns="http://schemas.microsoft.com/sharepoint/v3/fields">Not Started</_Status>
    <EC_ARES_DATE_TRANSFERRED xmlns="AA0C4121-4F5B-4B36-B887-483EE459F216" xsi:nil="true"/>
    <EC_Collab_Reference xmlns="AA0C4121-4F5B-4B36-B887-483EE459F216" xsi:nil="true"/>
    <EC_Collab_DocumentLanguage xmlns="AA0C4121-4F5B-4B36-B887-483EE459F21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BD26BE1A827574981DDDB018F76E185" ma:contentTypeVersion="0" ma:contentTypeDescription="Create a new document in this library." ma:contentTypeScope="" ma:versionID="86bf8b1a6c3adb6ea72162a6a5ae5115">
  <xsd:schema xmlns:xsd="http://www.w3.org/2001/XMLSchema" xmlns:xs="http://www.w3.org/2001/XMLSchema" xmlns:p="http://schemas.microsoft.com/office/2006/metadata/properties" xmlns:ns2="http://schemas.microsoft.com/sharepoint/v3/fields" xmlns:ns3="AA0C4121-4F5B-4B36-B887-483EE459F216" targetNamespace="http://schemas.microsoft.com/office/2006/metadata/properties" ma:root="true" ma:fieldsID="75794ce3a3bdfcb28256da7678b4dd51" ns2:_="" ns3:_="">
    <xsd:import namespace="http://schemas.microsoft.com/sharepoint/v3/fields"/>
    <xsd:import namespace="AA0C4121-4F5B-4B36-B887-483EE459F21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0C4121-4F5B-4B36-B887-483EE459F21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DD6B-0B28-4736-A80E-9652F1142B07}">
  <ds:schemaRefs>
    <ds:schemaRef ds:uri="http://schemas.microsoft.com/office/2006/metadata/properties"/>
    <ds:schemaRef ds:uri="http://schemas.microsoft.com/office/infopath/2007/PartnerControls"/>
    <ds:schemaRef ds:uri="AA0C4121-4F5B-4B36-B887-483EE459F216"/>
    <ds:schemaRef ds:uri="http://schemas.microsoft.com/sharepoint/v3/fields"/>
  </ds:schemaRefs>
</ds:datastoreItem>
</file>

<file path=customXml/itemProps2.xml><?xml version="1.0" encoding="utf-8"?>
<ds:datastoreItem xmlns:ds="http://schemas.openxmlformats.org/officeDocument/2006/customXml" ds:itemID="{08439633-D1E3-4117-B84E-2D967589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0C4121-4F5B-4B36-B887-483EE459F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29600-5448-4A1D-A081-8FA68211A0E2}">
  <ds:schemaRefs>
    <ds:schemaRef ds:uri="http://schemas.microsoft.com/sharepoint/v3/contenttype/forms"/>
  </ds:schemaRefs>
</ds:datastoreItem>
</file>

<file path=customXml/itemProps4.xml><?xml version="1.0" encoding="utf-8"?>
<ds:datastoreItem xmlns:ds="http://schemas.openxmlformats.org/officeDocument/2006/customXml" ds:itemID="{E785BA3A-13F3-4454-8821-7D14B6C5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186</Pages>
  <Words>53145</Words>
  <Characters>309838</Characters>
  <Application>Microsoft Office Word</Application>
  <DocSecurity>0</DocSecurity>
  <Lines>14083</Lines>
  <Paragraphs>4373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PASCUAL IBANEZ Noelia (SG)</cp:lastModifiedBy>
  <cp:revision>23</cp:revision>
  <dcterms:created xsi:type="dcterms:W3CDTF">2021-06-15T15:26:00Z</dcterms:created>
  <dcterms:modified xsi:type="dcterms:W3CDTF">2021-06-21T11:15:00Z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7.0.1, Build 20200226</vt:lpwstr>
  </property>
  <property fmtid="{D5CDD505-2E9C-101B-9397-08002B2CF9AE}" pid="10" name="Created using">
    <vt:lpwstr>LW 7.0.1, Build 20200226</vt:lpwstr>
  </property>
  <property fmtid="{D5CDD505-2E9C-101B-9397-08002B2CF9AE}" pid="11" name="_LW_INVALIDATED__LW_INVALIDATED_ContentTypeId">
    <vt:lpwstr>0x010100258AA79CEB83498886A3A08681123250008BD26BE1A827574981DDDB018F76E185</vt:lpwstr>
  </property>
</Properties>
</file>