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6A" w:rsidRDefault="00D5307E" w:rsidP="00D5307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0E1C324-E25D-43B5-8E22-8EBBAA49A24E" style="width:450.85pt;height:379.95pt">
            <v:imagedata r:id="rId11" o:title=""/>
          </v:shape>
        </w:pict>
      </w:r>
    </w:p>
    <w:bookmarkEnd w:id="0"/>
    <w:p w:rsidR="00D4086A" w:rsidRDefault="00D4086A">
      <w:pPr>
        <w:rPr>
          <w:noProof/>
        </w:rPr>
        <w:sectPr w:rsidR="00D4086A" w:rsidSect="00D5307E">
          <w:headerReference w:type="even" r:id="rId12"/>
          <w:headerReference w:type="default" r:id="rId13"/>
          <w:footerReference w:type="even" r:id="rId14"/>
          <w:footerReference w:type="default" r:id="rId15"/>
          <w:headerReference w:type="first" r:id="rId16"/>
          <w:footerReference w:type="first" r:id="rId17"/>
          <w:pgSz w:w="11907" w:h="16839" w:code="9"/>
          <w:pgMar w:top="1134" w:right="1417" w:bottom="1134" w:left="1417" w:header="709" w:footer="709" w:gutter="0"/>
          <w:pgNumType w:start="0"/>
          <w:cols w:space="720"/>
          <w:docGrid w:linePitch="360"/>
        </w:sectPr>
      </w:pPr>
    </w:p>
    <w:p w:rsidR="00D4086A" w:rsidRDefault="00D5307E">
      <w:pPr>
        <w:keepNext/>
        <w:spacing w:before="360" w:after="120" w:line="240" w:lineRule="auto"/>
        <w:jc w:val="center"/>
        <w:rPr>
          <w:rFonts w:ascii="Times New Roman" w:eastAsia="Times New Roman" w:hAnsi="Times New Roman"/>
          <w:b/>
          <w:bCs/>
          <w:noProof/>
          <w:color w:val="000000"/>
          <w:sz w:val="24"/>
          <w:szCs w:val="24"/>
          <w:u w:val="single"/>
        </w:rPr>
      </w:pPr>
      <w:r>
        <w:rPr>
          <w:rFonts w:ascii="Times New Roman" w:hAnsi="Times New Roman"/>
          <w:b/>
          <w:bCs/>
          <w:noProof/>
          <w:color w:val="000000"/>
          <w:sz w:val="24"/>
          <w:szCs w:val="24"/>
          <w:u w:val="single"/>
        </w:rPr>
        <w:lastRenderedPageBreak/>
        <w:t>ПРИЛОЖЕНИЕ</w:t>
      </w:r>
    </w:p>
    <w:p w:rsidR="00D4086A" w:rsidRDefault="00D5307E">
      <w:pPr>
        <w:keepNext/>
        <w:spacing w:before="120" w:after="120" w:line="240" w:lineRule="auto"/>
        <w:jc w:val="both"/>
        <w:rPr>
          <w:rFonts w:ascii="Times New Roman" w:eastAsia="Times New Roman" w:hAnsi="Times New Roman"/>
          <w:b/>
          <w:bCs/>
          <w:noProof/>
          <w:color w:val="000000"/>
          <w:sz w:val="24"/>
          <w:szCs w:val="24"/>
        </w:rPr>
      </w:pPr>
      <w:r>
        <w:rPr>
          <w:rFonts w:ascii="Times New Roman" w:hAnsi="Times New Roman"/>
          <w:b/>
          <w:bCs/>
          <w:noProof/>
          <w:color w:val="000000"/>
          <w:sz w:val="24"/>
          <w:szCs w:val="24"/>
        </w:rPr>
        <w:t>РАЗДЕЛ 1: РЕФОРМИ И ИНВЕСТИЦИИ В РАМКИТЕ НА ПЛАНА ЗА ВЪЗСТАНОВЯВАНЕ И УСТОЙЧИВОСТ</w:t>
      </w:r>
    </w:p>
    <w:p w:rsidR="00D4086A" w:rsidRDefault="00D5307E">
      <w:pPr>
        <w:keepNext/>
        <w:spacing w:before="120" w:after="120" w:line="240" w:lineRule="auto"/>
        <w:jc w:val="both"/>
        <w:rPr>
          <w:rFonts w:ascii="Times New Roman" w:eastAsia="Times New Roman" w:hAnsi="Times New Roman"/>
          <w:b/>
          <w:noProof/>
          <w:color w:val="000000"/>
          <w:sz w:val="24"/>
          <w:szCs w:val="24"/>
        </w:rPr>
      </w:pPr>
      <w:r>
        <w:rPr>
          <w:rFonts w:ascii="Times New Roman" w:hAnsi="Times New Roman"/>
          <w:b/>
          <w:bCs/>
          <w:noProof/>
          <w:color w:val="000000"/>
          <w:sz w:val="24"/>
          <w:szCs w:val="24"/>
        </w:rPr>
        <w:t>1. Описание на реформите и инвестициите</w:t>
      </w:r>
    </w:p>
    <w:p w:rsidR="00D4086A" w:rsidRDefault="00D5307E">
      <w:pPr>
        <w:keepNext/>
        <w:tabs>
          <w:tab w:val="left" w:pos="850"/>
        </w:tabs>
        <w:spacing w:before="12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КОМПОНЕНТ 1: </w:t>
      </w:r>
      <w:r>
        <w:rPr>
          <w:rFonts w:ascii="Times New Roman" w:hAnsi="Times New Roman"/>
          <w:b/>
          <w:smallCaps/>
          <w:noProof/>
          <w:sz w:val="24"/>
        </w:rPr>
        <w:t>Възобновяеми енергийни източници и енергийна инфраструктура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Целта на компонента „възобновяеми енергийни източници и енергийна инфраструктура“ от словашкия план за възстановяване и устойчивост е да допринесе пряко за постигането на целите в областта на изменението на климата за 2030 г. Съгласно словашкия национален </w:t>
      </w:r>
      <w:r>
        <w:rPr>
          <w:rFonts w:ascii="Times New Roman" w:hAnsi="Times New Roman"/>
          <w:noProof/>
          <w:sz w:val="24"/>
          <w:szCs w:val="24"/>
        </w:rPr>
        <w:t xml:space="preserve">план в областта на енергетиката и климата постигането на целите в областта на климата изисква значително преминаване към възобновяеми енергийни източници в енергийния микс на Словакия. </w:t>
      </w:r>
    </w:p>
    <w:p w:rsidR="00D4086A" w:rsidRDefault="00D5307E">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В този контекст този компонент на словашкия план за възстановяване и у</w:t>
      </w:r>
      <w:r>
        <w:rPr>
          <w:rFonts w:ascii="Times New Roman" w:hAnsi="Times New Roman"/>
          <w:noProof/>
          <w:color w:val="000000"/>
          <w:sz w:val="24"/>
          <w:szCs w:val="24"/>
          <w:shd w:val="clear" w:color="auto" w:fill="FFFFFF"/>
        </w:rPr>
        <w:t>стойчивост има за цел да подкрепи по-бързото разгръщане на инвестициите в енергия от възобновяеми източници. С оглед на тази цел реформите ще модернизират словашкия пазар на електроенергия и ще създадат подходяща законодателна среда. Законодателните измене</w:t>
      </w:r>
      <w:r>
        <w:rPr>
          <w:rFonts w:ascii="Times New Roman" w:hAnsi="Times New Roman"/>
          <w:noProof/>
          <w:color w:val="000000"/>
          <w:sz w:val="24"/>
          <w:szCs w:val="24"/>
          <w:shd w:val="clear" w:color="auto" w:fill="FFFFFF"/>
        </w:rPr>
        <w:t>ния следва по-специално да подобрят достъпа на нови участници на пазара, да повишат сигурността и доверието в мерките за държавна подкрепа и да подобрят интегрирането на възобновяемите енергийни източници в словашката електроенергийна мрежа. Инвестиционнат</w:t>
      </w:r>
      <w:r>
        <w:rPr>
          <w:rFonts w:ascii="Times New Roman" w:hAnsi="Times New Roman"/>
          <w:noProof/>
          <w:color w:val="000000"/>
          <w:sz w:val="24"/>
          <w:szCs w:val="24"/>
          <w:shd w:val="clear" w:color="auto" w:fill="FFFFFF"/>
        </w:rPr>
        <w:t xml:space="preserve">а подкрепа се насочва за увеличаване на капацитета на нови възобновяеми източници, както и за увеличаване на мощността на съществуващи инсталации за производство на енергия от възобновяеми източници, включително модернизация на централи за производство на </w:t>
      </w:r>
      <w:r>
        <w:rPr>
          <w:rFonts w:ascii="Times New Roman" w:hAnsi="Times New Roman"/>
          <w:noProof/>
          <w:color w:val="000000"/>
          <w:sz w:val="24"/>
          <w:szCs w:val="24"/>
          <w:shd w:val="clear" w:color="auto" w:fill="FFFFFF"/>
        </w:rPr>
        <w:t>биогаз и водноелектрически централи. Инвестициите за увеличаване на гъвкавостта на електроенергийната мрежа включват подкрепа за нови съоръжения за съхранение на батерии, включително решения на основата на водород, както и за увеличаване на капацитета за б</w:t>
      </w:r>
      <w:r>
        <w:rPr>
          <w:rFonts w:ascii="Times New Roman" w:hAnsi="Times New Roman"/>
          <w:noProof/>
          <w:color w:val="000000"/>
          <w:sz w:val="24"/>
          <w:szCs w:val="24"/>
          <w:shd w:val="clear" w:color="auto" w:fill="FFFFFF"/>
        </w:rPr>
        <w:t xml:space="preserve">алансиране на електроенергията на водноелектрическите инсталации. </w:t>
      </w:r>
    </w:p>
    <w:p w:rsidR="00D4086A" w:rsidRDefault="00D5307E">
      <w:pPr>
        <w:spacing w:before="120" w:after="120" w:line="240" w:lineRule="auto"/>
        <w:jc w:val="both"/>
        <w:rPr>
          <w:rFonts w:ascii="Times New Roman" w:hAnsi="Times New Roman"/>
          <w:noProof/>
          <w:color w:val="000000"/>
          <w:sz w:val="24"/>
          <w:shd w:val="clear" w:color="auto" w:fill="FFFFFF"/>
        </w:rPr>
      </w:pPr>
      <w:r>
        <w:rPr>
          <w:rFonts w:ascii="Times New Roman" w:hAnsi="Times New Roman"/>
          <w:noProof/>
          <w:color w:val="000000"/>
          <w:sz w:val="24"/>
          <w:szCs w:val="24"/>
          <w:shd w:val="clear" w:color="auto" w:fill="FFFFFF"/>
        </w:rPr>
        <w:t xml:space="preserve">Компонентът включва две реформи и три инвестиции.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Тези мерки допринасят за постигането на целта за екологичен преход и неутралност по отношение на климата, както и за изпълнението на ангаж</w:t>
      </w:r>
      <w:r>
        <w:rPr>
          <w:rFonts w:ascii="Times New Roman" w:hAnsi="Times New Roman"/>
          <w:noProof/>
          <w:sz w:val="24"/>
          <w:szCs w:val="24"/>
        </w:rPr>
        <w:t>иментите на Словакия по националния план в областта на енергетиката и климата. Този компонент укрепва стратегическата автономност и сигурност на Словакия чрез увеличаване на дела на вътрешните енергийни източници, тъй като вносът от трети държави представл</w:t>
      </w:r>
      <w:r>
        <w:rPr>
          <w:rFonts w:ascii="Times New Roman" w:hAnsi="Times New Roman"/>
          <w:noProof/>
          <w:sz w:val="24"/>
          <w:szCs w:val="24"/>
        </w:rPr>
        <w:t xml:space="preserve">ява значителна част от нейното потребление. Инвестициите допринасят за създаването на работни места на местно равнище, включително за сектора на МСП.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Очаква се, че нито една мярка в този компонент не вреди в значителна степен на екологичните цели по смисъ</w:t>
      </w:r>
      <w:r>
        <w:rPr>
          <w:rFonts w:ascii="Times New Roman" w:hAnsi="Times New Roman"/>
          <w:noProof/>
          <w:sz w:val="24"/>
          <w:szCs w:val="24"/>
        </w:rPr>
        <w:t xml:space="preserve">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на DNSH (2021/C58/01).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Инвестициите и </w:t>
      </w:r>
      <w:r>
        <w:rPr>
          <w:rFonts w:ascii="Times New Roman" w:hAnsi="Times New Roman"/>
          <w:noProof/>
          <w:sz w:val="24"/>
          <w:szCs w:val="24"/>
        </w:rPr>
        <w:t>реформите ще допринесат за изпълнението на специфичната за държавата препоръка, предадена на Словакия през 2020 г., относно необходимостта от „насочване на инвестициите към екологичния преход към цифрови технологии, по-специално върху чистото и ефективно п</w:t>
      </w:r>
      <w:r>
        <w:rPr>
          <w:rFonts w:ascii="Times New Roman" w:hAnsi="Times New Roman"/>
          <w:noProof/>
          <w:sz w:val="24"/>
          <w:szCs w:val="24"/>
        </w:rPr>
        <w:t>роизводство и използване на енергия и ресурси“ (специфична за всяка държава препоръка 3/2020).</w:t>
      </w:r>
    </w:p>
    <w:p w:rsidR="00D4086A" w:rsidRDefault="00D5307E">
      <w:pPr>
        <w:rPr>
          <w:rFonts w:ascii="Times New Roman" w:hAnsi="Times New Roman"/>
          <w:noProof/>
          <w:spacing w:val="-4"/>
          <w:sz w:val="24"/>
        </w:rPr>
      </w:pPr>
      <w:r>
        <w:rPr>
          <w:noProof/>
        </w:rPr>
        <w:br w:type="page"/>
      </w:r>
      <w:r>
        <w:rPr>
          <w:rFonts w:ascii="Times New Roman" w:hAnsi="Times New Roman"/>
          <w:b/>
          <w:bCs/>
          <w:noProof/>
          <w:spacing w:val="-4"/>
          <w:sz w:val="24"/>
          <w:u w:val="single"/>
        </w:rPr>
        <w:t xml:space="preserve">A.1. </w:t>
      </w:r>
      <w:r>
        <w:rPr>
          <w:rFonts w:ascii="Times New Roman" w:hAnsi="Times New Roman"/>
          <w:noProof/>
          <w:spacing w:val="-4"/>
          <w:sz w:val="24"/>
        </w:rPr>
        <w:tab/>
      </w:r>
      <w:r>
        <w:rPr>
          <w:rFonts w:ascii="Times New Roman" w:hAnsi="Times New Roman"/>
          <w:b/>
          <w:bCs/>
          <w:noProof/>
          <w:spacing w:val="-4"/>
          <w:sz w:val="24"/>
          <w:u w:val="single"/>
        </w:rPr>
        <w:t>Описание на реформите и инвестициите за безвъзмездна финансова подкрепа</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Реформа 1: Адаптиране на правната рамка в областта на електроенергията</w:t>
      </w:r>
      <w:r>
        <w:rPr>
          <w:rFonts w:ascii="Times New Roman" w:hAnsi="Times New Roman"/>
          <w:noProof/>
          <w:sz w:val="24"/>
        </w:rPr>
        <w:t xml:space="preserve">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Целта на р</w:t>
      </w:r>
      <w:r>
        <w:rPr>
          <w:rFonts w:ascii="Times New Roman" w:hAnsi="Times New Roman"/>
          <w:noProof/>
          <w:sz w:val="24"/>
          <w:szCs w:val="24"/>
        </w:rPr>
        <w:t>еформата е да се подобри правната рамка на словашкия пазар на електроенергия чрез изменение на Закон 251/2012 Сб. за енергетиката и Закон 250/2012 Сб. относно регулирането в мрежовите индустрии в съответствие с изискванията на Директива 2019/944. Освен тов</w:t>
      </w:r>
      <w:r>
        <w:rPr>
          <w:rFonts w:ascii="Times New Roman" w:hAnsi="Times New Roman"/>
          <w:noProof/>
          <w:sz w:val="24"/>
          <w:szCs w:val="24"/>
        </w:rPr>
        <w:t>а адаптираната правна структура ще улесни новите дейности и достъпа на участниците до пазара на електроенергия (енергийни общности, агрегатори, потребители на собствена електроенергия, съхранение на електроенергия), като същевременно увеличава цялостната г</w:t>
      </w:r>
      <w:r>
        <w:rPr>
          <w:rFonts w:ascii="Times New Roman" w:hAnsi="Times New Roman"/>
          <w:noProof/>
          <w:sz w:val="24"/>
          <w:szCs w:val="24"/>
        </w:rPr>
        <w:t xml:space="preserve">ъвкавост на електроенергийната система и подобрява възможностите за свързване на нови възобновяеми енергийни източници към словашката мрежа.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Тази реформа предвижда също (в рамките на ключов етап 2) мярка, целяща освобождаване на техническия капацитет за п</w:t>
      </w:r>
      <w:r>
        <w:rPr>
          <w:rFonts w:ascii="Times New Roman" w:hAnsi="Times New Roman"/>
          <w:noProof/>
          <w:sz w:val="24"/>
          <w:szCs w:val="24"/>
        </w:rPr>
        <w:t xml:space="preserve">ренос на електроенергия в рамките на националната електроенергийна система, улеснена чрез увеличаване на капацитета на профила на електроенергийната междусистемна свързаност между Словакия и Унгария. </w:t>
      </w:r>
    </w:p>
    <w:p w:rsidR="00D4086A" w:rsidRDefault="00D5307E">
      <w:pPr>
        <w:spacing w:before="120" w:after="120" w:line="240" w:lineRule="auto"/>
        <w:jc w:val="both"/>
        <w:rPr>
          <w:rFonts w:ascii="Times New Roman" w:hAnsi="Times New Roman"/>
          <w:noProof/>
          <w:sz w:val="24"/>
        </w:rPr>
      </w:pPr>
      <w:r>
        <w:rPr>
          <w:rFonts w:ascii="Times New Roman" w:hAnsi="Times New Roman"/>
          <w:noProof/>
          <w:color w:val="000000"/>
          <w:sz w:val="24"/>
          <w:szCs w:val="24"/>
          <w:shd w:val="clear" w:color="auto" w:fill="FFFFFF"/>
        </w:rPr>
        <w:t>Изпълнението на реформата приключва до 31 декември 2022</w:t>
      </w:r>
      <w:r>
        <w:rPr>
          <w:rFonts w:ascii="Times New Roman" w:hAnsi="Times New Roman"/>
          <w:noProof/>
          <w:color w:val="000000"/>
          <w:sz w:val="24"/>
          <w:szCs w:val="24"/>
          <w:shd w:val="clear" w:color="auto" w:fill="FFFFFF"/>
        </w:rPr>
        <w:t xml:space="preserve"> г. </w:t>
      </w:r>
    </w:p>
    <w:p w:rsidR="00D4086A" w:rsidRDefault="00D5307E">
      <w:pPr>
        <w:spacing w:before="120" w:after="120" w:line="240" w:lineRule="auto"/>
        <w:jc w:val="both"/>
        <w:rPr>
          <w:rFonts w:ascii="Times New Roman" w:hAnsi="Times New Roman"/>
          <w:noProof/>
          <w:spacing w:val="-4"/>
          <w:sz w:val="24"/>
          <w:szCs w:val="24"/>
        </w:rPr>
      </w:pPr>
      <w:r>
        <w:rPr>
          <w:rFonts w:ascii="Times New Roman" w:hAnsi="Times New Roman"/>
          <w:b/>
          <w:noProof/>
          <w:spacing w:val="-4"/>
          <w:sz w:val="24"/>
          <w:szCs w:val="24"/>
        </w:rPr>
        <w:t>Реформа 2: Правната рамка за насърчаване на възобновяемите енергийни източници</w:t>
      </w:r>
      <w:r>
        <w:rPr>
          <w:rFonts w:ascii="Times New Roman" w:hAnsi="Times New Roman"/>
          <w:noProof/>
          <w:spacing w:val="-4"/>
          <w:sz w:val="24"/>
          <w:szCs w:val="24"/>
        </w:rPr>
        <w:t xml:space="preserve"> </w:t>
      </w:r>
    </w:p>
    <w:p w:rsidR="00D4086A" w:rsidRDefault="00D5307E">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shd w:val="clear" w:color="auto" w:fill="FFFFFF"/>
        </w:rPr>
        <w:t>Целта на реформата е да се насърчи разгръщането на нови възобновяеми енергийни източници. С измененията на новия закон се създават ефективни механизми за подкрепа за увеличаване на дела на възобновяемите енергийни източници в транспортния, електроенергийни</w:t>
      </w:r>
      <w:r>
        <w:rPr>
          <w:rFonts w:ascii="Times New Roman" w:hAnsi="Times New Roman"/>
          <w:noProof/>
          <w:color w:val="000000"/>
          <w:sz w:val="24"/>
          <w:szCs w:val="24"/>
          <w:shd w:val="clear" w:color="auto" w:fill="FFFFFF"/>
        </w:rPr>
        <w:t xml:space="preserve">я и отоплителния сектор. </w:t>
      </w:r>
      <w:r>
        <w:rPr>
          <w:rFonts w:ascii="Times New Roman" w:hAnsi="Times New Roman"/>
          <w:noProof/>
          <w:color w:val="000000"/>
          <w:sz w:val="24"/>
          <w:szCs w:val="24"/>
        </w:rPr>
        <w:t>Правната рамка се изменя чрез изменение на Закони 309/2009 Сб. за насърчаване на възобновяемите енергийни източници и високоефективното комбинирано производство на енергия и на Закон 657/2004 Сб. за топлинната енергия.</w:t>
      </w:r>
    </w:p>
    <w:p w:rsidR="00D4086A" w:rsidRDefault="00D5307E">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sz w:val="24"/>
          <w:szCs w:val="24"/>
        </w:rPr>
        <w:t>Реформата вк</w:t>
      </w:r>
      <w:r>
        <w:rPr>
          <w:rFonts w:ascii="Times New Roman" w:hAnsi="Times New Roman"/>
          <w:noProof/>
          <w:sz w:val="24"/>
          <w:szCs w:val="24"/>
        </w:rPr>
        <w:t>лючва също така приемането на дългосрочен план за тръжна продажба за нови възобновяеми източници. Тази мярка допринася за по-добра предвидимост на общия инсталиран капацитет за възобновяема енергия, като създава по-благоприятна инвестиционна среда за частн</w:t>
      </w:r>
      <w:r>
        <w:rPr>
          <w:rFonts w:ascii="Times New Roman" w:hAnsi="Times New Roman"/>
          <w:noProof/>
          <w:sz w:val="24"/>
          <w:szCs w:val="24"/>
        </w:rPr>
        <w:t>ите инвеститори.</w:t>
      </w:r>
      <w:r>
        <w:rPr>
          <w:rFonts w:ascii="Times New Roman" w:hAnsi="Times New Roman"/>
          <w:noProof/>
          <w:color w:val="000000"/>
          <w:sz w:val="24"/>
          <w:szCs w:val="24"/>
          <w:shd w:val="clear" w:color="auto" w:fill="FFFFFF"/>
        </w:rPr>
        <w:t xml:space="preserve"> </w:t>
      </w:r>
    </w:p>
    <w:p w:rsidR="00D4086A" w:rsidRDefault="00D5307E">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Освен това реформата включва приемането на инвестиционни схеми за подпомагане на възобновяемите източници на електроенергия. Министерството на икономиката приема тръжна схема за нови възобновяеми енергийни източници (връзка към Инвестиция</w:t>
      </w:r>
      <w:r>
        <w:rPr>
          <w:rFonts w:ascii="Times New Roman" w:hAnsi="Times New Roman"/>
          <w:noProof/>
          <w:color w:val="000000"/>
          <w:sz w:val="24"/>
          <w:szCs w:val="24"/>
        </w:rPr>
        <w:t xml:space="preserve"> 1, Компонент 1) и схеми за подпомагане на инвестиции за увеличаване на мощността (връзка към Инвестиция 2, Компонент 1) и повишаване на гъвкавостта на електроенергийната система (връзка към Инвестиция 3, Компонент 1). Инвестиционните политики на схемите с</w:t>
      </w:r>
      <w:r>
        <w:rPr>
          <w:rFonts w:ascii="Times New Roman" w:hAnsi="Times New Roman"/>
          <w:noProof/>
          <w:color w:val="000000"/>
          <w:sz w:val="24"/>
          <w:szCs w:val="24"/>
        </w:rPr>
        <w:t xml:space="preserve">е придържат стриктно както към законодателството на ЕС, така и към националното законодателство в областта на околната среда, както и към Техническите насоки „за Not-Significant-Harm Technical Guidance“ (2021/C58/01) на подпомаганите дейности и дружества. </w:t>
      </w:r>
      <w:r>
        <w:rPr>
          <w:rFonts w:ascii="Times New Roman" w:hAnsi="Times New Roman"/>
          <w:noProof/>
          <w:color w:val="000000"/>
          <w:sz w:val="24"/>
          <w:szCs w:val="24"/>
        </w:rPr>
        <w:t xml:space="preserve">Само инвестициите във водноелектрическа енергия, които са в съответствие с достиженията на правото на ЕС, се подкрепят от словашкия план за възстановяване и устойчивост.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color w:val="000000"/>
          <w:sz w:val="24"/>
          <w:szCs w:val="24"/>
          <w:shd w:val="clear" w:color="auto" w:fill="FFFFFF"/>
        </w:rPr>
        <w:t>Изпълнението на реформата приключва до 31 декември 2022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1: Изграждане н</w:t>
      </w:r>
      <w:r>
        <w:rPr>
          <w:rFonts w:ascii="Times New Roman" w:hAnsi="Times New Roman"/>
          <w:b/>
          <w:noProof/>
          <w:sz w:val="24"/>
        </w:rPr>
        <w:t xml:space="preserve">а нови възобновяеми енергийни източници </w:t>
      </w:r>
    </w:p>
    <w:p w:rsidR="00D4086A" w:rsidRDefault="00D5307E">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sz w:val="24"/>
          <w:szCs w:val="24"/>
        </w:rPr>
        <w:t>Целта на мярката е да се подкрепят инвестициите в нови възобновяеми източници на електроенергия.</w:t>
      </w:r>
      <w:r>
        <w:rPr>
          <w:rFonts w:ascii="Times New Roman" w:hAnsi="Times New Roman"/>
          <w:noProof/>
          <w:color w:val="000000"/>
          <w:sz w:val="24"/>
          <w:szCs w:val="24"/>
        </w:rPr>
        <w:t xml:space="preserve"> От общата цел за увеличаване на новия капацитет за производство на електроенергия от възобновяеми източници със 122,4 </w:t>
      </w:r>
      <w:r>
        <w:rPr>
          <w:rFonts w:ascii="Times New Roman" w:hAnsi="Times New Roman"/>
          <w:noProof/>
          <w:color w:val="000000"/>
          <w:sz w:val="24"/>
          <w:szCs w:val="24"/>
        </w:rPr>
        <w:t xml:space="preserve">MW схемата за подпомагане осигурява най-малко 120 MW нов капацитет, генериран от новите възобновяеми източници по мярката, свързана с мрежата. </w:t>
      </w:r>
      <w:r>
        <w:rPr>
          <w:rFonts w:ascii="Times New Roman" w:hAnsi="Times New Roman"/>
          <w:noProof/>
          <w:color w:val="000000"/>
          <w:sz w:val="24"/>
          <w:szCs w:val="24"/>
          <w:shd w:val="clear" w:color="auto" w:fill="FFFFFF"/>
        </w:rPr>
        <w:t>Конкурентният тръжен механизъм е отворен за широк спектър от технологии за енергия от възобновяеми източници, с я</w:t>
      </w:r>
      <w:r>
        <w:rPr>
          <w:rFonts w:ascii="Times New Roman" w:hAnsi="Times New Roman"/>
          <w:noProof/>
          <w:color w:val="000000"/>
          <w:sz w:val="24"/>
          <w:szCs w:val="24"/>
          <w:shd w:val="clear" w:color="auto" w:fill="FFFFFF"/>
        </w:rPr>
        <w:t>сни срокове и правила за изпълнение на проектите.</w:t>
      </w:r>
      <w:r>
        <w:rPr>
          <w:rFonts w:ascii="Times New Roman" w:hAnsi="Times New Roman"/>
          <w:noProof/>
          <w:color w:val="000000"/>
          <w:sz w:val="24"/>
          <w:szCs w:val="24"/>
        </w:rPr>
        <w:t xml:space="preserve"> Инвестиции за водноелектрическа енергия не са допустими по Инвестиционен инструмент 1 (компонент 1).</w:t>
      </w:r>
      <w:r>
        <w:rPr>
          <w:rFonts w:ascii="Times New Roman" w:hAnsi="Times New Roman"/>
          <w:noProof/>
          <w:color w:val="000000"/>
          <w:sz w:val="24"/>
          <w:szCs w:val="24"/>
          <w:shd w:val="clear" w:color="auto" w:fill="FFFFFF"/>
        </w:rPr>
        <w:t xml:space="preserve"> Министерството на икономиката отговаря за изпълнението на схемата и за събирането на информация за реализ</w:t>
      </w:r>
      <w:r>
        <w:rPr>
          <w:rFonts w:ascii="Times New Roman" w:hAnsi="Times New Roman"/>
          <w:noProof/>
          <w:color w:val="000000"/>
          <w:sz w:val="24"/>
          <w:szCs w:val="24"/>
          <w:shd w:val="clear" w:color="auto" w:fill="FFFFFF"/>
        </w:rPr>
        <w:t>ирания капацитет от организаторите на проекти.</w:t>
      </w:r>
    </w:p>
    <w:p w:rsidR="00D4086A" w:rsidRDefault="00D5307E">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Схемата за тръжна подкрепа спазва инвестиционните политики, определени в ключов етап 3 на компонент 1 (Реформа 2: Правна рамка за насърчаване на възобновяемите енергийни източници“). </w:t>
      </w:r>
    </w:p>
    <w:p w:rsidR="00D4086A" w:rsidRDefault="00D5307E">
      <w:pPr>
        <w:spacing w:before="120" w:after="120" w:line="240" w:lineRule="auto"/>
        <w:jc w:val="both"/>
        <w:rPr>
          <w:rFonts w:ascii="Times New Roman" w:hAnsi="Times New Roman"/>
          <w:noProof/>
          <w:color w:val="000000"/>
          <w:sz w:val="24"/>
          <w:shd w:val="clear" w:color="auto" w:fill="FFFFFF"/>
        </w:rPr>
      </w:pPr>
      <w:r>
        <w:rPr>
          <w:rFonts w:ascii="Times New Roman" w:hAnsi="Times New Roman"/>
          <w:noProof/>
          <w:color w:val="000000"/>
          <w:sz w:val="24"/>
          <w:szCs w:val="24"/>
          <w:shd w:val="clear" w:color="auto" w:fill="FFFFFF"/>
        </w:rPr>
        <w:t>Очаква се изпълнението на</w:t>
      </w:r>
      <w:r>
        <w:rPr>
          <w:rFonts w:ascii="Times New Roman" w:hAnsi="Times New Roman"/>
          <w:noProof/>
          <w:color w:val="000000"/>
          <w:sz w:val="24"/>
          <w:szCs w:val="24"/>
          <w:shd w:val="clear" w:color="auto" w:fill="FFFFFF"/>
        </w:rPr>
        <w:t xml:space="preserve"> инвестицията да започне до 30 юни 2021 г. и да приключи до 30 юни 2026 г.</w:t>
      </w:r>
    </w:p>
    <w:p w:rsidR="00D4086A" w:rsidRDefault="00D5307E">
      <w:pPr>
        <w:spacing w:before="120" w:after="120" w:line="240" w:lineRule="auto"/>
        <w:jc w:val="both"/>
        <w:rPr>
          <w:rFonts w:ascii="Times New Roman" w:hAnsi="Times New Roman"/>
          <w:b/>
          <w:noProof/>
          <w:sz w:val="24"/>
          <w:szCs w:val="24"/>
        </w:rPr>
      </w:pPr>
      <w:r>
        <w:rPr>
          <w:rFonts w:ascii="Times New Roman" w:hAnsi="Times New Roman"/>
          <w:b/>
          <w:noProof/>
          <w:sz w:val="24"/>
          <w:szCs w:val="24"/>
        </w:rPr>
        <w:t>Инвестиция 2: Модернизиране на съществуващите възобновяеми източници на електроенергия (увеличаване на мощността)</w:t>
      </w:r>
    </w:p>
    <w:p w:rsidR="00D4086A" w:rsidRDefault="00D5307E">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Целта на мярката е да се удължи технологичният жизнен цикъл, да се </w:t>
      </w:r>
      <w:r>
        <w:rPr>
          <w:rFonts w:ascii="Times New Roman" w:hAnsi="Times New Roman"/>
          <w:noProof/>
          <w:color w:val="000000"/>
          <w:sz w:val="24"/>
          <w:szCs w:val="24"/>
          <w:shd w:val="clear" w:color="auto" w:fill="FFFFFF"/>
        </w:rPr>
        <w:t xml:space="preserve">подобри и повиши ефективността на съществуващите мощности на възобновяеми енергийни източници. </w:t>
      </w:r>
      <w:r>
        <w:rPr>
          <w:rFonts w:ascii="Times New Roman" w:hAnsi="Times New Roman"/>
          <w:noProof/>
          <w:color w:val="000000"/>
          <w:sz w:val="24"/>
          <w:szCs w:val="24"/>
        </w:rPr>
        <w:t xml:space="preserve">Модернизацията се отнася до трансформацията на станции за биогаз и на водноелектрически централи. </w:t>
      </w:r>
      <w:r>
        <w:rPr>
          <w:rFonts w:ascii="Times New Roman" w:hAnsi="Times New Roman"/>
          <w:noProof/>
          <w:sz w:val="24"/>
          <w:szCs w:val="24"/>
        </w:rPr>
        <w:t>Схемата осигурява най-малко 100 MW модернизирана мощност от въз</w:t>
      </w:r>
      <w:r>
        <w:rPr>
          <w:rFonts w:ascii="Times New Roman" w:hAnsi="Times New Roman"/>
          <w:noProof/>
          <w:sz w:val="24"/>
          <w:szCs w:val="24"/>
        </w:rPr>
        <w:t>обновяеми източници за производство на електроенергия (увеличаване на мощността), свързана към мрежата, подпомагана по мярката.</w:t>
      </w:r>
      <w:r>
        <w:rPr>
          <w:rFonts w:ascii="Times New Roman" w:hAnsi="Times New Roman"/>
          <w:noProof/>
          <w:color w:val="000000"/>
          <w:sz w:val="24"/>
          <w:szCs w:val="24"/>
        </w:rPr>
        <w:t xml:space="preserve"> </w:t>
      </w:r>
      <w:r>
        <w:rPr>
          <w:rFonts w:ascii="Times New Roman" w:hAnsi="Times New Roman"/>
          <w:noProof/>
          <w:color w:val="000000"/>
          <w:sz w:val="24"/>
          <w:szCs w:val="24"/>
          <w:shd w:val="clear" w:color="auto" w:fill="FFFFFF"/>
        </w:rPr>
        <w:t>Министерството на икономиката отговаря за изпълнението на инвестицията и за събирането на информация за реализирания капацитет о</w:t>
      </w:r>
      <w:r>
        <w:rPr>
          <w:rFonts w:ascii="Times New Roman" w:hAnsi="Times New Roman"/>
          <w:noProof/>
          <w:color w:val="000000"/>
          <w:sz w:val="24"/>
          <w:szCs w:val="24"/>
          <w:shd w:val="clear" w:color="auto" w:fill="FFFFFF"/>
        </w:rPr>
        <w:t>т организаторите на проекти.</w:t>
      </w:r>
    </w:p>
    <w:p w:rsidR="00D4086A" w:rsidRDefault="00D5307E">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rPr>
        <w:t>Подпомагането за различните видове модернизирано оборудване от възобновяеми източници се оценява отделно, като се взема предвид принципът на ефективност на разходите. Схемите за подпомагане спазват инвестиционните политики, опр</w:t>
      </w:r>
      <w:r>
        <w:rPr>
          <w:rFonts w:ascii="Times New Roman" w:hAnsi="Times New Roman"/>
          <w:noProof/>
          <w:color w:val="000000"/>
          <w:sz w:val="24"/>
          <w:szCs w:val="24"/>
        </w:rPr>
        <w:t>еделени в ключов етап 3 на компонент 1 (Реформа 2: Правна рамка за насърчаване на възобновяемите енергийни източници“).</w:t>
      </w:r>
    </w:p>
    <w:p w:rsidR="00D4086A" w:rsidRDefault="00D5307E">
      <w:pPr>
        <w:spacing w:before="120" w:after="120" w:line="240" w:lineRule="auto"/>
        <w:jc w:val="both"/>
        <w:rPr>
          <w:rFonts w:ascii="Times New Roman" w:hAnsi="Times New Roman"/>
          <w:noProof/>
          <w:color w:val="000000"/>
          <w:sz w:val="24"/>
          <w:shd w:val="clear" w:color="auto" w:fill="FFFFFF"/>
        </w:rPr>
      </w:pPr>
      <w:r>
        <w:rPr>
          <w:rFonts w:ascii="Times New Roman" w:hAnsi="Times New Roman"/>
          <w:noProof/>
          <w:color w:val="000000"/>
          <w:sz w:val="24"/>
          <w:szCs w:val="24"/>
          <w:shd w:val="clear" w:color="auto" w:fill="FFFFFF"/>
        </w:rPr>
        <w:t>Очаква се изпълнението на инвестицията да започне до 1 януари 2022 г. и да приключи до 30 юни 2026 г.</w:t>
      </w:r>
    </w:p>
    <w:p w:rsidR="00D4086A" w:rsidRDefault="00D5307E">
      <w:pPr>
        <w:spacing w:before="120" w:after="120" w:line="240" w:lineRule="auto"/>
        <w:jc w:val="both"/>
        <w:rPr>
          <w:rFonts w:ascii="Times New Roman" w:hAnsi="Times New Roman"/>
          <w:b/>
          <w:noProof/>
          <w:sz w:val="24"/>
          <w:szCs w:val="24"/>
        </w:rPr>
      </w:pPr>
      <w:r>
        <w:rPr>
          <w:rFonts w:ascii="Times New Roman" w:hAnsi="Times New Roman"/>
          <w:b/>
          <w:noProof/>
          <w:sz w:val="24"/>
          <w:szCs w:val="24"/>
        </w:rPr>
        <w:t>Инвестиция 3: Повишаване на гъвкав</w:t>
      </w:r>
      <w:r>
        <w:rPr>
          <w:rFonts w:ascii="Times New Roman" w:hAnsi="Times New Roman"/>
          <w:b/>
          <w:noProof/>
          <w:sz w:val="24"/>
          <w:szCs w:val="24"/>
        </w:rPr>
        <w:t>остта на електроенергийните системи за по-голяма интеграция на възобновяемите енергийни източници</w:t>
      </w:r>
    </w:p>
    <w:p w:rsidR="00D4086A" w:rsidRDefault="00D5307E">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Целта на инвестицията е да се увеличи гъвкавостта на словашката електроенергийна мрежа. Постепенното премахване на гъвкавите изкопаеми източници на електроене</w:t>
      </w:r>
      <w:r>
        <w:rPr>
          <w:rFonts w:ascii="Times New Roman" w:hAnsi="Times New Roman"/>
          <w:noProof/>
          <w:color w:val="000000"/>
          <w:sz w:val="24"/>
          <w:szCs w:val="24"/>
        </w:rPr>
        <w:t xml:space="preserve">ргия води до загуба на балансови показатели с отрицателно въздействие върху способността на системата да интегрира променливи възобновяеми енергийни източници. </w:t>
      </w:r>
    </w:p>
    <w:p w:rsidR="00D4086A" w:rsidRDefault="00D5307E">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Инвестицията е насочена към подпомагане на съоръжения за съхранение на електроенергия, включите</w:t>
      </w:r>
      <w:r>
        <w:rPr>
          <w:rFonts w:ascii="Times New Roman" w:hAnsi="Times New Roman"/>
          <w:noProof/>
          <w:color w:val="000000"/>
          <w:sz w:val="24"/>
          <w:szCs w:val="24"/>
        </w:rPr>
        <w:t>лно решения на основата на водород, и към увеличаване на капацитета за балансиране на електроенергията във водноелектрически централи. Схемата за подпомагане осигурява кумулативно увеличение от най-малко 68 MW на балансиращия капацитет, предизвикано от нов</w:t>
      </w:r>
      <w:r>
        <w:rPr>
          <w:rFonts w:ascii="Times New Roman" w:hAnsi="Times New Roman"/>
          <w:noProof/>
          <w:color w:val="000000"/>
          <w:sz w:val="24"/>
          <w:szCs w:val="24"/>
        </w:rPr>
        <w:t>ите мощности за съхранение и увеличаването на балансиращия капацитет на съществуващите водноелектрически централи, свързани към мрежата. Точната разбивка на целта от 68 MW зависи от търсенето на съответните теми. Инвестициите в балансиращия капацитет на во</w:t>
      </w:r>
      <w:r>
        <w:rPr>
          <w:rFonts w:ascii="Times New Roman" w:hAnsi="Times New Roman"/>
          <w:noProof/>
          <w:color w:val="000000"/>
          <w:sz w:val="24"/>
          <w:szCs w:val="24"/>
        </w:rPr>
        <w:t>дноелектрическите централи не надвишават 12 000 000 EUR по мярката. Инвестициите в голяма степен допълват други действия в компонента, тъй като допринасят за увеличаване на капацитета на безплатната мрежа за интегриране на възобновяемите енергийни източниц</w:t>
      </w:r>
      <w:r>
        <w:rPr>
          <w:rFonts w:ascii="Times New Roman" w:hAnsi="Times New Roman"/>
          <w:noProof/>
          <w:color w:val="000000"/>
          <w:sz w:val="24"/>
          <w:szCs w:val="24"/>
        </w:rPr>
        <w:t xml:space="preserve">и. </w:t>
      </w:r>
    </w:p>
    <w:p w:rsidR="00D4086A" w:rsidRDefault="00D5307E">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Подпомагането се предоставя по технологични специфични схеми, като се взема предвид принципът на ефективност на разходите. Схемите спазват условията на инвестиционната политика, както е посочено в ключов етап 3 на компонент 1 (Реформа 2: Правна рамка з</w:t>
      </w:r>
      <w:r>
        <w:rPr>
          <w:rFonts w:ascii="Times New Roman" w:hAnsi="Times New Roman"/>
          <w:noProof/>
          <w:color w:val="000000"/>
          <w:sz w:val="24"/>
          <w:szCs w:val="24"/>
        </w:rPr>
        <w:t>а насърчаване на възобновяемите енергийни източници“).</w:t>
      </w:r>
    </w:p>
    <w:p w:rsidR="00D4086A" w:rsidRDefault="00D5307E">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Очаква се изпълнението на инвестицията да започне до 1 януари 2022 г. и да приключи до 30 юни 2026 г.</w:t>
      </w:r>
    </w:p>
    <w:p w:rsidR="00D4086A" w:rsidRDefault="00D4086A">
      <w:pPr>
        <w:spacing w:before="120" w:after="120" w:line="240" w:lineRule="auto"/>
        <w:jc w:val="both"/>
        <w:rPr>
          <w:rFonts w:ascii="Times New Roman" w:hAnsi="Times New Roman"/>
          <w:noProof/>
          <w:color w:val="000000"/>
          <w:sz w:val="24"/>
          <w:szCs w:val="24"/>
        </w:rPr>
      </w:pPr>
    </w:p>
    <w:p w:rsidR="00D4086A" w:rsidRDefault="00D4086A">
      <w:pPr>
        <w:spacing w:before="120" w:after="120" w:line="240" w:lineRule="auto"/>
        <w:jc w:val="both"/>
        <w:rPr>
          <w:rFonts w:ascii="Times New Roman" w:hAnsi="Times New Roman"/>
          <w:noProof/>
          <w:color w:val="000000"/>
          <w:sz w:val="24"/>
          <w:szCs w:val="24"/>
        </w:rPr>
        <w:sectPr w:rsidR="00D4086A">
          <w:headerReference w:type="even" r:id="rId18"/>
          <w:headerReference w:type="default" r:id="rId19"/>
          <w:footerReference w:type="even" r:id="rId20"/>
          <w:footerReference w:type="default" r:id="rId21"/>
          <w:headerReference w:type="first" r:id="rId22"/>
          <w:footerReference w:type="first" r:id="rId23"/>
          <w:pgSz w:w="11907" w:h="16839" w:code="9"/>
          <w:pgMar w:top="1134" w:right="1418" w:bottom="1134" w:left="1418" w:header="709" w:footer="709" w:gutter="0"/>
          <w:cols w:space="720"/>
          <w:docGrid w:linePitch="360"/>
        </w:sectPr>
      </w:pPr>
    </w:p>
    <w:p w:rsidR="00D4086A" w:rsidRDefault="00D5307E">
      <w:pPr>
        <w:spacing w:before="120" w:after="120" w:line="240" w:lineRule="auto"/>
        <w:ind w:left="850"/>
        <w:jc w:val="both"/>
        <w:rPr>
          <w:rFonts w:ascii="Times New Roman" w:hAnsi="Times New Roman"/>
          <w:b/>
          <w:noProof/>
          <w:sz w:val="24"/>
          <w:szCs w:val="24"/>
          <w:u w:val="single"/>
        </w:rPr>
      </w:pPr>
      <w:r>
        <w:rPr>
          <w:rFonts w:ascii="Times New Roman" w:hAnsi="Times New Roman"/>
          <w:b/>
          <w:noProof/>
          <w:sz w:val="24"/>
          <w:szCs w:val="24"/>
          <w:u w:val="single"/>
        </w:rPr>
        <w:t xml:space="preserve">A.2. </w:t>
      </w:r>
      <w:r>
        <w:rPr>
          <w:rFonts w:ascii="Times New Roman" w:hAnsi="Times New Roman"/>
          <w:b/>
          <w:noProof/>
          <w:sz w:val="24"/>
          <w:szCs w:val="24"/>
          <w:u w:val="single"/>
        </w:rPr>
        <w:tab/>
        <w:t xml:space="preserve">Ключови етапи, цели, показатели и </w:t>
      </w:r>
      <w:r>
        <w:rPr>
          <w:rFonts w:ascii="Times New Roman" w:hAnsi="Times New Roman"/>
          <w:b/>
          <w:noProof/>
          <w:sz w:val="24"/>
          <w:szCs w:val="24"/>
          <w:u w:val="single"/>
        </w:rPr>
        <w:t>график за мониторинг и изпълнение на безвъзмездната финансова подкрепа.</w:t>
      </w:r>
    </w:p>
    <w:tbl>
      <w:tblPr>
        <w:tblW w:w="16034" w:type="dxa"/>
        <w:tblInd w:w="-176" w:type="dxa"/>
        <w:tblLayout w:type="fixed"/>
        <w:tblLook w:val="04A0" w:firstRow="1" w:lastRow="0" w:firstColumn="1" w:lastColumn="0" w:noHBand="0" w:noVBand="1"/>
      </w:tblPr>
      <w:tblGrid>
        <w:gridCol w:w="734"/>
        <w:gridCol w:w="1710"/>
        <w:gridCol w:w="900"/>
        <w:gridCol w:w="1620"/>
        <w:gridCol w:w="1800"/>
        <w:gridCol w:w="608"/>
        <w:gridCol w:w="992"/>
        <w:gridCol w:w="851"/>
        <w:gridCol w:w="992"/>
        <w:gridCol w:w="992"/>
        <w:gridCol w:w="4835"/>
      </w:tblGrid>
      <w:tr w:rsidR="00D4086A">
        <w:trPr>
          <w:trHeight w:val="1369"/>
        </w:trPr>
        <w:tc>
          <w:tcPr>
            <w:tcW w:w="734" w:type="dxa"/>
            <w:vMerge w:val="restart"/>
            <w:tcBorders>
              <w:top w:val="single" w:sz="4" w:space="0" w:color="auto"/>
              <w:left w:val="single" w:sz="4" w:space="0" w:color="auto"/>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bCs/>
                <w:noProof/>
                <w:sz w:val="20"/>
                <w:szCs w:val="20"/>
              </w:rPr>
              <w:t>№</w:t>
            </w:r>
          </w:p>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1710"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Свързана мярка (реформа или инвестиция)</w:t>
            </w:r>
          </w:p>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900"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Ключов етап / Цел</w:t>
            </w:r>
          </w:p>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1620"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Наименование</w:t>
            </w:r>
          </w:p>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1800"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Качествени показатели (за ключовите етапи)</w:t>
            </w:r>
          </w:p>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2451" w:type="dxa"/>
            <w:gridSpan w:val="3"/>
            <w:tcBorders>
              <w:top w:val="single" w:sz="4" w:space="0" w:color="auto"/>
              <w:left w:val="nil"/>
              <w:bottom w:val="single" w:sz="4" w:space="0" w:color="auto"/>
              <w:right w:val="single" w:sz="4" w:space="0" w:color="000000"/>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Качествени показатели (за целите)</w:t>
            </w:r>
          </w:p>
        </w:tc>
        <w:tc>
          <w:tcPr>
            <w:tcW w:w="1984" w:type="dxa"/>
            <w:gridSpan w:val="2"/>
            <w:tcBorders>
              <w:top w:val="single" w:sz="4" w:space="0" w:color="auto"/>
              <w:left w:val="nil"/>
              <w:bottom w:val="single" w:sz="4" w:space="0" w:color="auto"/>
              <w:right w:val="single" w:sz="4" w:space="0" w:color="000000"/>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bCs/>
                <w:noProof/>
                <w:sz w:val="20"/>
                <w:szCs w:val="20"/>
              </w:rPr>
              <w:t>Ориентировъчен график за</w:t>
            </w:r>
            <w:r>
              <w:rPr>
                <w:rFonts w:ascii="Times New Roman" w:hAnsi="Times New Roman"/>
                <w:b/>
                <w:bCs/>
                <w:noProof/>
                <w:sz w:val="20"/>
                <w:szCs w:val="20"/>
              </w:rPr>
              <w:t xml:space="preserve"> приключване </w:t>
            </w:r>
          </w:p>
        </w:tc>
        <w:tc>
          <w:tcPr>
            <w:tcW w:w="4835"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Описание и ясно определяне на всеки ключов етап и цел</w:t>
            </w:r>
          </w:p>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r>
      <w:tr w:rsidR="00D4086A">
        <w:trPr>
          <w:trHeight w:val="313"/>
        </w:trPr>
        <w:tc>
          <w:tcPr>
            <w:tcW w:w="734" w:type="dxa"/>
            <w:vMerge/>
            <w:tcBorders>
              <w:left w:val="single" w:sz="4" w:space="0" w:color="auto"/>
              <w:bottom w:val="single" w:sz="4" w:space="0" w:color="auto"/>
              <w:right w:val="single" w:sz="4" w:space="0" w:color="auto"/>
            </w:tcBorders>
            <w:shd w:val="clear" w:color="auto" w:fill="BDD7EE"/>
            <w:vAlign w:val="center"/>
            <w:hideMark/>
          </w:tcPr>
          <w:p w:rsidR="00D4086A" w:rsidRDefault="00D4086A">
            <w:pPr>
              <w:spacing w:after="0" w:line="240" w:lineRule="auto"/>
              <w:jc w:val="center"/>
              <w:rPr>
                <w:rFonts w:ascii="Times New Roman" w:eastAsia="Times New Roman" w:hAnsi="Times New Roman"/>
                <w:b/>
                <w:noProof/>
                <w:sz w:val="20"/>
                <w:szCs w:val="20"/>
              </w:rPr>
            </w:pPr>
          </w:p>
        </w:tc>
        <w:tc>
          <w:tcPr>
            <w:tcW w:w="1710" w:type="dxa"/>
            <w:vMerge/>
            <w:tcBorders>
              <w:left w:val="nil"/>
              <w:bottom w:val="single" w:sz="4" w:space="0" w:color="auto"/>
              <w:right w:val="single" w:sz="4" w:space="0" w:color="auto"/>
            </w:tcBorders>
            <w:shd w:val="clear" w:color="auto" w:fill="BDD7EE"/>
            <w:vAlign w:val="center"/>
            <w:hideMark/>
          </w:tcPr>
          <w:p w:rsidR="00D4086A" w:rsidRDefault="00D4086A">
            <w:pPr>
              <w:spacing w:after="0" w:line="240" w:lineRule="auto"/>
              <w:jc w:val="center"/>
              <w:rPr>
                <w:rFonts w:ascii="Times New Roman" w:eastAsia="Times New Roman" w:hAnsi="Times New Roman"/>
                <w:b/>
                <w:noProof/>
                <w:sz w:val="20"/>
                <w:szCs w:val="20"/>
              </w:rPr>
            </w:pPr>
          </w:p>
        </w:tc>
        <w:tc>
          <w:tcPr>
            <w:tcW w:w="900" w:type="dxa"/>
            <w:vMerge/>
            <w:tcBorders>
              <w:left w:val="nil"/>
              <w:bottom w:val="single" w:sz="4" w:space="0" w:color="auto"/>
              <w:right w:val="single" w:sz="4" w:space="0" w:color="auto"/>
            </w:tcBorders>
            <w:shd w:val="clear" w:color="auto" w:fill="BDD7EE"/>
            <w:vAlign w:val="center"/>
            <w:hideMark/>
          </w:tcPr>
          <w:p w:rsidR="00D4086A" w:rsidRDefault="00D4086A">
            <w:pPr>
              <w:spacing w:after="0" w:line="240" w:lineRule="auto"/>
              <w:jc w:val="center"/>
              <w:rPr>
                <w:rFonts w:ascii="Times New Roman" w:eastAsia="Times New Roman" w:hAnsi="Times New Roman"/>
                <w:b/>
                <w:noProof/>
                <w:sz w:val="20"/>
                <w:szCs w:val="20"/>
              </w:rPr>
            </w:pPr>
          </w:p>
        </w:tc>
        <w:tc>
          <w:tcPr>
            <w:tcW w:w="1620" w:type="dxa"/>
            <w:vMerge/>
            <w:tcBorders>
              <w:left w:val="nil"/>
              <w:bottom w:val="single" w:sz="4" w:space="0" w:color="auto"/>
              <w:right w:val="single" w:sz="4" w:space="0" w:color="auto"/>
            </w:tcBorders>
            <w:shd w:val="clear" w:color="auto" w:fill="BDD7EE"/>
            <w:vAlign w:val="center"/>
            <w:hideMark/>
          </w:tcPr>
          <w:p w:rsidR="00D4086A" w:rsidRDefault="00D4086A">
            <w:pPr>
              <w:spacing w:after="0" w:line="240" w:lineRule="auto"/>
              <w:jc w:val="center"/>
              <w:rPr>
                <w:rFonts w:ascii="Times New Roman" w:eastAsia="Times New Roman" w:hAnsi="Times New Roman"/>
                <w:b/>
                <w:noProof/>
                <w:sz w:val="20"/>
                <w:szCs w:val="20"/>
              </w:rPr>
            </w:pPr>
          </w:p>
        </w:tc>
        <w:tc>
          <w:tcPr>
            <w:tcW w:w="1800" w:type="dxa"/>
            <w:vMerge/>
            <w:tcBorders>
              <w:left w:val="nil"/>
              <w:bottom w:val="single" w:sz="4" w:space="0" w:color="auto"/>
              <w:right w:val="single" w:sz="4" w:space="0" w:color="auto"/>
            </w:tcBorders>
            <w:shd w:val="clear" w:color="auto" w:fill="BDD7EE"/>
            <w:vAlign w:val="center"/>
            <w:hideMark/>
          </w:tcPr>
          <w:p w:rsidR="00D4086A" w:rsidRDefault="00D4086A">
            <w:pPr>
              <w:spacing w:after="0" w:line="240" w:lineRule="auto"/>
              <w:jc w:val="center"/>
              <w:rPr>
                <w:rFonts w:ascii="Times New Roman" w:eastAsia="Times New Roman" w:hAnsi="Times New Roman"/>
                <w:b/>
                <w:noProof/>
                <w:sz w:val="20"/>
                <w:szCs w:val="20"/>
              </w:rPr>
            </w:pPr>
          </w:p>
        </w:tc>
        <w:tc>
          <w:tcPr>
            <w:tcW w:w="608"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Мерна единица</w:t>
            </w:r>
          </w:p>
        </w:tc>
        <w:tc>
          <w:tcPr>
            <w:tcW w:w="992"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Базова линия</w:t>
            </w:r>
          </w:p>
        </w:tc>
        <w:tc>
          <w:tcPr>
            <w:tcW w:w="851"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Цел</w:t>
            </w:r>
          </w:p>
        </w:tc>
        <w:tc>
          <w:tcPr>
            <w:tcW w:w="992"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Тримесечие</w:t>
            </w:r>
          </w:p>
        </w:tc>
        <w:tc>
          <w:tcPr>
            <w:tcW w:w="992"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Година</w:t>
            </w:r>
          </w:p>
        </w:tc>
        <w:tc>
          <w:tcPr>
            <w:tcW w:w="4835" w:type="dxa"/>
            <w:vMerge/>
            <w:tcBorders>
              <w:left w:val="nil"/>
              <w:bottom w:val="single" w:sz="4" w:space="0" w:color="auto"/>
              <w:right w:val="single" w:sz="4" w:space="0" w:color="auto"/>
            </w:tcBorders>
            <w:shd w:val="clear" w:color="auto" w:fill="BDD7EE"/>
            <w:vAlign w:val="center"/>
            <w:hideMark/>
          </w:tcPr>
          <w:p w:rsidR="00D4086A" w:rsidRDefault="00D4086A">
            <w:pPr>
              <w:spacing w:after="0" w:line="240" w:lineRule="auto"/>
              <w:jc w:val="center"/>
              <w:rPr>
                <w:rFonts w:ascii="Times New Roman" w:eastAsia="Times New Roman" w:hAnsi="Times New Roman"/>
                <w:b/>
                <w:noProof/>
                <w:sz w:val="20"/>
                <w:szCs w:val="20"/>
              </w:rPr>
            </w:pPr>
          </w:p>
        </w:tc>
      </w:tr>
      <w:tr w:rsidR="00D4086A">
        <w:trPr>
          <w:trHeight w:val="2728"/>
        </w:trPr>
        <w:tc>
          <w:tcPr>
            <w:tcW w:w="734"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w:t>
            </w:r>
          </w:p>
        </w:tc>
        <w:tc>
          <w:tcPr>
            <w:tcW w:w="171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pacing w:val="-8"/>
                <w:sz w:val="20"/>
                <w:szCs w:val="20"/>
              </w:rPr>
            </w:pPr>
            <w:r>
              <w:rPr>
                <w:rFonts w:ascii="Times New Roman" w:hAnsi="Times New Roman"/>
                <w:noProof/>
                <w:color w:val="006100"/>
                <w:spacing w:val="-8"/>
                <w:sz w:val="20"/>
                <w:szCs w:val="20"/>
              </w:rPr>
              <w:t xml:space="preserve">1 — Възобновяеми енергийни източници и енергийна инфраструктура — Реформа 1: Адаптиране на правната рамка в областта на </w:t>
            </w:r>
            <w:r>
              <w:rPr>
                <w:rFonts w:ascii="Times New Roman" w:hAnsi="Times New Roman"/>
                <w:noProof/>
                <w:color w:val="006100"/>
                <w:spacing w:val="-8"/>
                <w:sz w:val="20"/>
                <w:szCs w:val="20"/>
              </w:rPr>
              <w:t>електроенергията</w:t>
            </w:r>
          </w:p>
        </w:tc>
        <w:tc>
          <w:tcPr>
            <w:tcW w:w="90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62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385724"/>
                <w:sz w:val="20"/>
                <w:szCs w:val="20"/>
              </w:rPr>
            </w:pPr>
            <w:r>
              <w:rPr>
                <w:rFonts w:ascii="Times New Roman" w:hAnsi="Times New Roman"/>
                <w:noProof/>
                <w:color w:val="385724"/>
                <w:sz w:val="20"/>
                <w:szCs w:val="20"/>
              </w:rPr>
              <w:t>Реформа на пазара на електро-енергия</w:t>
            </w:r>
          </w:p>
          <w:p w:rsidR="00D4086A" w:rsidRDefault="00D4086A">
            <w:pPr>
              <w:spacing w:after="0" w:line="240" w:lineRule="auto"/>
              <w:rPr>
                <w:rFonts w:ascii="Times New Roman" w:eastAsia="Times New Roman" w:hAnsi="Times New Roman"/>
                <w:noProof/>
                <w:color w:val="385724"/>
                <w:sz w:val="20"/>
                <w:szCs w:val="20"/>
              </w:rPr>
            </w:pPr>
          </w:p>
          <w:p w:rsidR="00D4086A" w:rsidRDefault="00D4086A">
            <w:pPr>
              <w:spacing w:after="0" w:line="240" w:lineRule="auto"/>
              <w:rPr>
                <w:rFonts w:ascii="Times New Roman" w:eastAsia="Times New Roman" w:hAnsi="Times New Roman"/>
                <w:noProof/>
                <w:color w:val="385724"/>
                <w:sz w:val="20"/>
                <w:szCs w:val="20"/>
              </w:rPr>
            </w:pPr>
          </w:p>
          <w:p w:rsidR="00D4086A" w:rsidRDefault="00D4086A">
            <w:pPr>
              <w:spacing w:after="0" w:line="240" w:lineRule="auto"/>
              <w:rPr>
                <w:rFonts w:ascii="Times New Roman" w:eastAsia="Times New Roman" w:hAnsi="Times New Roman"/>
                <w:noProof/>
                <w:color w:val="385724"/>
                <w:sz w:val="20"/>
                <w:szCs w:val="20"/>
              </w:rPr>
            </w:pPr>
          </w:p>
          <w:p w:rsidR="00D4086A" w:rsidRDefault="00D4086A">
            <w:pPr>
              <w:spacing w:after="0" w:line="240" w:lineRule="auto"/>
              <w:rPr>
                <w:rFonts w:ascii="Times New Roman" w:eastAsia="Times New Roman" w:hAnsi="Times New Roman"/>
                <w:noProof/>
                <w:color w:val="385724"/>
                <w:sz w:val="20"/>
                <w:szCs w:val="20"/>
              </w:rPr>
            </w:pPr>
          </w:p>
        </w:tc>
        <w:tc>
          <w:tcPr>
            <w:tcW w:w="1800"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rPr>
                <w:rFonts w:ascii="Times New Roman" w:eastAsia="Times New Roman" w:hAnsi="Times New Roman"/>
                <w:noProof/>
                <w:color w:val="006100"/>
                <w:sz w:val="20"/>
                <w:szCs w:val="20"/>
              </w:rPr>
            </w:pPr>
          </w:p>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Влизане в сила на законодателни изменения на Закона за енергетиката и Закона за регулиране в мрежовите индустрии</w:t>
            </w:r>
          </w:p>
          <w:p w:rsidR="00D4086A" w:rsidRDefault="00D4086A">
            <w:pPr>
              <w:spacing w:after="0" w:line="240" w:lineRule="auto"/>
              <w:rPr>
                <w:rFonts w:ascii="Times New Roman" w:eastAsia="Times New Roman" w:hAnsi="Times New Roman"/>
                <w:noProof/>
                <w:color w:val="006100"/>
                <w:sz w:val="20"/>
                <w:szCs w:val="20"/>
              </w:rPr>
            </w:pPr>
          </w:p>
          <w:p w:rsidR="00D4086A" w:rsidRDefault="00D4086A">
            <w:pPr>
              <w:spacing w:after="0" w:line="240" w:lineRule="auto"/>
              <w:rPr>
                <w:rFonts w:ascii="Times New Roman" w:eastAsia="Times New Roman" w:hAnsi="Times New Roman"/>
                <w:noProof/>
                <w:color w:val="006100"/>
                <w:sz w:val="20"/>
                <w:szCs w:val="20"/>
              </w:rPr>
            </w:pPr>
          </w:p>
          <w:p w:rsidR="00D4086A" w:rsidRDefault="00D4086A">
            <w:pPr>
              <w:spacing w:after="0" w:line="240" w:lineRule="auto"/>
              <w:rPr>
                <w:rFonts w:ascii="Times New Roman" w:eastAsia="Times New Roman" w:hAnsi="Times New Roman"/>
                <w:noProof/>
                <w:color w:val="006100"/>
                <w:sz w:val="20"/>
                <w:szCs w:val="20"/>
              </w:rPr>
            </w:pPr>
          </w:p>
        </w:tc>
        <w:tc>
          <w:tcPr>
            <w:tcW w:w="6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483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Правната рамка се изменя чрез изменение на Закон 251/20</w:t>
            </w:r>
            <w:r>
              <w:rPr>
                <w:rFonts w:ascii="Times New Roman" w:hAnsi="Times New Roman"/>
                <w:noProof/>
                <w:color w:val="006100"/>
                <w:sz w:val="20"/>
                <w:szCs w:val="20"/>
              </w:rPr>
              <w:t>12 Сб. за енергетиката и Закон 250/2012 Сб. относно регулирането в мрежовите индустрии за транспониране на Директива 2019/944. Освен това актуализираната правна рамка ще улесни новите дейности и достъпа на участниците до пазара на електроенергия (енергийни</w:t>
            </w:r>
            <w:r>
              <w:rPr>
                <w:rFonts w:ascii="Times New Roman" w:hAnsi="Times New Roman"/>
                <w:noProof/>
                <w:color w:val="006100"/>
                <w:sz w:val="20"/>
                <w:szCs w:val="20"/>
              </w:rPr>
              <w:t xml:space="preserve"> общности, агрегатори, потребители на собствена електроенергия, съхранение на електроенергия), като същевременно увеличава цялостната гъвкавост на електроенергийната система и подобрява възможностите за свързване на нови възобновяеми източници към словашка</w:t>
            </w:r>
            <w:r>
              <w:rPr>
                <w:rFonts w:ascii="Times New Roman" w:hAnsi="Times New Roman"/>
                <w:noProof/>
                <w:color w:val="006100"/>
                <w:sz w:val="20"/>
                <w:szCs w:val="20"/>
              </w:rPr>
              <w:t>та мрежа.</w:t>
            </w:r>
          </w:p>
        </w:tc>
      </w:tr>
      <w:tr w:rsidR="00D4086A">
        <w:trPr>
          <w:trHeight w:val="313"/>
        </w:trPr>
        <w:tc>
          <w:tcPr>
            <w:tcW w:w="734"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171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 — Възобновяеми енергийни източници и енергийна инфраструктура — Реформа 1: Адаптиране на правната рамка в областта на електроенергията </w:t>
            </w:r>
          </w:p>
        </w:tc>
        <w:tc>
          <w:tcPr>
            <w:tcW w:w="90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62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385724"/>
                <w:sz w:val="20"/>
                <w:szCs w:val="20"/>
              </w:rPr>
            </w:pPr>
            <w:r>
              <w:rPr>
                <w:rFonts w:ascii="Times New Roman" w:hAnsi="Times New Roman"/>
                <w:noProof/>
                <w:color w:val="385724"/>
                <w:sz w:val="20"/>
                <w:szCs w:val="20"/>
              </w:rPr>
              <w:t xml:space="preserve">Освобождаване на ограниченията върху техническите мощности за пренос на електроенергия в рамките на словашката електроенергийна система </w:t>
            </w:r>
          </w:p>
        </w:tc>
        <w:tc>
          <w:tcPr>
            <w:tcW w:w="1800"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rPr>
                <w:rFonts w:ascii="Times New Roman" w:eastAsia="Times New Roman" w:hAnsi="Times New Roman"/>
                <w:noProof/>
                <w:color w:val="385724"/>
                <w:sz w:val="20"/>
                <w:szCs w:val="20"/>
              </w:rPr>
            </w:pPr>
          </w:p>
          <w:p w:rsidR="00D4086A" w:rsidRDefault="00D4086A">
            <w:pPr>
              <w:spacing w:after="0" w:line="240" w:lineRule="auto"/>
              <w:rPr>
                <w:rFonts w:ascii="Times New Roman" w:eastAsia="Times New Roman" w:hAnsi="Times New Roman"/>
                <w:noProof/>
                <w:color w:val="385724"/>
                <w:sz w:val="20"/>
                <w:szCs w:val="20"/>
              </w:rPr>
            </w:pPr>
          </w:p>
          <w:p w:rsidR="00D4086A" w:rsidRDefault="00D5307E">
            <w:pPr>
              <w:spacing w:after="0" w:line="240" w:lineRule="auto"/>
              <w:rPr>
                <w:rFonts w:ascii="Times New Roman" w:eastAsia="Times New Roman" w:hAnsi="Times New Roman"/>
                <w:noProof/>
                <w:color w:val="385724"/>
                <w:sz w:val="20"/>
                <w:szCs w:val="20"/>
              </w:rPr>
            </w:pPr>
            <w:r>
              <w:rPr>
                <w:rFonts w:ascii="Times New Roman" w:hAnsi="Times New Roman"/>
                <w:noProof/>
                <w:color w:val="385724"/>
                <w:sz w:val="20"/>
                <w:szCs w:val="20"/>
              </w:rPr>
              <w:t xml:space="preserve">Съвместна публична декларация на Министерството на икономиката и оператора на словашката преносна система </w:t>
            </w:r>
            <w:r>
              <w:rPr>
                <w:rFonts w:ascii="Times New Roman" w:hAnsi="Times New Roman"/>
                <w:i/>
                <w:iCs/>
                <w:noProof/>
                <w:color w:val="385724"/>
                <w:sz w:val="20"/>
                <w:szCs w:val="20"/>
              </w:rPr>
              <w:t>Slovenská e</w:t>
            </w:r>
            <w:r>
              <w:rPr>
                <w:rFonts w:ascii="Times New Roman" w:hAnsi="Times New Roman"/>
                <w:i/>
                <w:iCs/>
                <w:noProof/>
                <w:color w:val="385724"/>
                <w:sz w:val="20"/>
                <w:szCs w:val="20"/>
              </w:rPr>
              <w:t>lektrizačná prenosová sústava, a.s.</w:t>
            </w:r>
            <w:r>
              <w:rPr>
                <w:rFonts w:ascii="Times New Roman" w:hAnsi="Times New Roman"/>
                <w:noProof/>
                <w:color w:val="385724"/>
                <w:sz w:val="20"/>
                <w:szCs w:val="20"/>
              </w:rPr>
              <w:t xml:space="preserve"> </w:t>
            </w:r>
          </w:p>
          <w:p w:rsidR="00D4086A" w:rsidRDefault="00D4086A">
            <w:pPr>
              <w:spacing w:after="0" w:line="240" w:lineRule="auto"/>
              <w:rPr>
                <w:rFonts w:ascii="Times New Roman" w:eastAsia="Times New Roman" w:hAnsi="Times New Roman"/>
                <w:noProof/>
                <w:color w:val="385724"/>
                <w:sz w:val="20"/>
                <w:szCs w:val="20"/>
              </w:rPr>
            </w:pPr>
          </w:p>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385724"/>
                <w:sz w:val="20"/>
                <w:szCs w:val="20"/>
              </w:rPr>
              <w:t xml:space="preserve"> </w:t>
            </w:r>
          </w:p>
        </w:tc>
        <w:tc>
          <w:tcPr>
            <w:tcW w:w="6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tcPr>
          <w:p w:rsidR="00D4086A" w:rsidRDefault="00D4086A">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Т2</w:t>
            </w:r>
          </w:p>
          <w:p w:rsidR="00D4086A" w:rsidRDefault="00D4086A">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2021</w:t>
            </w:r>
          </w:p>
        </w:tc>
        <w:tc>
          <w:tcPr>
            <w:tcW w:w="4835"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both"/>
              <w:rPr>
                <w:rFonts w:ascii="Times New Roman" w:eastAsia="Times New Roman" w:hAnsi="Times New Roman"/>
                <w:noProof/>
                <w:color w:val="006100"/>
                <w:sz w:val="20"/>
                <w:szCs w:val="20"/>
              </w:rPr>
            </w:pPr>
          </w:p>
          <w:p w:rsidR="00D4086A" w:rsidRDefault="00D5307E">
            <w:pPr>
              <w:spacing w:after="0" w:line="240" w:lineRule="auto"/>
              <w:jc w:val="both"/>
              <w:rPr>
                <w:rFonts w:ascii="Times New Roman" w:eastAsia="Times New Roman" w:hAnsi="Times New Roman"/>
                <w:noProof/>
                <w:color w:val="385724"/>
                <w:sz w:val="20"/>
                <w:szCs w:val="20"/>
              </w:rPr>
            </w:pPr>
            <w:r>
              <w:rPr>
                <w:rFonts w:ascii="Times New Roman" w:hAnsi="Times New Roman"/>
                <w:noProof/>
                <w:color w:val="006100"/>
                <w:sz w:val="20"/>
                <w:szCs w:val="20"/>
              </w:rPr>
              <w:t>Словашкото министерство на икономиката и словашкият оператор на електропреносната мрежа</w:t>
            </w:r>
            <w:r>
              <w:rPr>
                <w:rFonts w:ascii="Times New Roman" w:hAnsi="Times New Roman"/>
                <w:noProof/>
                <w:color w:val="385724"/>
                <w:sz w:val="20"/>
                <w:szCs w:val="20"/>
              </w:rPr>
              <w:t xml:space="preserve"> </w:t>
            </w:r>
            <w:r>
              <w:rPr>
                <w:rFonts w:ascii="Times New Roman" w:hAnsi="Times New Roman"/>
                <w:i/>
                <w:noProof/>
                <w:color w:val="385724"/>
                <w:sz w:val="20"/>
                <w:szCs w:val="20"/>
              </w:rPr>
              <w:t>Slovenská elektrizačná prenosová sústava, a.s.</w:t>
            </w:r>
            <w:r>
              <w:rPr>
                <w:rFonts w:ascii="Times New Roman" w:hAnsi="Times New Roman"/>
                <w:noProof/>
                <w:color w:val="385724"/>
                <w:sz w:val="20"/>
                <w:szCs w:val="20"/>
              </w:rPr>
              <w:t xml:space="preserve"> </w:t>
            </w:r>
            <w:r>
              <w:rPr>
                <w:rFonts w:ascii="Times New Roman" w:hAnsi="Times New Roman"/>
                <w:noProof/>
                <w:color w:val="006100"/>
                <w:sz w:val="20"/>
                <w:szCs w:val="20"/>
              </w:rPr>
              <w:t xml:space="preserve"> декларират освобождаването на ограниченията върху техническите мощности за пренос на електроенергия в рамките на словашката електроенергийна система и увеличаването на капацитета за свързване на възобновяеми </w:t>
            </w:r>
            <w:r>
              <w:rPr>
                <w:rFonts w:ascii="Times New Roman" w:hAnsi="Times New Roman"/>
                <w:noProof/>
                <w:color w:val="385724"/>
                <w:sz w:val="20"/>
                <w:szCs w:val="20"/>
              </w:rPr>
              <w:t>източници към мрежата</w:t>
            </w:r>
            <w:r>
              <w:rPr>
                <w:rFonts w:ascii="Times New Roman" w:hAnsi="Times New Roman"/>
                <w:noProof/>
                <w:color w:val="006100"/>
                <w:sz w:val="20"/>
                <w:szCs w:val="20"/>
              </w:rPr>
              <w:t>. Мярката се улеснява чрез</w:t>
            </w:r>
            <w:r>
              <w:rPr>
                <w:rFonts w:ascii="Times New Roman" w:hAnsi="Times New Roman"/>
                <w:noProof/>
                <w:color w:val="006100"/>
                <w:sz w:val="20"/>
                <w:szCs w:val="20"/>
              </w:rPr>
              <w:t xml:space="preserve"> увеличаване на нетния преносен капацитет на преносните връзки с Република Унгария.</w:t>
            </w:r>
          </w:p>
          <w:p w:rsidR="00D4086A" w:rsidRDefault="00D4086A">
            <w:pPr>
              <w:spacing w:after="0" w:line="240" w:lineRule="auto"/>
              <w:jc w:val="both"/>
              <w:rPr>
                <w:rFonts w:ascii="Times New Roman" w:eastAsia="Times New Roman" w:hAnsi="Times New Roman"/>
                <w:noProof/>
                <w:color w:val="006100"/>
                <w:sz w:val="20"/>
                <w:szCs w:val="20"/>
              </w:rPr>
            </w:pPr>
          </w:p>
        </w:tc>
      </w:tr>
      <w:tr w:rsidR="00D4086A">
        <w:trPr>
          <w:trHeight w:val="1779"/>
        </w:trPr>
        <w:tc>
          <w:tcPr>
            <w:tcW w:w="734"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71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1 – Възобновяеми енергийни източници и енергийна инфраструктура – реформа 2: Правна рамка за насърчаване на възобновяемите енергийни източници</w:t>
            </w:r>
          </w:p>
        </w:tc>
        <w:tc>
          <w:tcPr>
            <w:tcW w:w="90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rPr>
                <w:rFonts w:ascii="Times New Roman" w:eastAsia="Times New Roman" w:hAnsi="Times New Roman"/>
                <w:noProof/>
                <w:color w:val="006100"/>
                <w:spacing w:val="-8"/>
                <w:sz w:val="20"/>
                <w:szCs w:val="20"/>
              </w:rPr>
            </w:pPr>
            <w:r>
              <w:rPr>
                <w:rFonts w:ascii="Times New Roman" w:hAnsi="Times New Roman"/>
                <w:noProof/>
                <w:color w:val="006100"/>
                <w:spacing w:val="-8"/>
                <w:sz w:val="20"/>
                <w:szCs w:val="20"/>
              </w:rPr>
              <w:t>Ключов етап</w:t>
            </w:r>
          </w:p>
        </w:tc>
        <w:tc>
          <w:tcPr>
            <w:tcW w:w="162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385724"/>
                <w:sz w:val="20"/>
                <w:szCs w:val="20"/>
              </w:rPr>
            </w:pPr>
            <w:r>
              <w:rPr>
                <w:rFonts w:ascii="Times New Roman" w:hAnsi="Times New Roman"/>
                <w:noProof/>
                <w:color w:val="385724"/>
                <w:sz w:val="20"/>
                <w:szCs w:val="20"/>
              </w:rPr>
              <w:t xml:space="preserve">Рамка за подкрепа на инвестициите в нови възобновяеми източници </w:t>
            </w:r>
          </w:p>
        </w:tc>
        <w:tc>
          <w:tcPr>
            <w:tcW w:w="180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Влизане в сила на законодателни изменения на Закона за насърчаване на възобновяемите енергийни източници и високоефективното комбинирано производство на енергия и на Закона за топлинната ене</w:t>
            </w:r>
            <w:r>
              <w:rPr>
                <w:rFonts w:ascii="Times New Roman" w:hAnsi="Times New Roman"/>
                <w:noProof/>
                <w:color w:val="006100"/>
                <w:sz w:val="20"/>
                <w:szCs w:val="20"/>
              </w:rPr>
              <w:t xml:space="preserve">ргия. </w:t>
            </w:r>
          </w:p>
          <w:p w:rsidR="00D4086A" w:rsidRDefault="00D4086A">
            <w:pPr>
              <w:spacing w:after="0" w:line="240" w:lineRule="auto"/>
              <w:rPr>
                <w:rFonts w:ascii="Times New Roman" w:eastAsia="Times New Roman" w:hAnsi="Times New Roman"/>
                <w:noProof/>
                <w:color w:val="006100"/>
                <w:sz w:val="20"/>
                <w:szCs w:val="20"/>
              </w:rPr>
            </w:pPr>
          </w:p>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Приемане на дългосрочен план за тръжна продажба от Министерството на икономиката</w:t>
            </w:r>
          </w:p>
          <w:p w:rsidR="00D4086A" w:rsidRDefault="00D4086A">
            <w:pPr>
              <w:spacing w:after="0" w:line="240" w:lineRule="auto"/>
              <w:rPr>
                <w:rFonts w:ascii="Times New Roman" w:eastAsia="Times New Roman" w:hAnsi="Times New Roman"/>
                <w:noProof/>
                <w:color w:val="006100"/>
                <w:sz w:val="20"/>
                <w:szCs w:val="20"/>
              </w:rPr>
            </w:pPr>
          </w:p>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Приемане на инвестиционни схеми от Министерството на икономиката за насърчаване</w:t>
            </w:r>
          </w:p>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на нови източници на електроенергия от възобновяеми енергийни източници (определени в </w:t>
            </w:r>
            <w:r>
              <w:rPr>
                <w:rFonts w:ascii="Times New Roman" w:hAnsi="Times New Roman"/>
                <w:noProof/>
                <w:color w:val="006100"/>
                <w:sz w:val="20"/>
                <w:szCs w:val="20"/>
              </w:rPr>
              <w:t xml:space="preserve">Инвестиция 1), инвестиции за увеличаване на мощността (определени в Инвестиция 2) и инвестиции за повишаване на гъвкавостта на електроенергийната система </w:t>
            </w:r>
          </w:p>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(определено в Инвестицион 3)</w:t>
            </w:r>
          </w:p>
          <w:p w:rsidR="00D4086A" w:rsidRDefault="00D4086A">
            <w:pPr>
              <w:spacing w:before="120" w:after="0" w:line="240" w:lineRule="auto"/>
              <w:jc w:val="both"/>
              <w:rPr>
                <w:rFonts w:ascii="Times New Roman" w:eastAsia="Times New Roman" w:hAnsi="Times New Roman"/>
                <w:noProof/>
                <w:color w:val="006100"/>
                <w:sz w:val="20"/>
                <w:szCs w:val="20"/>
              </w:rPr>
            </w:pPr>
          </w:p>
          <w:p w:rsidR="00D4086A" w:rsidRDefault="00D4086A">
            <w:pPr>
              <w:spacing w:before="120" w:after="0" w:line="240" w:lineRule="auto"/>
              <w:jc w:val="both"/>
              <w:rPr>
                <w:rFonts w:ascii="Times New Roman" w:eastAsia="Times New Roman" w:hAnsi="Times New Roman"/>
                <w:noProof/>
                <w:color w:val="006100"/>
                <w:sz w:val="20"/>
                <w:szCs w:val="20"/>
              </w:rPr>
            </w:pPr>
          </w:p>
          <w:p w:rsidR="00D4086A" w:rsidRDefault="00D4086A">
            <w:pPr>
              <w:spacing w:after="0" w:line="240" w:lineRule="auto"/>
              <w:rPr>
                <w:rFonts w:ascii="Times New Roman" w:eastAsia="Times New Roman" w:hAnsi="Times New Roman"/>
                <w:noProof/>
                <w:color w:val="006100"/>
                <w:sz w:val="20"/>
                <w:szCs w:val="20"/>
              </w:rPr>
            </w:pPr>
          </w:p>
        </w:tc>
        <w:tc>
          <w:tcPr>
            <w:tcW w:w="6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4835"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both"/>
              <w:rPr>
                <w:rFonts w:ascii="Times New Roman" w:eastAsia="Times New Roman" w:hAnsi="Times New Roman"/>
                <w:noProof/>
                <w:color w:val="006100"/>
                <w:sz w:val="20"/>
                <w:szCs w:val="20"/>
              </w:rPr>
            </w:pPr>
          </w:p>
          <w:p w:rsidR="00D4086A" w:rsidRDefault="00D4086A">
            <w:pPr>
              <w:spacing w:after="0" w:line="240" w:lineRule="auto"/>
              <w:jc w:val="both"/>
              <w:rPr>
                <w:rFonts w:ascii="Times New Roman" w:eastAsia="Times New Roman" w:hAnsi="Times New Roman"/>
                <w:noProof/>
                <w:color w:val="006100"/>
                <w:sz w:val="20"/>
                <w:szCs w:val="20"/>
              </w:rPr>
            </w:pPr>
          </w:p>
          <w:p w:rsidR="00D4086A" w:rsidRDefault="00D5307E">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Законодателните изменения създават механизми за подкрепа за увеличаване на дела на възобновяемите енергийни източници в транспортния, електроенергийния и отоплителния сектор. Правната рамка се изменя чрез изменение на Закони 309/2009 Сб. за насърчаване на </w:t>
            </w:r>
            <w:r>
              <w:rPr>
                <w:rFonts w:ascii="Times New Roman" w:hAnsi="Times New Roman"/>
                <w:noProof/>
                <w:color w:val="006100"/>
                <w:sz w:val="20"/>
                <w:szCs w:val="20"/>
              </w:rPr>
              <w:t xml:space="preserve">възобновяемите енергийни източници и високоефективното комбинирано производство на енергия и на Закон 657/2004 Сб. за топлинната енергия. </w:t>
            </w:r>
          </w:p>
          <w:p w:rsidR="00D4086A" w:rsidRDefault="00D4086A">
            <w:pPr>
              <w:spacing w:after="0" w:line="240" w:lineRule="auto"/>
              <w:jc w:val="both"/>
              <w:rPr>
                <w:rFonts w:ascii="Times New Roman" w:eastAsia="Times New Roman" w:hAnsi="Times New Roman"/>
                <w:noProof/>
                <w:color w:val="006100"/>
                <w:sz w:val="20"/>
                <w:szCs w:val="20"/>
              </w:rPr>
            </w:pPr>
          </w:p>
          <w:p w:rsidR="00D4086A" w:rsidRDefault="00D5307E">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Министерството на икономиката приема дългосрочен тръжен план за нови възобновяеми източници, който допринася за по-д</w:t>
            </w:r>
            <w:r>
              <w:rPr>
                <w:rFonts w:ascii="Times New Roman" w:hAnsi="Times New Roman"/>
                <w:noProof/>
                <w:color w:val="006100"/>
                <w:sz w:val="20"/>
                <w:szCs w:val="20"/>
              </w:rPr>
              <w:t>обра предвидимост на увеличаването на капацитета на новите възобновяеми мощности.</w:t>
            </w:r>
          </w:p>
          <w:p w:rsidR="00D4086A" w:rsidRDefault="00D5307E">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w:t>
            </w:r>
          </w:p>
          <w:p w:rsidR="00D4086A" w:rsidRDefault="00D5307E">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Министерството на икономиката приема новата тръжна схема за нови източници на електроенергия от възобновяеми енергийни източници (определена в Инвестиция 1), схемите за по</w:t>
            </w:r>
            <w:r>
              <w:rPr>
                <w:rFonts w:ascii="Times New Roman" w:hAnsi="Times New Roman"/>
                <w:noProof/>
                <w:color w:val="006100"/>
                <w:sz w:val="20"/>
                <w:szCs w:val="20"/>
              </w:rPr>
              <w:t>дпомагане на инвестиции за увеличаване на мощността (определени в Инвестиция 2) и увеличаване на гъвкавостта на електроенергийната система (определена в Инвестиция 3). В схемите се описват подробно критериите за допустимост на подпомаганите дружества, като</w:t>
            </w:r>
            <w:r>
              <w:rPr>
                <w:rFonts w:ascii="Times New Roman" w:hAnsi="Times New Roman"/>
                <w:noProof/>
                <w:color w:val="006100"/>
                <w:sz w:val="20"/>
                <w:szCs w:val="20"/>
              </w:rPr>
              <w:t xml:space="preserve"> се гарантира съответствие с достиженията на правото на ЕС и националното законодателство в областта на околната среда, както и с техническите насоки на DNSH (2021/C58/01) на подпомаганите дейности и/или дружества, като същевременно се увеличава новият кап</w:t>
            </w:r>
            <w:r>
              <w:rPr>
                <w:rFonts w:ascii="Times New Roman" w:hAnsi="Times New Roman"/>
                <w:noProof/>
                <w:color w:val="006100"/>
                <w:sz w:val="20"/>
                <w:szCs w:val="20"/>
              </w:rPr>
              <w:t>ацитет за ВЕИ, както е описано подробно в съответните цели (за инвестиции 1, 2 и 3). Проектите за биомаса трябва да постигат поне 80 % намаление на емисиите на парникови газове в съответствие с методиката за намаляване на емисиите на парникови газове и отн</w:t>
            </w:r>
            <w:r>
              <w:rPr>
                <w:rFonts w:ascii="Times New Roman" w:hAnsi="Times New Roman"/>
                <w:noProof/>
                <w:color w:val="006100"/>
                <w:sz w:val="20"/>
                <w:szCs w:val="20"/>
              </w:rPr>
              <w:t>осителния сравнителен показател за изкопаеми горива, определен в приложение VI към Директива (ЕС) 2018/2001. Подкрепят се само инвестиции във водноелектрически централи, които са в съответствие с достиженията на правото на ЕС.</w:t>
            </w:r>
          </w:p>
          <w:p w:rsidR="00D4086A" w:rsidRDefault="00D4086A">
            <w:pPr>
              <w:spacing w:after="0" w:line="240" w:lineRule="auto"/>
              <w:jc w:val="both"/>
              <w:rPr>
                <w:rFonts w:ascii="Times New Roman" w:eastAsia="Times New Roman" w:hAnsi="Times New Roman"/>
                <w:noProof/>
                <w:color w:val="006100"/>
                <w:sz w:val="20"/>
                <w:szCs w:val="20"/>
              </w:rPr>
            </w:pPr>
          </w:p>
          <w:p w:rsidR="00D4086A" w:rsidRDefault="00D4086A">
            <w:pPr>
              <w:spacing w:after="0" w:line="240" w:lineRule="auto"/>
              <w:rPr>
                <w:rFonts w:ascii="Times New Roman" w:eastAsia="Times New Roman" w:hAnsi="Times New Roman"/>
                <w:noProof/>
                <w:color w:val="006100"/>
                <w:sz w:val="20"/>
                <w:szCs w:val="20"/>
                <w:highlight w:val="yellow"/>
              </w:rPr>
            </w:pPr>
          </w:p>
          <w:p w:rsidR="00D4086A" w:rsidRDefault="00D4086A">
            <w:pPr>
              <w:spacing w:after="0" w:line="240" w:lineRule="auto"/>
              <w:jc w:val="both"/>
              <w:rPr>
                <w:rFonts w:ascii="Times New Roman" w:eastAsia="Times New Roman" w:hAnsi="Times New Roman"/>
                <w:noProof/>
                <w:color w:val="006100"/>
                <w:sz w:val="20"/>
                <w:szCs w:val="20"/>
              </w:rPr>
            </w:pPr>
          </w:p>
        </w:tc>
      </w:tr>
      <w:tr w:rsidR="00D4086A">
        <w:trPr>
          <w:trHeight w:val="732"/>
        </w:trPr>
        <w:tc>
          <w:tcPr>
            <w:tcW w:w="734"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4</w:t>
            </w:r>
          </w:p>
        </w:tc>
        <w:tc>
          <w:tcPr>
            <w:tcW w:w="171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 — Възобновяеми </w:t>
            </w:r>
            <w:r>
              <w:rPr>
                <w:rFonts w:ascii="Times New Roman" w:hAnsi="Times New Roman"/>
                <w:noProof/>
                <w:color w:val="006100"/>
                <w:sz w:val="20"/>
                <w:szCs w:val="20"/>
              </w:rPr>
              <w:t>енергийни източници и енергийна инфраструктура — Инвестиция 1:  Изграждане на нови възобновяеми енергийни източници</w:t>
            </w:r>
          </w:p>
          <w:p w:rsidR="00D4086A" w:rsidRDefault="00D4086A">
            <w:pPr>
              <w:spacing w:after="0" w:line="240" w:lineRule="auto"/>
              <w:rPr>
                <w:rFonts w:ascii="Times New Roman" w:eastAsia="Times New Roman" w:hAnsi="Times New Roman"/>
                <w:noProof/>
                <w:color w:val="006100"/>
                <w:sz w:val="20"/>
                <w:szCs w:val="20"/>
              </w:rPr>
            </w:pPr>
          </w:p>
          <w:p w:rsidR="00D4086A" w:rsidRDefault="00D4086A">
            <w:pPr>
              <w:spacing w:after="0" w:line="240" w:lineRule="auto"/>
              <w:rPr>
                <w:rFonts w:ascii="Times New Roman" w:eastAsia="Times New Roman" w:hAnsi="Times New Roman"/>
                <w:noProof/>
                <w:color w:val="006100"/>
                <w:sz w:val="20"/>
                <w:szCs w:val="20"/>
              </w:rPr>
            </w:pPr>
          </w:p>
        </w:tc>
        <w:tc>
          <w:tcPr>
            <w:tcW w:w="90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62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385724"/>
                <w:sz w:val="20"/>
                <w:szCs w:val="20"/>
              </w:rPr>
            </w:pPr>
            <w:r>
              <w:rPr>
                <w:rFonts w:ascii="Times New Roman" w:hAnsi="Times New Roman"/>
                <w:noProof/>
                <w:color w:val="385724"/>
                <w:sz w:val="20"/>
                <w:szCs w:val="20"/>
              </w:rPr>
              <w:t xml:space="preserve">Нов капацитет на възобновяемите енергийни източници  </w:t>
            </w:r>
          </w:p>
        </w:tc>
        <w:tc>
          <w:tcPr>
            <w:tcW w:w="180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6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MW</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0</w:t>
            </w:r>
          </w:p>
        </w:tc>
        <w:tc>
          <w:tcPr>
            <w:tcW w:w="851"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120</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Т2</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4835"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rPr>
                <w:rFonts w:ascii="Times New Roman" w:eastAsia="Times New Roman" w:hAnsi="Times New Roman"/>
                <w:noProof/>
                <w:color w:val="006100"/>
                <w:sz w:val="20"/>
                <w:szCs w:val="20"/>
              </w:rPr>
            </w:pPr>
          </w:p>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От общата цел за увеличаване на новия капацитет за производс</w:t>
            </w:r>
            <w:r>
              <w:rPr>
                <w:rFonts w:ascii="Times New Roman" w:hAnsi="Times New Roman"/>
                <w:noProof/>
                <w:color w:val="006100"/>
                <w:sz w:val="20"/>
                <w:szCs w:val="20"/>
              </w:rPr>
              <w:t xml:space="preserve">тво на електроенергия от възобновяеми източници със 122,4 MW схемата за подпомагане осигурява по мярката най-малко 120 MW нови мощности за електроенергия от възобновяеми източници, свързани към мрежата. </w:t>
            </w:r>
          </w:p>
          <w:p w:rsidR="00D4086A" w:rsidRDefault="00D4086A">
            <w:pPr>
              <w:spacing w:after="0" w:line="240" w:lineRule="auto"/>
              <w:rPr>
                <w:rFonts w:ascii="Times New Roman" w:eastAsia="Times New Roman" w:hAnsi="Times New Roman"/>
                <w:noProof/>
                <w:color w:val="006100"/>
                <w:sz w:val="20"/>
                <w:szCs w:val="20"/>
              </w:rPr>
            </w:pPr>
          </w:p>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Механизмът за подпомагане е под формата на търгове </w:t>
            </w:r>
            <w:r>
              <w:rPr>
                <w:rFonts w:ascii="Times New Roman" w:hAnsi="Times New Roman"/>
                <w:noProof/>
                <w:color w:val="006100"/>
                <w:sz w:val="20"/>
                <w:szCs w:val="20"/>
              </w:rPr>
              <w:t>за инвестиционно подпомагане за нови източници на електроенергия от възобновяеми източници. Схемата за подпомагане спазва условията на инвестиционните политики, както е посочено в ключов етап 3 („1 – Възобновяеми енергийни източници и енергийна инфраструкт</w:t>
            </w:r>
            <w:r>
              <w:rPr>
                <w:rFonts w:ascii="Times New Roman" w:hAnsi="Times New Roman"/>
                <w:noProof/>
                <w:color w:val="006100"/>
                <w:sz w:val="20"/>
                <w:szCs w:val="20"/>
              </w:rPr>
              <w:t>ура – реформа 2:  Правна рамка за насърчаване на възобновяемите енергийни източници“).</w:t>
            </w:r>
          </w:p>
          <w:p w:rsidR="00D4086A" w:rsidRDefault="00D4086A">
            <w:pPr>
              <w:spacing w:after="0" w:line="240" w:lineRule="auto"/>
              <w:rPr>
                <w:rFonts w:ascii="Times New Roman" w:eastAsia="Times New Roman" w:hAnsi="Times New Roman"/>
                <w:noProof/>
                <w:color w:val="006100"/>
                <w:sz w:val="20"/>
                <w:szCs w:val="20"/>
              </w:rPr>
            </w:pPr>
          </w:p>
        </w:tc>
      </w:tr>
      <w:tr w:rsidR="00D4086A">
        <w:trPr>
          <w:trHeight w:val="448"/>
        </w:trPr>
        <w:tc>
          <w:tcPr>
            <w:tcW w:w="734"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5</w:t>
            </w:r>
          </w:p>
        </w:tc>
        <w:tc>
          <w:tcPr>
            <w:tcW w:w="171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1 – Възобновяеми енергийни източници и енергийна инфраструктура – инвестиции 2: Модернизиране на съществуващите възобновяеми източници на електроенергия (увеличаване</w:t>
            </w:r>
            <w:r>
              <w:rPr>
                <w:rFonts w:ascii="Times New Roman" w:hAnsi="Times New Roman"/>
                <w:noProof/>
                <w:color w:val="006100"/>
                <w:sz w:val="20"/>
                <w:szCs w:val="20"/>
              </w:rPr>
              <w:t xml:space="preserve"> на мощността)</w:t>
            </w:r>
          </w:p>
          <w:p w:rsidR="00D4086A" w:rsidRDefault="00D4086A">
            <w:pPr>
              <w:spacing w:after="0" w:line="240" w:lineRule="auto"/>
              <w:rPr>
                <w:rFonts w:ascii="Times New Roman" w:eastAsia="Times New Roman" w:hAnsi="Times New Roman"/>
                <w:noProof/>
                <w:color w:val="006100"/>
                <w:sz w:val="20"/>
                <w:szCs w:val="20"/>
              </w:rPr>
            </w:pPr>
          </w:p>
          <w:p w:rsidR="00D4086A" w:rsidRDefault="00D4086A">
            <w:pPr>
              <w:spacing w:after="0" w:line="240" w:lineRule="auto"/>
              <w:rPr>
                <w:rFonts w:ascii="Times New Roman" w:eastAsia="Times New Roman" w:hAnsi="Times New Roman"/>
                <w:noProof/>
                <w:color w:val="006100"/>
                <w:sz w:val="20"/>
                <w:szCs w:val="20"/>
              </w:rPr>
            </w:pPr>
          </w:p>
        </w:tc>
        <w:tc>
          <w:tcPr>
            <w:tcW w:w="90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62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385724"/>
                <w:sz w:val="20"/>
                <w:szCs w:val="20"/>
              </w:rPr>
            </w:pPr>
            <w:r>
              <w:rPr>
                <w:rFonts w:ascii="Times New Roman" w:hAnsi="Times New Roman"/>
                <w:noProof/>
                <w:color w:val="385724"/>
                <w:sz w:val="20"/>
                <w:szCs w:val="20"/>
              </w:rPr>
              <w:t>Реконструиран капацитет на възобновяеми енергийни източници</w:t>
            </w:r>
          </w:p>
        </w:tc>
        <w:tc>
          <w:tcPr>
            <w:tcW w:w="180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6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MW</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0</w:t>
            </w:r>
          </w:p>
        </w:tc>
        <w:tc>
          <w:tcPr>
            <w:tcW w:w="851"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100</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Т2</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4835"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both"/>
              <w:rPr>
                <w:rFonts w:ascii="Times New Roman" w:eastAsia="Times New Roman" w:hAnsi="Times New Roman"/>
                <w:noProof/>
                <w:color w:val="006100"/>
                <w:sz w:val="20"/>
                <w:szCs w:val="20"/>
              </w:rPr>
            </w:pPr>
          </w:p>
          <w:p w:rsidR="00D4086A" w:rsidRDefault="00D5307E">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Увеличаване с поне 100 MW на модернизираната мощност от възобновяеми източници за производство на електроенергия (увеличаване на мощността), предизвикано о</w:t>
            </w:r>
            <w:r>
              <w:rPr>
                <w:rFonts w:ascii="Times New Roman" w:hAnsi="Times New Roman"/>
                <w:noProof/>
                <w:color w:val="006100"/>
                <w:sz w:val="20"/>
                <w:szCs w:val="20"/>
              </w:rPr>
              <w:t>т свързването към мрежата на модернизираните възобновяеми източници на електроенергия по мярката.</w:t>
            </w:r>
          </w:p>
          <w:p w:rsidR="00D4086A" w:rsidRDefault="00D4086A">
            <w:pPr>
              <w:spacing w:after="0" w:line="240" w:lineRule="auto"/>
              <w:jc w:val="both"/>
              <w:rPr>
                <w:rFonts w:ascii="Times New Roman" w:eastAsia="Times New Roman" w:hAnsi="Times New Roman"/>
                <w:noProof/>
                <w:color w:val="006100"/>
                <w:sz w:val="20"/>
                <w:szCs w:val="20"/>
              </w:rPr>
            </w:pPr>
          </w:p>
          <w:p w:rsidR="00D4086A" w:rsidRDefault="00D5307E">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Подпомагането за различните видове модернизирано оборудване се оценява отделно, като се взема предвид принципът на ефективност на разходите. Модернизацията с</w:t>
            </w:r>
            <w:r>
              <w:rPr>
                <w:rFonts w:ascii="Times New Roman" w:hAnsi="Times New Roman"/>
                <w:noProof/>
                <w:color w:val="006100"/>
                <w:sz w:val="20"/>
                <w:szCs w:val="20"/>
              </w:rPr>
              <w:t>е отнася до преобразуването на станции за биогаз и на водноелектрически централи. Схемите за подпомагане спазват условията на инвестиционните политики, както е посочено в етап 3 („1 – Възобновяеми енергийни източници и енергийна инфраструктура – Реформа 2:</w:t>
            </w:r>
            <w:r>
              <w:rPr>
                <w:rFonts w:ascii="Times New Roman" w:hAnsi="Times New Roman"/>
                <w:noProof/>
                <w:color w:val="006100"/>
                <w:sz w:val="20"/>
                <w:szCs w:val="20"/>
              </w:rPr>
              <w:t xml:space="preserve">  Правна рамка за насърчаване на възобновяемите енергийни източници“).</w:t>
            </w:r>
          </w:p>
          <w:p w:rsidR="00D4086A" w:rsidRDefault="00D4086A">
            <w:pPr>
              <w:spacing w:after="0" w:line="240" w:lineRule="auto"/>
              <w:rPr>
                <w:rFonts w:ascii="Times New Roman" w:eastAsia="Times New Roman" w:hAnsi="Times New Roman"/>
                <w:noProof/>
                <w:color w:val="006100"/>
                <w:sz w:val="20"/>
                <w:szCs w:val="20"/>
              </w:rPr>
            </w:pPr>
          </w:p>
        </w:tc>
      </w:tr>
      <w:tr w:rsidR="00D4086A">
        <w:trPr>
          <w:trHeight w:val="882"/>
        </w:trPr>
        <w:tc>
          <w:tcPr>
            <w:tcW w:w="734"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6</w:t>
            </w:r>
          </w:p>
        </w:tc>
        <w:tc>
          <w:tcPr>
            <w:tcW w:w="171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 – Възобновяеми енергийни източници и енергийна инфраструктура – инвестиции 3: Повишаване на гъвкавостта на електроенергийните системи за по-голяма интеграция на възобновяемите енергийни източници </w:t>
            </w:r>
          </w:p>
        </w:tc>
        <w:tc>
          <w:tcPr>
            <w:tcW w:w="90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62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385724"/>
                <w:sz w:val="20"/>
                <w:szCs w:val="20"/>
              </w:rPr>
            </w:pPr>
            <w:r>
              <w:rPr>
                <w:rFonts w:ascii="Times New Roman" w:hAnsi="Times New Roman"/>
                <w:noProof/>
                <w:color w:val="385724"/>
                <w:sz w:val="20"/>
                <w:szCs w:val="20"/>
              </w:rPr>
              <w:t>Кумулативно увеличение на капацитета на инсталациите,</w:t>
            </w:r>
            <w:r>
              <w:rPr>
                <w:rFonts w:ascii="Times New Roman" w:hAnsi="Times New Roman"/>
                <w:noProof/>
                <w:color w:val="385724"/>
                <w:sz w:val="20"/>
                <w:szCs w:val="20"/>
              </w:rPr>
              <w:t xml:space="preserve"> увеличаващо гъвкавостта на енергийните системи </w:t>
            </w:r>
          </w:p>
        </w:tc>
        <w:tc>
          <w:tcPr>
            <w:tcW w:w="180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6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MW</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0</w:t>
            </w:r>
          </w:p>
        </w:tc>
        <w:tc>
          <w:tcPr>
            <w:tcW w:w="851"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68</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Т2</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4835"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both"/>
              <w:rPr>
                <w:rFonts w:ascii="Times New Roman" w:eastAsia="Times New Roman" w:hAnsi="Times New Roman"/>
                <w:noProof/>
                <w:color w:val="006100"/>
                <w:sz w:val="20"/>
                <w:szCs w:val="20"/>
              </w:rPr>
            </w:pPr>
          </w:p>
          <w:p w:rsidR="00D4086A" w:rsidRDefault="00D5307E">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Увеличение с най-малко 68 MW на нови съоръжения за съхраняване на електроенергия, предизвикано от пускането в експлоатация на новите мощности за съхранение по мярката. Схемата подкрепя инс</w:t>
            </w:r>
            <w:r>
              <w:rPr>
                <w:rFonts w:ascii="Times New Roman" w:hAnsi="Times New Roman"/>
                <w:noProof/>
                <w:color w:val="006100"/>
                <w:sz w:val="20"/>
                <w:szCs w:val="20"/>
              </w:rPr>
              <w:t>талирането на нов капацитет на акумулаторните системи, инсталирането на нов капацитет на водородните клетки и увеличаването на балансиращия капацитет на водноелектрическите централи. Точното разпределение на целта от 68 MW ще зависи от търсенето на съответ</w:t>
            </w:r>
            <w:r>
              <w:rPr>
                <w:rFonts w:ascii="Times New Roman" w:hAnsi="Times New Roman"/>
                <w:noProof/>
                <w:color w:val="006100"/>
                <w:sz w:val="20"/>
                <w:szCs w:val="20"/>
              </w:rPr>
              <w:t>ните теми. Инвестициите в балансиращия капацитет на водноелектрическите централи не надвишават 12 000 000 EUR по мярката.</w:t>
            </w:r>
          </w:p>
          <w:p w:rsidR="00D4086A" w:rsidRDefault="00D4086A">
            <w:pPr>
              <w:spacing w:after="0" w:line="240" w:lineRule="auto"/>
              <w:jc w:val="both"/>
              <w:rPr>
                <w:rFonts w:ascii="Times New Roman" w:hAnsi="Times New Roman"/>
                <w:noProof/>
                <w:sz w:val="20"/>
                <w:szCs w:val="20"/>
              </w:rPr>
            </w:pPr>
          </w:p>
          <w:p w:rsidR="00D4086A" w:rsidRDefault="00D5307E">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Подпомагането се предоставя по технологични специфични схеми, като се взема предвид принципът на ефективност на разходите. Схемите за</w:t>
            </w:r>
            <w:r>
              <w:rPr>
                <w:rFonts w:ascii="Times New Roman" w:hAnsi="Times New Roman"/>
                <w:noProof/>
                <w:color w:val="006100"/>
                <w:sz w:val="20"/>
                <w:szCs w:val="20"/>
              </w:rPr>
              <w:t xml:space="preserve"> подпомагане спазват условията на инвестиционните политики, както е посочено в ключов етап 3 („1 – Възобновяеми енергийни източници и енергийна инфраструктура – реформа 2: Правна рамка за насърчаване на възобновяемите енергийни източници“).</w:t>
            </w:r>
          </w:p>
          <w:p w:rsidR="00D4086A" w:rsidRDefault="00D4086A">
            <w:pPr>
              <w:spacing w:after="0" w:line="240" w:lineRule="auto"/>
              <w:jc w:val="both"/>
              <w:rPr>
                <w:rFonts w:ascii="Times New Roman" w:eastAsia="Times New Roman" w:hAnsi="Times New Roman"/>
                <w:noProof/>
                <w:color w:val="006100"/>
                <w:sz w:val="20"/>
                <w:szCs w:val="20"/>
              </w:rPr>
            </w:pPr>
          </w:p>
          <w:p w:rsidR="00D4086A" w:rsidRDefault="00D4086A">
            <w:pPr>
              <w:spacing w:after="0" w:line="240" w:lineRule="auto"/>
              <w:rPr>
                <w:rFonts w:ascii="Times New Roman" w:eastAsia="Times New Roman" w:hAnsi="Times New Roman"/>
                <w:noProof/>
                <w:color w:val="006100"/>
                <w:sz w:val="20"/>
                <w:szCs w:val="20"/>
              </w:rPr>
            </w:pPr>
          </w:p>
        </w:tc>
      </w:tr>
    </w:tbl>
    <w:p w:rsidR="00D4086A" w:rsidRDefault="00D4086A">
      <w:pPr>
        <w:spacing w:before="120" w:after="120" w:line="240" w:lineRule="auto"/>
        <w:ind w:left="709"/>
        <w:jc w:val="both"/>
        <w:rPr>
          <w:rFonts w:ascii="Times New Roman" w:hAnsi="Times New Roman"/>
          <w:noProof/>
          <w:sz w:val="24"/>
          <w:szCs w:val="24"/>
        </w:rPr>
      </w:pPr>
    </w:p>
    <w:p w:rsidR="00D4086A" w:rsidRDefault="00D4086A">
      <w:pPr>
        <w:spacing w:before="120" w:after="120" w:line="240" w:lineRule="auto"/>
        <w:ind w:left="709"/>
        <w:jc w:val="both"/>
        <w:rPr>
          <w:rFonts w:ascii="Times New Roman" w:hAnsi="Times New Roman"/>
          <w:noProof/>
          <w:sz w:val="24"/>
        </w:rPr>
        <w:sectPr w:rsidR="00D4086A">
          <w:headerReference w:type="even" r:id="rId24"/>
          <w:headerReference w:type="default" r:id="rId25"/>
          <w:footerReference w:type="even" r:id="rId26"/>
          <w:footerReference w:type="default" r:id="rId27"/>
          <w:headerReference w:type="first" r:id="rId28"/>
          <w:footerReference w:type="first" r:id="rId29"/>
          <w:pgSz w:w="16839" w:h="11907" w:orient="landscape" w:code="9"/>
          <w:pgMar w:top="568" w:right="720" w:bottom="720" w:left="720" w:header="709" w:footer="709" w:gutter="0"/>
          <w:cols w:space="720"/>
          <w:docGrid w:linePitch="360"/>
        </w:sectPr>
      </w:pPr>
    </w:p>
    <w:p w:rsidR="00D4086A" w:rsidRDefault="00D5307E">
      <w:pPr>
        <w:keepNext/>
        <w:tabs>
          <w:tab w:val="left" w:pos="850"/>
        </w:tabs>
        <w:spacing w:before="120" w:after="120" w:line="240" w:lineRule="auto"/>
        <w:jc w:val="both"/>
        <w:outlineLvl w:val="0"/>
        <w:rPr>
          <w:rFonts w:ascii="Times New Roman" w:hAnsi="Times New Roman"/>
          <w:b/>
          <w:smallCaps/>
          <w:noProof/>
          <w:sz w:val="24"/>
          <w:szCs w:val="24"/>
        </w:rPr>
      </w:pPr>
      <w:r>
        <w:rPr>
          <w:rFonts w:ascii="Times New Roman" w:hAnsi="Times New Roman"/>
          <w:b/>
          <w:bCs/>
          <w:smallCaps/>
          <w:noProof/>
          <w:sz w:val="24"/>
          <w:szCs w:val="24"/>
        </w:rPr>
        <w:t>КОМПОНЕНТ 2: Реновиране на сгради</w:t>
      </w:r>
    </w:p>
    <w:p w:rsidR="00D4086A" w:rsidRDefault="00D5307E">
      <w:pPr>
        <w:spacing w:before="120" w:after="120" w:line="240" w:lineRule="auto"/>
        <w:jc w:val="both"/>
        <w:textAlignment w:val="baseline"/>
        <w:rPr>
          <w:rFonts w:ascii="Times New Roman" w:eastAsia="Times New Roman" w:hAnsi="Times New Roman"/>
          <w:noProof/>
          <w:color w:val="000000"/>
          <w:sz w:val="24"/>
          <w:szCs w:val="24"/>
        </w:rPr>
      </w:pPr>
      <w:r>
        <w:rPr>
          <w:rFonts w:ascii="Times New Roman" w:hAnsi="Times New Roman"/>
          <w:noProof/>
          <w:sz w:val="24"/>
          <w:szCs w:val="24"/>
        </w:rPr>
        <w:t xml:space="preserve">Съгласно словашкия национален план в областта на енергетиката и климата и дългосрочната стратегия за реновиране на сградите постигането на целите на ЕС за намаляване </w:t>
      </w:r>
      <w:r>
        <w:rPr>
          <w:rFonts w:ascii="Times New Roman" w:hAnsi="Times New Roman"/>
          <w:noProof/>
          <w:sz w:val="24"/>
          <w:szCs w:val="24"/>
        </w:rPr>
        <w:t>на емисиите до 2030 г. и 2050 г. изисква значителен преход от частично към средно (30—60 % икономии на първична енергия) и основно (над 60 %) реновиране на сгради.</w:t>
      </w:r>
    </w:p>
    <w:p w:rsidR="00D4086A" w:rsidRDefault="00D5307E">
      <w:pPr>
        <w:spacing w:before="120" w:after="120" w:line="240" w:lineRule="auto"/>
        <w:jc w:val="both"/>
        <w:textAlignment w:val="baseline"/>
        <w:rPr>
          <w:rFonts w:ascii="Times New Roman" w:eastAsia="Times New Roman" w:hAnsi="Times New Roman"/>
          <w:noProof/>
          <w:color w:val="000000"/>
          <w:sz w:val="24"/>
          <w:szCs w:val="24"/>
        </w:rPr>
      </w:pPr>
      <w:r>
        <w:rPr>
          <w:rFonts w:ascii="Times New Roman" w:hAnsi="Times New Roman"/>
          <w:noProof/>
          <w:color w:val="000000"/>
          <w:sz w:val="24"/>
          <w:szCs w:val="24"/>
        </w:rPr>
        <w:t>Този компонент на словашкия план за възстановяване и устойчивост има за цел намаляване на по</w:t>
      </w:r>
      <w:r>
        <w:rPr>
          <w:rFonts w:ascii="Times New Roman" w:hAnsi="Times New Roman"/>
          <w:noProof/>
          <w:color w:val="000000"/>
          <w:sz w:val="24"/>
          <w:szCs w:val="24"/>
        </w:rPr>
        <w:t>треблението на енергия чрез цялостно реновиране на семейните къщи, обществените исторически сгради и включените в списъка сгради. Тя съчетава мерки за подобряване на енергийните характеристики на сградите чрез постигане на най-малко 30 % икономии на първич</w:t>
      </w:r>
      <w:r>
        <w:rPr>
          <w:rFonts w:ascii="Times New Roman" w:hAnsi="Times New Roman"/>
          <w:noProof/>
          <w:color w:val="000000"/>
          <w:sz w:val="24"/>
          <w:szCs w:val="24"/>
        </w:rPr>
        <w:t>на енергия с мерки за насърчаване на адаптирането към изменението на климата (като инсталиране на зелени покриви, система за задържане на вода). Компонентът допринася за целите в областта на климата и околната среда, като същевременно стимулира възстановяв</w:t>
      </w:r>
      <w:r>
        <w:rPr>
          <w:rFonts w:ascii="Times New Roman" w:hAnsi="Times New Roman"/>
          <w:noProof/>
          <w:color w:val="000000"/>
          <w:sz w:val="24"/>
          <w:szCs w:val="24"/>
        </w:rPr>
        <w:t>ането и конкурентоспособността на строителния сектор чрез създаване на повече работни места, по-специално за МСП на местно равнище.</w:t>
      </w:r>
    </w:p>
    <w:p w:rsidR="00D4086A" w:rsidRDefault="00D5307E">
      <w:pPr>
        <w:spacing w:before="120" w:after="120" w:line="240" w:lineRule="auto"/>
        <w:jc w:val="both"/>
        <w:rPr>
          <w:rFonts w:ascii="Times New Roman" w:eastAsia="Times New Roman" w:hAnsi="Times New Roman"/>
          <w:noProof/>
          <w:color w:val="000000"/>
          <w:sz w:val="24"/>
          <w:szCs w:val="24"/>
        </w:rPr>
      </w:pPr>
      <w:r>
        <w:rPr>
          <w:rFonts w:ascii="Times New Roman" w:hAnsi="Times New Roman"/>
          <w:noProof/>
          <w:sz w:val="24"/>
          <w:szCs w:val="24"/>
        </w:rPr>
        <w:t>Очаква се, че нито една мярка в този компонент не вреди в значителна степен на екологичните цели по смисъла на член 17 от Ре</w:t>
      </w:r>
      <w:r>
        <w:rPr>
          <w:rFonts w:ascii="Times New Roman" w:hAnsi="Times New Roman"/>
          <w:noProof/>
          <w:sz w:val="24"/>
          <w:szCs w:val="24"/>
        </w:rPr>
        <w:t xml:space="preserve">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на DNSH (2021/C58/01).  </w:t>
      </w:r>
    </w:p>
    <w:p w:rsidR="00D4086A" w:rsidRDefault="00D5307E">
      <w:pPr>
        <w:spacing w:before="120" w:after="120" w:line="240" w:lineRule="auto"/>
        <w:jc w:val="both"/>
        <w:textAlignment w:val="baseline"/>
        <w:rPr>
          <w:rFonts w:ascii="Times New Roman" w:eastAsia="Times New Roman" w:hAnsi="Times New Roman"/>
          <w:noProof/>
          <w:color w:val="000000"/>
          <w:sz w:val="24"/>
          <w:szCs w:val="24"/>
        </w:rPr>
      </w:pPr>
      <w:r>
        <w:rPr>
          <w:rFonts w:ascii="Times New Roman" w:hAnsi="Times New Roman"/>
          <w:noProof/>
          <w:color w:val="000000"/>
          <w:sz w:val="24"/>
          <w:szCs w:val="24"/>
        </w:rPr>
        <w:t xml:space="preserve">Компонентът включва 3 реформи и 2 </w:t>
      </w:r>
      <w:r>
        <w:rPr>
          <w:rFonts w:ascii="Times New Roman" w:hAnsi="Times New Roman"/>
          <w:noProof/>
          <w:color w:val="000000"/>
          <w:sz w:val="24"/>
          <w:szCs w:val="24"/>
        </w:rPr>
        <w:t>инвестиции.</w:t>
      </w: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Тези инвестиции и реформи ще допринесат за изпълнението на специфичните за всяка държава препоръки, отправени към Словакия през последните две години, за необходимостта от „целенасочена инвестиционна политика в областта на енергийната ефективно</w:t>
      </w:r>
      <w:r>
        <w:rPr>
          <w:rFonts w:ascii="Times New Roman" w:hAnsi="Times New Roman"/>
          <w:noProof/>
          <w:color w:val="000000"/>
          <w:sz w:val="24"/>
          <w:szCs w:val="24"/>
        </w:rPr>
        <w:t>ст“ (специфична препоръка 3/2019 за всяка държава) и за насочване на инвестициите към екологичния преход (специфична за всяка държава препоръка 3/2020).</w:t>
      </w:r>
    </w:p>
    <w:p w:rsidR="00D4086A" w:rsidRDefault="00D4086A">
      <w:pPr>
        <w:spacing w:before="120" w:after="120" w:line="240" w:lineRule="auto"/>
        <w:jc w:val="both"/>
        <w:textAlignment w:val="baseline"/>
        <w:rPr>
          <w:rFonts w:ascii="Times New Roman" w:eastAsia="Times New Roman" w:hAnsi="Times New Roman"/>
          <w:b/>
          <w:bCs/>
          <w:noProof/>
          <w:sz w:val="24"/>
          <w:szCs w:val="24"/>
          <w:u w:val="single"/>
          <w:lang w:eastAsia="fr-BE"/>
        </w:rPr>
      </w:pP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b/>
          <w:bCs/>
          <w:noProof/>
          <w:sz w:val="24"/>
          <w:szCs w:val="24"/>
          <w:u w:val="single"/>
        </w:rPr>
        <w:t>A.1.</w:t>
      </w:r>
      <w:r>
        <w:rPr>
          <w:noProof/>
          <w:sz w:val="24"/>
          <w:szCs w:val="24"/>
        </w:rPr>
        <w:t xml:space="preserve"> </w:t>
      </w:r>
      <w:r>
        <w:rPr>
          <w:rFonts w:ascii="Times New Roman" w:hAnsi="Times New Roman"/>
          <w:b/>
          <w:bCs/>
          <w:noProof/>
          <w:sz w:val="24"/>
          <w:szCs w:val="24"/>
          <w:u w:val="single"/>
        </w:rPr>
        <w:t>Описание на реформите и инвестициите за безвъзмездна финансова подкрепа</w:t>
      </w:r>
      <w:r>
        <w:rPr>
          <w:rFonts w:ascii="Times New Roman" w:hAnsi="Times New Roman"/>
          <w:noProof/>
          <w:sz w:val="24"/>
          <w:szCs w:val="24"/>
        </w:rPr>
        <w:t> </w:t>
      </w:r>
    </w:p>
    <w:p w:rsidR="00D4086A" w:rsidRDefault="00D4086A">
      <w:pPr>
        <w:spacing w:before="120" w:after="120" w:line="240" w:lineRule="auto"/>
        <w:jc w:val="both"/>
        <w:textAlignment w:val="baseline"/>
        <w:rPr>
          <w:rFonts w:ascii="Times New Roman" w:eastAsia="Times New Roman" w:hAnsi="Times New Roman"/>
          <w:i/>
          <w:iCs/>
          <w:noProof/>
          <w:color w:val="4F81BD"/>
          <w:sz w:val="24"/>
          <w:szCs w:val="24"/>
          <w:lang w:eastAsia="fr-BE"/>
        </w:rPr>
      </w:pP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i/>
          <w:noProof/>
          <w:color w:val="4F81BD"/>
          <w:sz w:val="24"/>
          <w:szCs w:val="24"/>
        </w:rPr>
        <w:t>.</w:t>
      </w:r>
      <w:r>
        <w:rPr>
          <w:rFonts w:ascii="Times New Roman" w:hAnsi="Times New Roman"/>
          <w:b/>
          <w:noProof/>
          <w:color w:val="000000"/>
          <w:sz w:val="24"/>
          <w:szCs w:val="24"/>
        </w:rPr>
        <w:t>Реформа 1: Хармонизира</w:t>
      </w:r>
      <w:r>
        <w:rPr>
          <w:rFonts w:ascii="Times New Roman" w:hAnsi="Times New Roman"/>
          <w:b/>
          <w:noProof/>
          <w:color w:val="000000"/>
          <w:sz w:val="24"/>
          <w:szCs w:val="24"/>
        </w:rPr>
        <w:t>не на механизмите за подпомагане на реновирането на семейни къщи.</w:t>
      </w:r>
    </w:p>
    <w:p w:rsidR="00D4086A" w:rsidRDefault="00D4086A">
      <w:pPr>
        <w:spacing w:before="120" w:after="120" w:line="240" w:lineRule="auto"/>
        <w:jc w:val="both"/>
        <w:textAlignment w:val="baseline"/>
        <w:rPr>
          <w:rFonts w:ascii="Times New Roman" w:eastAsia="Times New Roman" w:hAnsi="Times New Roman"/>
          <w:noProof/>
          <w:color w:val="000000"/>
          <w:sz w:val="24"/>
          <w:szCs w:val="24"/>
          <w:lang w:eastAsia="fr-BE"/>
        </w:rPr>
      </w:pPr>
    </w:p>
    <w:p w:rsidR="00D4086A" w:rsidRDefault="00D5307E">
      <w:pPr>
        <w:spacing w:before="120" w:after="120" w:line="240" w:lineRule="auto"/>
        <w:jc w:val="both"/>
        <w:textAlignment w:val="baseline"/>
        <w:rPr>
          <w:rFonts w:ascii="Times New Roman" w:eastAsia="Times New Roman" w:hAnsi="Times New Roman"/>
          <w:noProof/>
          <w:color w:val="000000"/>
          <w:sz w:val="24"/>
          <w:szCs w:val="24"/>
        </w:rPr>
      </w:pPr>
      <w:r>
        <w:rPr>
          <w:rFonts w:ascii="Times New Roman" w:hAnsi="Times New Roman"/>
          <w:noProof/>
          <w:color w:val="000000"/>
          <w:sz w:val="24"/>
          <w:szCs w:val="24"/>
        </w:rPr>
        <w:t xml:space="preserve">Целта на реформата е да се картографират, съгласуват и обединят различните схеми за подпомагане, да се уеднакви и рационализира процесът на реновиране и да се предоставят стимули на </w:t>
      </w:r>
      <w:r>
        <w:rPr>
          <w:rFonts w:ascii="Times New Roman" w:hAnsi="Times New Roman"/>
          <w:noProof/>
          <w:color w:val="000000"/>
          <w:sz w:val="24"/>
          <w:szCs w:val="24"/>
        </w:rPr>
        <w:t xml:space="preserve">собствениците за прилагане на по-широк набор от мерки за реновиране. Разработването на схемите за подпомагане, критериите и условията, както и стъпките за изпълнение се очертават в плана за изпълнение, който трябва да бъде публикуван от словашката агенция </w:t>
      </w:r>
      <w:r>
        <w:rPr>
          <w:rFonts w:ascii="Times New Roman" w:hAnsi="Times New Roman"/>
          <w:noProof/>
          <w:color w:val="000000"/>
          <w:sz w:val="24"/>
          <w:szCs w:val="24"/>
        </w:rPr>
        <w:t>за околната среда до 30 септември 2022 г. За да се гарантира ефективно и навременно изпълнение, капацитетът на словашката агенция за околната среда следва да бъде засилен. Във фазата на изпълнение до собствениците на жилища се достига чрез комуникационна к</w:t>
      </w:r>
      <w:r>
        <w:rPr>
          <w:rFonts w:ascii="Times New Roman" w:hAnsi="Times New Roman"/>
          <w:noProof/>
          <w:color w:val="000000"/>
          <w:sz w:val="24"/>
          <w:szCs w:val="24"/>
        </w:rPr>
        <w:t>ампания и регионални офиси, които предстои да бъдат създадени, както и чрез предоставяне на техническа помощ и консултации.</w:t>
      </w:r>
    </w:p>
    <w:p w:rsidR="00D4086A" w:rsidRDefault="00D4086A">
      <w:pPr>
        <w:spacing w:before="120" w:after="120" w:line="240" w:lineRule="auto"/>
        <w:jc w:val="both"/>
        <w:textAlignment w:val="baseline"/>
        <w:rPr>
          <w:rFonts w:ascii="Segoe UI" w:eastAsia="Times New Roman" w:hAnsi="Segoe UI" w:cs="Segoe UI"/>
          <w:noProof/>
          <w:sz w:val="18"/>
          <w:szCs w:val="18"/>
          <w:lang w:eastAsia="fr-BE"/>
        </w:rPr>
      </w:pP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Изпълнението на реформата приключва до 30 септември 2022 г. </w:t>
      </w:r>
    </w:p>
    <w:p w:rsidR="00D4086A" w:rsidRDefault="00D4086A">
      <w:pPr>
        <w:spacing w:before="120" w:after="120" w:line="240" w:lineRule="auto"/>
        <w:jc w:val="both"/>
        <w:textAlignment w:val="baseline"/>
        <w:rPr>
          <w:rFonts w:ascii="Times New Roman" w:eastAsia="Times New Roman" w:hAnsi="Times New Roman"/>
          <w:b/>
          <w:bCs/>
          <w:noProof/>
          <w:color w:val="000000"/>
          <w:sz w:val="24"/>
          <w:szCs w:val="24"/>
          <w:lang w:eastAsia="fr-BE"/>
        </w:rPr>
      </w:pP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b/>
          <w:bCs/>
          <w:noProof/>
          <w:color w:val="000000"/>
          <w:sz w:val="24"/>
          <w:szCs w:val="24"/>
        </w:rPr>
        <w:t>Инвестиция 1: Подобряване на енергийната ефективност на семейните къщ</w:t>
      </w:r>
      <w:r>
        <w:rPr>
          <w:rFonts w:ascii="Times New Roman" w:hAnsi="Times New Roman"/>
          <w:b/>
          <w:bCs/>
          <w:noProof/>
          <w:color w:val="000000"/>
          <w:sz w:val="24"/>
          <w:szCs w:val="24"/>
        </w:rPr>
        <w:t>и.</w:t>
      </w:r>
    </w:p>
    <w:p w:rsidR="00D4086A" w:rsidRDefault="00D4086A">
      <w:pPr>
        <w:spacing w:before="120" w:after="120" w:line="240" w:lineRule="auto"/>
        <w:jc w:val="both"/>
        <w:textAlignment w:val="baseline"/>
        <w:rPr>
          <w:rFonts w:ascii="Times New Roman" w:eastAsia="Times New Roman" w:hAnsi="Times New Roman"/>
          <w:noProof/>
          <w:color w:val="000000"/>
          <w:sz w:val="24"/>
          <w:szCs w:val="24"/>
          <w:lang w:eastAsia="fr-BE"/>
        </w:rPr>
      </w:pPr>
    </w:p>
    <w:p w:rsidR="00D4086A" w:rsidRDefault="00D5307E">
      <w:pPr>
        <w:spacing w:before="120" w:after="120" w:line="240" w:lineRule="auto"/>
        <w:jc w:val="both"/>
        <w:textAlignment w:val="baseline"/>
        <w:rPr>
          <w:rFonts w:ascii="Times New Roman" w:eastAsia="Times New Roman" w:hAnsi="Times New Roman"/>
          <w:noProof/>
          <w:color w:val="000000"/>
          <w:sz w:val="24"/>
          <w:szCs w:val="24"/>
        </w:rPr>
      </w:pPr>
      <w:r>
        <w:rPr>
          <w:rFonts w:ascii="Times New Roman" w:hAnsi="Times New Roman"/>
          <w:noProof/>
          <w:color w:val="000000"/>
          <w:sz w:val="24"/>
          <w:szCs w:val="24"/>
        </w:rPr>
        <w:t>Целта на инвестицията е да се завърши реновирането на най-малко 30 000 еднофамилни къщи, като същевременно се постигнат средно най-малко 30 % икономии на първична енергия. Инвестицията е насочена към собствениците на по-стари семейни къщи. В допълнение</w:t>
      </w:r>
      <w:r>
        <w:rPr>
          <w:rFonts w:ascii="Times New Roman" w:hAnsi="Times New Roman"/>
          <w:noProof/>
          <w:color w:val="000000"/>
          <w:sz w:val="24"/>
          <w:szCs w:val="24"/>
        </w:rPr>
        <w:t xml:space="preserve"> към традиционните мерки за енергоспестяване, като топлинна изолация, подмяна на прозорци, механизмът дава възможност за замяна на неефективните източници на топлинна енергия и топла вода с инсталации с висока ефективност или монтиране на нови устройства з</w:t>
      </w:r>
      <w:r>
        <w:rPr>
          <w:rFonts w:ascii="Times New Roman" w:hAnsi="Times New Roman"/>
          <w:noProof/>
          <w:color w:val="000000"/>
          <w:sz w:val="24"/>
          <w:szCs w:val="24"/>
        </w:rPr>
        <w:t xml:space="preserve">а енергия от възобновяеми източници. Когато е възможно, се прилагат мерки за повишаване на климатичната устойчивост на сградите (като растително покриви, улавяне на дъждовна вода). За да се мобилизира цялостното и екологосъобразното реновиране, схемите за </w:t>
      </w:r>
      <w:r>
        <w:rPr>
          <w:rFonts w:ascii="Times New Roman" w:hAnsi="Times New Roman"/>
          <w:noProof/>
          <w:color w:val="000000"/>
          <w:sz w:val="24"/>
          <w:szCs w:val="24"/>
        </w:rPr>
        <w:t>подпомагане включват комбинация от задължителна и незадължителна част. Очаква се финансов принос от собствениците. Икономиите на енергия се проверяват основно чрез сертификати за енергийни характеристики или други съответни документи.</w:t>
      </w: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Инвестиционните мерки</w:t>
      </w:r>
      <w:r>
        <w:rPr>
          <w:rFonts w:ascii="Times New Roman" w:hAnsi="Times New Roman"/>
          <w:noProof/>
          <w:color w:val="000000"/>
          <w:sz w:val="24"/>
          <w:szCs w:val="24"/>
        </w:rPr>
        <w:t>, свързани със реновирането на сгради, трябва да отговарят на изискванията на DNSH, включително предотвратяването и рециклирането на отпадъци от строителство и разрушаване и на схемата за подмяна на котлите, които представляват малка част от цялостната про</w:t>
      </w:r>
      <w:r>
        <w:rPr>
          <w:rFonts w:ascii="Times New Roman" w:hAnsi="Times New Roman"/>
          <w:noProof/>
          <w:color w:val="000000"/>
          <w:sz w:val="24"/>
          <w:szCs w:val="24"/>
        </w:rPr>
        <w:t>грама за реновиране.</w:t>
      </w: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Очаква се изпълнението на инвестицията да започне най-късно до 30 септември 2022 г. и да приключи до 30 юни 2026 г. </w:t>
      </w:r>
    </w:p>
    <w:p w:rsidR="00D4086A" w:rsidRDefault="00D4086A">
      <w:pPr>
        <w:spacing w:before="120" w:after="120" w:line="240" w:lineRule="auto"/>
        <w:jc w:val="both"/>
        <w:textAlignment w:val="baseline"/>
        <w:rPr>
          <w:rFonts w:ascii="Times New Roman" w:eastAsia="Times New Roman" w:hAnsi="Times New Roman"/>
          <w:b/>
          <w:bCs/>
          <w:noProof/>
          <w:color w:val="000000"/>
          <w:sz w:val="24"/>
          <w:szCs w:val="24"/>
          <w:lang w:eastAsia="fr-BE"/>
        </w:rPr>
      </w:pP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b/>
          <w:bCs/>
          <w:noProof/>
          <w:color w:val="000000"/>
          <w:sz w:val="24"/>
          <w:szCs w:val="24"/>
        </w:rPr>
        <w:t>Реформа 2: Повишаване на прозрачността и рационализиране на решенията на Управителния съвет на Словашката република.</w:t>
      </w:r>
      <w:r>
        <w:rPr>
          <w:rFonts w:ascii="Times New Roman" w:hAnsi="Times New Roman"/>
          <w:noProof/>
          <w:color w:val="000000"/>
          <w:sz w:val="24"/>
          <w:szCs w:val="24"/>
        </w:rPr>
        <w:t> </w:t>
      </w:r>
    </w:p>
    <w:p w:rsidR="00D4086A" w:rsidRDefault="00D4086A">
      <w:pPr>
        <w:spacing w:before="120" w:after="120" w:line="240" w:lineRule="auto"/>
        <w:jc w:val="both"/>
        <w:textAlignment w:val="baseline"/>
        <w:rPr>
          <w:rFonts w:ascii="Times New Roman" w:eastAsia="Times New Roman" w:hAnsi="Times New Roman"/>
          <w:noProof/>
          <w:color w:val="000000"/>
          <w:sz w:val="24"/>
          <w:szCs w:val="24"/>
          <w:lang w:eastAsia="fr-BE"/>
        </w:rPr>
      </w:pPr>
    </w:p>
    <w:p w:rsidR="00D4086A" w:rsidRDefault="00D5307E">
      <w:pPr>
        <w:spacing w:before="120" w:after="120" w:line="240" w:lineRule="auto"/>
        <w:jc w:val="both"/>
        <w:textAlignment w:val="baseline"/>
        <w:rPr>
          <w:rFonts w:ascii="Times New Roman" w:eastAsia="Times New Roman" w:hAnsi="Times New Roman"/>
          <w:noProof/>
          <w:color w:val="000000"/>
          <w:sz w:val="24"/>
          <w:szCs w:val="24"/>
        </w:rPr>
      </w:pPr>
      <w:r>
        <w:rPr>
          <w:rFonts w:ascii="Times New Roman" w:hAnsi="Times New Roman"/>
          <w:noProof/>
          <w:color w:val="000000"/>
          <w:sz w:val="24"/>
          <w:szCs w:val="24"/>
        </w:rPr>
        <w:t>Реформата има за цел да подобри качеството и ефикасността на процеса на вземане на решения на Управителния съвет на Словашката република, като разработи три методики за:</w:t>
      </w:r>
    </w:p>
    <w:p w:rsidR="00D4086A" w:rsidRDefault="00D5307E">
      <w:pPr>
        <w:numPr>
          <w:ilvl w:val="0"/>
          <w:numId w:val="45"/>
        </w:numPr>
        <w:spacing w:before="120" w:after="120" w:line="240" w:lineRule="auto"/>
        <w:ind w:left="0"/>
        <w:contextualSpacing/>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класифициране на находището на паметниците,</w:t>
      </w:r>
    </w:p>
    <w:p w:rsidR="00D4086A" w:rsidRDefault="00D5307E">
      <w:pPr>
        <w:numPr>
          <w:ilvl w:val="0"/>
          <w:numId w:val="45"/>
        </w:numPr>
        <w:spacing w:before="120" w:after="120" w:line="240" w:lineRule="auto"/>
        <w:ind w:left="0"/>
        <w:contextualSpacing/>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определят обективни критерии, по които У</w:t>
      </w:r>
      <w:r>
        <w:rPr>
          <w:rFonts w:ascii="Times New Roman" w:hAnsi="Times New Roman"/>
          <w:noProof/>
          <w:color w:val="000000"/>
          <w:sz w:val="24"/>
          <w:szCs w:val="24"/>
        </w:rPr>
        <w:t>правителният съвет взема решения, и</w:t>
      </w:r>
    </w:p>
    <w:p w:rsidR="00D4086A" w:rsidRDefault="00D5307E">
      <w:pPr>
        <w:numPr>
          <w:ilvl w:val="0"/>
          <w:numId w:val="45"/>
        </w:numPr>
        <w:spacing w:before="120" w:after="120" w:line="240" w:lineRule="auto"/>
        <w:ind w:left="0"/>
        <w:contextualSpacing/>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количествено определяне на разходите, свързани с намесата на Управителния съвет</w:t>
      </w: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Освен това целта е да се реформира картографирането на държавните паметници чрез оценка на техните технически, строителни и енергийни аспект</w:t>
      </w:r>
      <w:r>
        <w:rPr>
          <w:rFonts w:ascii="Times New Roman" w:hAnsi="Times New Roman"/>
          <w:noProof/>
          <w:color w:val="000000"/>
          <w:sz w:val="24"/>
          <w:szCs w:val="24"/>
        </w:rPr>
        <w:t>и. В резултат на картографирането се издават най-малко 1000 строителни паспорта на съответните държавни паметници. Реформата улеснява инвестиционните решения за реновиране с оглед запазване на монументалната стойност, както и подобряване на енергийната ефе</w:t>
      </w:r>
      <w:r>
        <w:rPr>
          <w:rFonts w:ascii="Times New Roman" w:hAnsi="Times New Roman"/>
          <w:noProof/>
          <w:color w:val="000000"/>
          <w:sz w:val="24"/>
          <w:szCs w:val="24"/>
        </w:rPr>
        <w:t>ктивност, когато е приложимо.</w:t>
      </w:r>
    </w:p>
    <w:p w:rsidR="00D4086A" w:rsidRDefault="00D4086A">
      <w:pPr>
        <w:spacing w:before="120" w:after="120" w:line="240" w:lineRule="auto"/>
        <w:jc w:val="both"/>
        <w:textAlignment w:val="baseline"/>
        <w:rPr>
          <w:rFonts w:ascii="Times New Roman" w:eastAsia="Times New Roman" w:hAnsi="Times New Roman"/>
          <w:noProof/>
          <w:color w:val="000000"/>
          <w:sz w:val="24"/>
          <w:szCs w:val="24"/>
          <w:lang w:eastAsia="fr-BE"/>
        </w:rPr>
      </w:pP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Изпълнението на реформата приключва до 31 декември 2023 г. </w:t>
      </w: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eastAsia="Times New Roman" w:hAnsi="Times New Roman"/>
          <w:b/>
          <w:bCs/>
          <w:noProof/>
          <w:color w:val="000000"/>
          <w:sz w:val="24"/>
          <w:szCs w:val="24"/>
          <w:lang w:eastAsia="fr-BE"/>
        </w:rPr>
        <w:br w:type="page"/>
      </w:r>
      <w:r>
        <w:rPr>
          <w:rFonts w:ascii="Times New Roman" w:hAnsi="Times New Roman"/>
          <w:b/>
          <w:bCs/>
          <w:noProof/>
          <w:color w:val="000000"/>
          <w:sz w:val="24"/>
          <w:szCs w:val="24"/>
        </w:rPr>
        <w:t>Инвестиция 2: Реновиране на исторически и включени в списъка обществени сгради</w:t>
      </w:r>
      <w:r>
        <w:rPr>
          <w:rFonts w:ascii="Times New Roman" w:hAnsi="Times New Roman"/>
          <w:noProof/>
          <w:color w:val="000000"/>
          <w:sz w:val="24"/>
          <w:szCs w:val="24"/>
        </w:rPr>
        <w:t>.</w:t>
      </w:r>
    </w:p>
    <w:p w:rsidR="00D4086A" w:rsidRDefault="00D4086A">
      <w:pPr>
        <w:spacing w:before="120" w:after="120" w:line="240" w:lineRule="auto"/>
        <w:jc w:val="both"/>
        <w:textAlignment w:val="baseline"/>
        <w:rPr>
          <w:rFonts w:ascii="Times New Roman" w:eastAsia="Times New Roman" w:hAnsi="Times New Roman"/>
          <w:noProof/>
          <w:color w:val="000000"/>
          <w:sz w:val="24"/>
          <w:szCs w:val="24"/>
          <w:lang w:eastAsia="fr-BE"/>
        </w:rPr>
      </w:pP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 xml:space="preserve">Историческите и включените в списъка обществени сгради са сред сградите с най-лоши </w:t>
      </w:r>
      <w:r>
        <w:rPr>
          <w:rFonts w:ascii="Times New Roman" w:hAnsi="Times New Roman"/>
          <w:noProof/>
          <w:color w:val="000000"/>
          <w:sz w:val="24"/>
          <w:szCs w:val="24"/>
        </w:rPr>
        <w:t>енергийни характеристики и се нуждаят от специално разработен подход за съхраняване и опазване на тяхната културна стойност и наследство. Целта на инвестицията е да се подобрят енергийните характеристики и структурните условия на историческите и включените</w:t>
      </w:r>
      <w:r>
        <w:rPr>
          <w:rFonts w:ascii="Times New Roman" w:hAnsi="Times New Roman"/>
          <w:noProof/>
          <w:color w:val="000000"/>
          <w:sz w:val="24"/>
          <w:szCs w:val="24"/>
        </w:rPr>
        <w:t xml:space="preserve"> в списъка обществени сгради, като същевременно се защитават техните исторически и културни ценности и се подобрява достъпността на сградите. От общата цел за реновиране на 130 000 m2 се реновират най-малко 117 000 m2 застроени площи с исторически и изброе</w:t>
      </w:r>
      <w:r>
        <w:rPr>
          <w:rFonts w:ascii="Times New Roman" w:hAnsi="Times New Roman"/>
          <w:noProof/>
          <w:color w:val="000000"/>
          <w:sz w:val="24"/>
          <w:szCs w:val="24"/>
        </w:rPr>
        <w:t>ни обществени сгради, като същевременно се постигат средно най-малко 30 % икономии на първична енергия. Очаква се инвестицията да доведе до реновиране на около 100 сгради и да бъде придружена от информационна кампания. Икономиите на енергия се наблюдават и</w:t>
      </w:r>
      <w:r>
        <w:rPr>
          <w:rFonts w:ascii="Times New Roman" w:hAnsi="Times New Roman"/>
          <w:noProof/>
          <w:color w:val="000000"/>
          <w:sz w:val="24"/>
          <w:szCs w:val="24"/>
        </w:rPr>
        <w:t xml:space="preserve"> проверяват чрез сертификати за енергийни характеристики.</w:t>
      </w:r>
    </w:p>
    <w:p w:rsidR="00D4086A" w:rsidRDefault="00D5307E">
      <w:pPr>
        <w:spacing w:before="120" w:after="120" w:line="240" w:lineRule="auto"/>
        <w:jc w:val="both"/>
        <w:textAlignment w:val="baseline"/>
        <w:rPr>
          <w:rFonts w:ascii="Times New Roman" w:eastAsia="Times New Roman" w:hAnsi="Times New Roman"/>
          <w:noProof/>
          <w:color w:val="000000"/>
          <w:sz w:val="24"/>
          <w:szCs w:val="24"/>
        </w:rPr>
      </w:pPr>
      <w:r>
        <w:rPr>
          <w:rFonts w:ascii="Times New Roman" w:hAnsi="Times New Roman"/>
          <w:noProof/>
          <w:color w:val="000000"/>
          <w:sz w:val="24"/>
          <w:szCs w:val="24"/>
        </w:rPr>
        <w:t>Инвестиционните мерки, свързани със реновирането на сгради, трябва да отговарят на изискванията на DNSH, включително предотвратяването и рециклирането на отпадъците от строителство и разрушаване и с</w:t>
      </w:r>
      <w:r>
        <w:rPr>
          <w:rFonts w:ascii="Times New Roman" w:hAnsi="Times New Roman"/>
          <w:noProof/>
          <w:color w:val="000000"/>
          <w:sz w:val="24"/>
          <w:szCs w:val="24"/>
        </w:rPr>
        <w:t>хемата за подмяна на котлите, които представляват малка част от цялостната програма за реновиране.</w:t>
      </w: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Изпълнението на инвестицията трябва да приключи до 30 юни 2026 г. </w:t>
      </w:r>
    </w:p>
    <w:p w:rsidR="00D4086A" w:rsidRDefault="00D4086A">
      <w:pPr>
        <w:spacing w:before="120" w:after="120" w:line="240" w:lineRule="auto"/>
        <w:jc w:val="both"/>
        <w:textAlignment w:val="baseline"/>
        <w:rPr>
          <w:rFonts w:ascii="Times New Roman" w:eastAsia="Times New Roman" w:hAnsi="Times New Roman"/>
          <w:b/>
          <w:bCs/>
          <w:noProof/>
          <w:color w:val="000000"/>
          <w:sz w:val="24"/>
          <w:szCs w:val="24"/>
          <w:lang w:eastAsia="fr-BE"/>
        </w:rPr>
      </w:pP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b/>
          <w:bCs/>
          <w:noProof/>
          <w:color w:val="000000"/>
          <w:sz w:val="24"/>
          <w:szCs w:val="24"/>
        </w:rPr>
        <w:t>Реформа 3: Управлението на отпадъците от строителство и разрушаване.</w:t>
      </w:r>
    </w:p>
    <w:p w:rsidR="00D4086A" w:rsidRDefault="00D4086A">
      <w:pPr>
        <w:spacing w:before="120" w:after="120" w:line="240" w:lineRule="auto"/>
        <w:jc w:val="both"/>
        <w:textAlignment w:val="baseline"/>
        <w:rPr>
          <w:rFonts w:ascii="Times New Roman" w:eastAsia="Times New Roman" w:hAnsi="Times New Roman"/>
          <w:noProof/>
          <w:color w:val="000000"/>
          <w:sz w:val="24"/>
          <w:szCs w:val="24"/>
          <w:lang w:eastAsia="fr-BE"/>
        </w:rPr>
      </w:pP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Реформата е насочен</w:t>
      </w:r>
      <w:r>
        <w:rPr>
          <w:rFonts w:ascii="Times New Roman" w:hAnsi="Times New Roman"/>
          <w:noProof/>
          <w:color w:val="000000"/>
          <w:sz w:val="24"/>
          <w:szCs w:val="24"/>
        </w:rPr>
        <w:t xml:space="preserve">а към много ниския процент на рециклиране в Словакия и е съсредоточена върху преразглеждането на законодателството за управление на отпадъците с цел увеличаване на потенциала на кръговата икономика по отношение на отпадъците от строителство и разрушаване. </w:t>
      </w:r>
      <w:r>
        <w:rPr>
          <w:rFonts w:ascii="Times New Roman" w:hAnsi="Times New Roman"/>
          <w:noProof/>
          <w:color w:val="000000"/>
          <w:sz w:val="24"/>
          <w:szCs w:val="24"/>
        </w:rPr>
        <w:t>Министерството на околната среда на Словашката република внася изменението на законодателството в областта на отпадъците, което изисква най-малко 70 % от неопасните отпадъци от строителство и разрушаване, генерирани от строителството, да бъдат подготвени з</w:t>
      </w:r>
      <w:r>
        <w:rPr>
          <w:rFonts w:ascii="Times New Roman" w:hAnsi="Times New Roman"/>
          <w:noProof/>
          <w:color w:val="000000"/>
          <w:sz w:val="24"/>
          <w:szCs w:val="24"/>
        </w:rPr>
        <w:t>а повторна употреба или изпратени за рециклиране. Освен това реформата въвежда задължително селективно разрушаване, стандарти за качество за рециклиране на отпадъци от строителство и разрушаване, задължителни екологосъобразни обществени поръчки за договаря</w:t>
      </w:r>
      <w:r>
        <w:rPr>
          <w:rFonts w:ascii="Times New Roman" w:hAnsi="Times New Roman"/>
          <w:noProof/>
          <w:color w:val="000000"/>
          <w:sz w:val="24"/>
          <w:szCs w:val="24"/>
        </w:rPr>
        <w:t>нето на строителни работи, опростяване на правилата и подобряване на системите за събиране на данни за строителните отпадъци. След като влезе в сила, законодателството гарантира „незначителни вреди“ спазване на изискването за 70 % рециклиране и повторно из</w:t>
      </w:r>
      <w:r>
        <w:rPr>
          <w:rFonts w:ascii="Times New Roman" w:hAnsi="Times New Roman"/>
          <w:noProof/>
          <w:color w:val="000000"/>
          <w:sz w:val="24"/>
          <w:szCs w:val="24"/>
        </w:rPr>
        <w:t>ползване на неопасните разрушителни и строителни отпадъци да се прилага за реновирането и строителството на сгради, финансирани по линия на Механизма за възстановяване и устойчивост.</w:t>
      </w:r>
    </w:p>
    <w:p w:rsidR="00D4086A" w:rsidRDefault="00D4086A">
      <w:pPr>
        <w:spacing w:before="120" w:after="120" w:line="240" w:lineRule="auto"/>
        <w:jc w:val="both"/>
        <w:textAlignment w:val="baseline"/>
        <w:rPr>
          <w:rFonts w:ascii="Times New Roman" w:eastAsia="Times New Roman" w:hAnsi="Times New Roman"/>
          <w:noProof/>
          <w:color w:val="000000"/>
          <w:sz w:val="24"/>
          <w:szCs w:val="24"/>
          <w:lang w:eastAsia="fr-BE"/>
        </w:rPr>
      </w:pPr>
    </w:p>
    <w:p w:rsidR="00D4086A" w:rsidRDefault="00D5307E">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Изпълнението на реформата приключва до 30 юни 2022 г.</w:t>
      </w:r>
    </w:p>
    <w:p w:rsidR="00D4086A" w:rsidRDefault="00D4086A">
      <w:pPr>
        <w:spacing w:before="120" w:after="120" w:line="240" w:lineRule="auto"/>
        <w:jc w:val="both"/>
        <w:rPr>
          <w:rFonts w:ascii="Times New Roman" w:eastAsia="Times New Roman" w:hAnsi="Times New Roman"/>
          <w:noProof/>
          <w:sz w:val="24"/>
          <w:szCs w:val="24"/>
        </w:rPr>
      </w:pPr>
    </w:p>
    <w:p w:rsidR="00D4086A" w:rsidRDefault="00D5307E">
      <w:pPr>
        <w:spacing w:before="120" w:after="120" w:line="240" w:lineRule="auto"/>
        <w:rPr>
          <w:rFonts w:ascii="Times New Roman" w:hAnsi="Times New Roman"/>
          <w:noProof/>
          <w:sz w:val="24"/>
        </w:rPr>
      </w:pPr>
      <w:r>
        <w:rPr>
          <w:rFonts w:ascii="Times New Roman" w:hAnsi="Times New Roman"/>
          <w:noProof/>
          <w:color w:val="000000"/>
          <w:sz w:val="24"/>
          <w:szCs w:val="24"/>
        </w:rPr>
        <w:t xml:space="preserve"> </w:t>
      </w:r>
    </w:p>
    <w:p w:rsidR="00D4086A" w:rsidRDefault="00D4086A">
      <w:pPr>
        <w:spacing w:before="120" w:after="120" w:line="240" w:lineRule="auto"/>
        <w:jc w:val="both"/>
        <w:rPr>
          <w:rFonts w:ascii="Times New Roman" w:hAnsi="Times New Roman"/>
          <w:noProof/>
          <w:sz w:val="24"/>
        </w:rPr>
        <w:sectPr w:rsidR="00D4086A">
          <w:headerReference w:type="even" r:id="rId30"/>
          <w:headerReference w:type="default" r:id="rId31"/>
          <w:footerReference w:type="even" r:id="rId32"/>
          <w:footerReference w:type="default" r:id="rId33"/>
          <w:headerReference w:type="first" r:id="rId34"/>
          <w:footerReference w:type="first" r:id="rId35"/>
          <w:pgSz w:w="11907" w:h="16839"/>
          <w:pgMar w:top="1134" w:right="1418" w:bottom="1134" w:left="1418" w:header="709" w:footer="709" w:gutter="0"/>
          <w:cols w:space="720"/>
          <w:docGrid w:linePitch="360"/>
        </w:sectPr>
      </w:pPr>
    </w:p>
    <w:p w:rsidR="00D4086A" w:rsidRDefault="00D5307E">
      <w:pPr>
        <w:spacing w:before="120" w:after="120" w:line="240" w:lineRule="auto"/>
        <w:rPr>
          <w:rFonts w:ascii="Times New Roman" w:eastAsia="Times New Roman" w:hAnsi="Times New Roman"/>
          <w:b/>
          <w:noProof/>
          <w:sz w:val="24"/>
          <w:szCs w:val="24"/>
          <w:u w:val="single"/>
        </w:rPr>
      </w:pPr>
      <w:r>
        <w:rPr>
          <w:rFonts w:ascii="Times New Roman" w:hAnsi="Times New Roman"/>
          <w:b/>
          <w:noProof/>
          <w:sz w:val="24"/>
          <w:szCs w:val="24"/>
          <w:u w:val="single"/>
        </w:rPr>
        <w:t xml:space="preserve">A.2. </w:t>
      </w:r>
      <w:r>
        <w:rPr>
          <w:noProof/>
        </w:rPr>
        <w:tab/>
      </w:r>
      <w:r>
        <w:rPr>
          <w:rFonts w:ascii="Times New Roman" w:hAnsi="Times New Roman"/>
          <w:b/>
          <w:noProof/>
          <w:sz w:val="24"/>
          <w:szCs w:val="24"/>
          <w:u w:val="single"/>
        </w:rPr>
        <w:t>Ключови етапи, цели, показатели и график за мониторинг и изпълнение на безвъзмездната финансова подкрепа.</w:t>
      </w:r>
    </w:p>
    <w:p w:rsidR="00D4086A" w:rsidRDefault="00D4086A">
      <w:pPr>
        <w:spacing w:before="120" w:after="120" w:line="240" w:lineRule="auto"/>
        <w:rPr>
          <w:rFonts w:ascii="Times New Roman" w:eastAsia="Times New Roman" w:hAnsi="Times New Roman"/>
          <w:b/>
          <w:bCs/>
          <w:noProof/>
          <w:sz w:val="24"/>
          <w:szCs w:val="24"/>
          <w:u w:val="single"/>
        </w:rPr>
      </w:pPr>
    </w:p>
    <w:tbl>
      <w:tblPr>
        <w:tblW w:w="14283" w:type="dxa"/>
        <w:tblLayout w:type="fixed"/>
        <w:tblLook w:val="04A0" w:firstRow="1" w:lastRow="0" w:firstColumn="1" w:lastColumn="0" w:noHBand="0" w:noVBand="1"/>
      </w:tblPr>
      <w:tblGrid>
        <w:gridCol w:w="959"/>
        <w:gridCol w:w="946"/>
        <w:gridCol w:w="795"/>
        <w:gridCol w:w="1740"/>
        <w:gridCol w:w="1275"/>
        <w:gridCol w:w="1056"/>
        <w:gridCol w:w="850"/>
        <w:gridCol w:w="851"/>
        <w:gridCol w:w="992"/>
        <w:gridCol w:w="850"/>
        <w:gridCol w:w="3906"/>
        <w:gridCol w:w="63"/>
      </w:tblGrid>
      <w:tr w:rsidR="00D4086A">
        <w:trPr>
          <w:gridAfter w:val="1"/>
          <w:wAfter w:w="63" w:type="dxa"/>
          <w:trHeight w:val="1455"/>
        </w:trPr>
        <w:tc>
          <w:tcPr>
            <w:tcW w:w="959"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946"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Свързана мярка (реформа или инвестиция)</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795"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Ключов етап / Цел</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740"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Наименование</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275"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w:t>
            </w:r>
            <w:r>
              <w:rPr>
                <w:rFonts w:ascii="Times New Roman" w:hAnsi="Times New Roman"/>
                <w:b/>
                <w:bCs/>
                <w:noProof/>
                <w:sz w:val="20"/>
                <w:szCs w:val="20"/>
              </w:rPr>
              <w:t xml:space="preserve"> показатели</w:t>
            </w:r>
            <w:r>
              <w:rPr>
                <w:rFonts w:ascii="Times New Roman" w:hAnsi="Times New Roman"/>
                <w:noProof/>
                <w:sz w:val="20"/>
                <w:szCs w:val="20"/>
              </w:rPr>
              <w:t xml:space="preserve">  </w:t>
            </w:r>
            <w:r>
              <w:rPr>
                <w:rFonts w:ascii="Times New Roman" w:hAnsi="Times New Roman"/>
                <w:b/>
                <w:bCs/>
                <w:noProof/>
                <w:sz w:val="20"/>
                <w:szCs w:val="20"/>
              </w:rPr>
              <w:t xml:space="preserve">   (за ключовите етапи)</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2757"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w:t>
            </w:r>
            <w:r>
              <w:rPr>
                <w:rFonts w:ascii="Times New Roman" w:hAnsi="Times New Roman"/>
                <w:noProof/>
                <w:sz w:val="20"/>
                <w:szCs w:val="20"/>
              </w:rPr>
              <w:t xml:space="preserve">  </w:t>
            </w:r>
            <w:r>
              <w:rPr>
                <w:rFonts w:ascii="Times New Roman" w:hAnsi="Times New Roman"/>
                <w:b/>
                <w:bCs/>
                <w:noProof/>
                <w:sz w:val="20"/>
                <w:szCs w:val="20"/>
              </w:rPr>
              <w:t xml:space="preserve">   (за целите)</w:t>
            </w:r>
          </w:p>
        </w:tc>
        <w:tc>
          <w:tcPr>
            <w:tcW w:w="1842" w:type="dxa"/>
            <w:gridSpan w:val="2"/>
            <w:tcBorders>
              <w:top w:val="single" w:sz="8" w:space="0" w:color="auto"/>
              <w:left w:val="nil"/>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Ориентировъчен график за приключване </w:t>
            </w:r>
          </w:p>
        </w:tc>
        <w:tc>
          <w:tcPr>
            <w:tcW w:w="3906" w:type="dxa"/>
            <w:vMerge w:val="restart"/>
            <w:tcBorders>
              <w:top w:val="single" w:sz="8" w:space="0" w:color="auto"/>
              <w:left w:val="nil"/>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Описание и ясно определяне на всеки ключов етап и цел</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r>
      <w:tr w:rsidR="00D4086A">
        <w:trPr>
          <w:gridAfter w:val="1"/>
          <w:wAfter w:w="63" w:type="dxa"/>
          <w:trHeight w:val="795"/>
        </w:trPr>
        <w:tc>
          <w:tcPr>
            <w:tcW w:w="959" w:type="dxa"/>
            <w:vMerge/>
            <w:tcBorders>
              <w:left w:val="single" w:sz="8" w:space="0" w:color="auto"/>
              <w:bottom w:val="nil"/>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946" w:type="dxa"/>
            <w:vMerge/>
            <w:tcBorders>
              <w:left w:val="single" w:sz="8" w:space="0" w:color="auto"/>
              <w:bottom w:val="nil"/>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795" w:type="dxa"/>
            <w:vMerge/>
            <w:tcBorders>
              <w:left w:val="single" w:sz="8" w:space="0" w:color="auto"/>
              <w:bottom w:val="nil"/>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740" w:type="dxa"/>
            <w:vMerge/>
            <w:tcBorders>
              <w:left w:val="single" w:sz="8" w:space="0" w:color="auto"/>
              <w:bottom w:val="nil"/>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275" w:type="dxa"/>
            <w:vMerge/>
            <w:tcBorders>
              <w:left w:val="single" w:sz="8" w:space="0" w:color="auto"/>
              <w:bottom w:val="nil"/>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056" w:type="dxa"/>
            <w:tcBorders>
              <w:top w:val="single" w:sz="8" w:space="0" w:color="auto"/>
              <w:left w:val="single" w:sz="8" w:space="0" w:color="auto"/>
              <w:bottom w:val="nil"/>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Мерна единица</w:t>
            </w:r>
          </w:p>
        </w:tc>
        <w:tc>
          <w:tcPr>
            <w:tcW w:w="850" w:type="dxa"/>
            <w:tcBorders>
              <w:top w:val="nil"/>
              <w:left w:val="single" w:sz="8" w:space="0" w:color="000000"/>
              <w:bottom w:val="nil"/>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Базова линия </w:t>
            </w:r>
          </w:p>
        </w:tc>
        <w:tc>
          <w:tcPr>
            <w:tcW w:w="851" w:type="dxa"/>
            <w:tcBorders>
              <w:top w:val="nil"/>
              <w:left w:val="single" w:sz="8" w:space="0" w:color="auto"/>
              <w:bottom w:val="nil"/>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Цел</w:t>
            </w:r>
          </w:p>
        </w:tc>
        <w:tc>
          <w:tcPr>
            <w:tcW w:w="992" w:type="dxa"/>
            <w:tcBorders>
              <w:top w:val="single" w:sz="8" w:space="0" w:color="auto"/>
              <w:left w:val="single" w:sz="8" w:space="0" w:color="000000"/>
              <w:bottom w:val="nil"/>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Тримесечие</w:t>
            </w:r>
          </w:p>
        </w:tc>
        <w:tc>
          <w:tcPr>
            <w:tcW w:w="850" w:type="dxa"/>
            <w:tcBorders>
              <w:top w:val="nil"/>
              <w:left w:val="single" w:sz="8" w:space="0" w:color="000000"/>
              <w:bottom w:val="nil"/>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Година</w:t>
            </w:r>
          </w:p>
        </w:tc>
        <w:tc>
          <w:tcPr>
            <w:tcW w:w="3906" w:type="dxa"/>
            <w:vMerge/>
            <w:tcBorders>
              <w:left w:val="single" w:sz="8" w:space="0" w:color="000000"/>
              <w:bottom w:val="nil"/>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r>
      <w:tr w:rsidR="00D4086A">
        <w:trPr>
          <w:gridAfter w:val="1"/>
          <w:wAfter w:w="63" w:type="dxa"/>
          <w:trHeight w:val="234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1</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2 — Реновиране на сгради — Реформа 1: Хармонизиране на механизмите за подпомагане на реновирането на семейни жилища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Ключов етап</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385724"/>
                <w:sz w:val="20"/>
                <w:szCs w:val="20"/>
              </w:rPr>
            </w:pPr>
            <w:r>
              <w:rPr>
                <w:rFonts w:ascii="Times New Roman" w:hAnsi="Times New Roman"/>
                <w:noProof/>
                <w:color w:val="385724"/>
                <w:sz w:val="20"/>
                <w:szCs w:val="20"/>
              </w:rPr>
              <w:t xml:space="preserve"> План за изпълнение за мобилизиране на екологосъобразно реновиране на семейните</w:t>
            </w:r>
            <w:r>
              <w:rPr>
                <w:rFonts w:ascii="Times New Roman" w:hAnsi="Times New Roman"/>
                <w:noProof/>
                <w:color w:val="385724"/>
                <w:sz w:val="20"/>
                <w:szCs w:val="20"/>
              </w:rPr>
              <w:t xml:space="preserve"> къщи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Приемане на плана за изпълнение от Министерството на околната среда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Т3</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2022</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Планът за изпълнение очертава различните схеми за подпомагане и ги хармонизира. В него подробно се описва подготовката за стартиране на схемата, графикът и нейното уп</w:t>
            </w:r>
            <w:r>
              <w:rPr>
                <w:rFonts w:ascii="Times New Roman" w:hAnsi="Times New Roman"/>
                <w:noProof/>
                <w:color w:val="385724"/>
                <w:sz w:val="20"/>
                <w:szCs w:val="20"/>
              </w:rPr>
              <w:t>равление, както и наблюдението на реконструкцията и проверката на енергоспестяванията основно чрез сертификати за енергийни характеристики или други съответни документи. Схемите трябва да бъдат проектирани така, че да стимулират средно най-малко 30 % иконо</w:t>
            </w:r>
            <w:r>
              <w:rPr>
                <w:rFonts w:ascii="Times New Roman" w:hAnsi="Times New Roman"/>
                <w:noProof/>
                <w:color w:val="385724"/>
                <w:sz w:val="20"/>
                <w:szCs w:val="20"/>
              </w:rPr>
              <w:t xml:space="preserve">мии на първична енергия и да отговарят на изискванията за „ненанасяне на значителни вреди“ (2021/C58/01). </w:t>
            </w:r>
          </w:p>
        </w:tc>
      </w:tr>
      <w:tr w:rsidR="00D4086A">
        <w:trPr>
          <w:gridAfter w:val="1"/>
          <w:wAfter w:w="63" w:type="dxa"/>
          <w:trHeight w:val="75"/>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2</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p>
          <w:p w:rsidR="00D4086A" w:rsidRDefault="00D5307E">
            <w:pPr>
              <w:rPr>
                <w:rFonts w:ascii="Times New Roman" w:hAnsi="Times New Roman"/>
                <w:noProof/>
                <w:color w:val="385724"/>
                <w:sz w:val="20"/>
                <w:szCs w:val="20"/>
              </w:rPr>
            </w:pPr>
            <w:r>
              <w:rPr>
                <w:rFonts w:ascii="Times New Roman" w:hAnsi="Times New Roman"/>
                <w:noProof/>
                <w:color w:val="385724"/>
                <w:sz w:val="20"/>
                <w:szCs w:val="20"/>
              </w:rPr>
              <w:t xml:space="preserve">2 — Реновиране на сгради — Реформа 1:  Подобряване на енергийната ефективност на семейните къщи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Ключов етап </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Стартиране на схеми за подпомагане за мобилизиране на икономии на енергия и екологосъобразно реновиране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385724"/>
                <w:sz w:val="20"/>
                <w:szCs w:val="20"/>
              </w:rPr>
            </w:pPr>
            <w:r>
              <w:rPr>
                <w:rFonts w:ascii="Times New Roman" w:hAnsi="Times New Roman"/>
                <w:noProof/>
                <w:color w:val="385724"/>
                <w:sz w:val="20"/>
                <w:szCs w:val="20"/>
              </w:rPr>
              <w:t xml:space="preserve"> Стартиране на схеми за подпомагане за мобилизиране на икономии на енергия и екологосъобразно реновиране</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Т3</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2022</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Схемите за мобилизиране на </w:t>
            </w:r>
            <w:r>
              <w:rPr>
                <w:rFonts w:ascii="Times New Roman" w:hAnsi="Times New Roman"/>
                <w:noProof/>
                <w:color w:val="385724"/>
                <w:sz w:val="20"/>
                <w:szCs w:val="20"/>
              </w:rPr>
              <w:t>икономии на енергия и екологосъобразно реновиране се проектират и стартират в съответствие с мерките и графика, приети с плана за изпълнение. Съответните покани ще бъдат публикувани от Словашката агенция за околната среда на уебсайт.</w:t>
            </w:r>
          </w:p>
          <w:p w:rsidR="00D4086A" w:rsidRDefault="00D5307E">
            <w:pPr>
              <w:rPr>
                <w:rFonts w:ascii="Times New Roman" w:hAnsi="Times New Roman"/>
                <w:noProof/>
                <w:sz w:val="20"/>
                <w:szCs w:val="20"/>
              </w:rPr>
            </w:pPr>
            <w:r>
              <w:rPr>
                <w:rFonts w:ascii="Times New Roman" w:hAnsi="Times New Roman"/>
                <w:i/>
                <w:iCs/>
                <w:noProof/>
                <w:color w:val="385724"/>
                <w:sz w:val="20"/>
                <w:szCs w:val="20"/>
              </w:rPr>
              <w:t xml:space="preserve"> </w:t>
            </w:r>
          </w:p>
        </w:tc>
      </w:tr>
      <w:tr w:rsidR="00D4086A">
        <w:trPr>
          <w:gridAfter w:val="1"/>
          <w:wAfter w:w="63" w:type="dxa"/>
          <w:trHeight w:val="147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3</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p>
          <w:p w:rsidR="00D4086A" w:rsidRDefault="00D5307E">
            <w:pPr>
              <w:rPr>
                <w:rFonts w:ascii="Times New Roman" w:hAnsi="Times New Roman"/>
                <w:noProof/>
                <w:color w:val="385724"/>
                <w:sz w:val="20"/>
                <w:szCs w:val="20"/>
              </w:rPr>
            </w:pPr>
            <w:r>
              <w:rPr>
                <w:rFonts w:ascii="Times New Roman" w:hAnsi="Times New Roman"/>
                <w:noProof/>
                <w:color w:val="385724"/>
                <w:sz w:val="20"/>
                <w:szCs w:val="20"/>
              </w:rPr>
              <w:t xml:space="preserve">2 — Реновиране на сгради — Инвестиция 1: Подобряване на енергийната ефективност на семейните къщи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Цел</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Брой реновирани семейни къщи, постигнали средно най-малко 30 % икономии на първична енергия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sz w:val="20"/>
                <w:szCs w:val="20"/>
              </w:rPr>
              <w:t xml:space="preserve">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Брой</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385724"/>
                <w:sz w:val="20"/>
                <w:szCs w:val="20"/>
              </w:rPr>
              <w:t>18000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Т4</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2024</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385724"/>
                <w:sz w:val="20"/>
                <w:szCs w:val="20"/>
              </w:rPr>
            </w:pPr>
            <w:r>
              <w:rPr>
                <w:rFonts w:ascii="Times New Roman" w:hAnsi="Times New Roman"/>
                <w:noProof/>
                <w:color w:val="385724"/>
                <w:sz w:val="20"/>
                <w:szCs w:val="20"/>
              </w:rPr>
              <w:t xml:space="preserve">18 000 еднофамилни къщи се реновират </w:t>
            </w:r>
            <w:r>
              <w:rPr>
                <w:rFonts w:ascii="Times New Roman" w:hAnsi="Times New Roman"/>
                <w:noProof/>
                <w:color w:val="385724"/>
                <w:sz w:val="20"/>
                <w:szCs w:val="20"/>
              </w:rPr>
              <w:t>в съответствие с изискванията на схемите за подпомагане, включително спазването на принципа на DNSH, и за да се предоставят стимули за постигане средно на най-малко 30 % икономии на първична енергия и други придружаващи мерки. Списъкът с възможни мерки вкл</w:t>
            </w:r>
            <w:r>
              <w:rPr>
                <w:rFonts w:ascii="Times New Roman" w:hAnsi="Times New Roman"/>
                <w:noProof/>
                <w:color w:val="385724"/>
                <w:sz w:val="20"/>
                <w:szCs w:val="20"/>
              </w:rPr>
              <w:t>ючва: изолация, подмяна на прозорци, възстановяване на покрив, задържане на дъждовната вода, замяна на котел или отстраняване на азбестово покритие или други мерки в съответствие с текста на компонента.  Икономиите на енергия от реновираните къщи се провер</w:t>
            </w:r>
            <w:r>
              <w:rPr>
                <w:rFonts w:ascii="Times New Roman" w:hAnsi="Times New Roman"/>
                <w:noProof/>
                <w:color w:val="385724"/>
                <w:sz w:val="20"/>
                <w:szCs w:val="20"/>
              </w:rPr>
              <w:t>яват основно чрез сертификата за енергийни характеристики или други съответни документи. Инвестициите, финансирани от Механизма за възстановяване и устойчивост, не предоставят подкрепа за котли на биомаса.</w:t>
            </w:r>
          </w:p>
        </w:tc>
      </w:tr>
      <w:tr w:rsidR="00D4086A">
        <w:trPr>
          <w:gridAfter w:val="1"/>
          <w:wAfter w:w="63" w:type="dxa"/>
          <w:trHeight w:val="126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4</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p>
          <w:p w:rsidR="00D4086A" w:rsidRDefault="00D5307E">
            <w:pPr>
              <w:rPr>
                <w:rFonts w:ascii="Times New Roman" w:hAnsi="Times New Roman"/>
                <w:noProof/>
                <w:color w:val="385724"/>
                <w:sz w:val="20"/>
                <w:szCs w:val="20"/>
              </w:rPr>
            </w:pPr>
            <w:r>
              <w:rPr>
                <w:rFonts w:ascii="Times New Roman" w:hAnsi="Times New Roman"/>
                <w:noProof/>
                <w:color w:val="385724"/>
                <w:sz w:val="20"/>
                <w:szCs w:val="20"/>
              </w:rPr>
              <w:t xml:space="preserve">2 — Реновиране на сгради — Инвестиция 1: Подобряване на енергийната ефективност на семейните къщи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Цел</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Брой реновирани семейни къщи, постигнали средно най-малко 30 % икономии на първична енергия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sz w:val="20"/>
                <w:szCs w:val="20"/>
              </w:rPr>
              <w:t xml:space="preserve">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Брой</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18 000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385724"/>
                <w:sz w:val="20"/>
                <w:szCs w:val="20"/>
              </w:rPr>
              <w:t>30 0000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Т2</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2026</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385724"/>
                <w:sz w:val="20"/>
                <w:szCs w:val="20"/>
              </w:rPr>
            </w:pPr>
            <w:r>
              <w:rPr>
                <w:rFonts w:ascii="Times New Roman" w:hAnsi="Times New Roman"/>
                <w:noProof/>
                <w:color w:val="385724"/>
                <w:sz w:val="20"/>
                <w:szCs w:val="20"/>
              </w:rPr>
              <w:t xml:space="preserve">Общо 30 000 еднофамилни къщи </w:t>
            </w:r>
            <w:r>
              <w:rPr>
                <w:rFonts w:ascii="Times New Roman" w:hAnsi="Times New Roman"/>
                <w:noProof/>
                <w:color w:val="385724"/>
                <w:sz w:val="20"/>
                <w:szCs w:val="20"/>
              </w:rPr>
              <w:t>се реновират в съответствие с изискванията на схемите, включително спазването на принципа на DNSH и за да се осигурят стимули за постигане на средно най-малко 30 % икономии на първична енергия и допълнителни мерки. Списъкът с възможни мерки включва: като и</w:t>
            </w:r>
            <w:r>
              <w:rPr>
                <w:rFonts w:ascii="Times New Roman" w:hAnsi="Times New Roman"/>
                <w:noProof/>
                <w:color w:val="385724"/>
                <w:sz w:val="20"/>
                <w:szCs w:val="20"/>
              </w:rPr>
              <w:t>золация, подмяна на прозорците, възстановяване на покрива, задържане на дъждовната вода, подмяна на котела или отстраняване на азбестово покритие или други мерки в съответствие с текста на компонента и предоставените разходи. Икономиите на енергия от ренов</w:t>
            </w:r>
            <w:r>
              <w:rPr>
                <w:rFonts w:ascii="Times New Roman" w:hAnsi="Times New Roman"/>
                <w:noProof/>
                <w:color w:val="385724"/>
                <w:sz w:val="20"/>
                <w:szCs w:val="20"/>
              </w:rPr>
              <w:t>ираните къщи се проверяват основно чрез сертификата за енергийни характеристики или други съответни документи. Инвестициите, финансирани от Механизма за възстановяване и устойчивост, не предоставят подкрепа за котли на биомаса.</w:t>
            </w:r>
          </w:p>
        </w:tc>
      </w:tr>
      <w:tr w:rsidR="00D4086A">
        <w:trPr>
          <w:trHeight w:val="555"/>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5</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p>
          <w:p w:rsidR="00D4086A" w:rsidRDefault="00D4086A">
            <w:pPr>
              <w:spacing w:after="0"/>
              <w:rPr>
                <w:rFonts w:ascii="Times New Roman" w:hAnsi="Times New Roman"/>
                <w:noProof/>
                <w:color w:val="385724"/>
                <w:sz w:val="20"/>
                <w:szCs w:val="20"/>
              </w:rPr>
            </w:pPr>
          </w:p>
          <w:p w:rsidR="00D4086A" w:rsidRDefault="00D5307E">
            <w:pPr>
              <w:spacing w:after="0"/>
              <w:rPr>
                <w:rFonts w:ascii="Times New Roman" w:hAnsi="Times New Roman"/>
                <w:noProof/>
                <w:color w:val="385724"/>
                <w:sz w:val="20"/>
                <w:szCs w:val="20"/>
              </w:rPr>
            </w:pPr>
            <w:r>
              <w:rPr>
                <w:rFonts w:ascii="Times New Roman" w:hAnsi="Times New Roman"/>
                <w:noProof/>
                <w:color w:val="385724"/>
                <w:sz w:val="20"/>
                <w:szCs w:val="20"/>
              </w:rPr>
              <w:t xml:space="preserve">2. Реновиране на </w:t>
            </w:r>
            <w:r>
              <w:rPr>
                <w:rFonts w:ascii="Times New Roman" w:hAnsi="Times New Roman"/>
                <w:noProof/>
                <w:color w:val="385724"/>
                <w:sz w:val="20"/>
                <w:szCs w:val="20"/>
              </w:rPr>
              <w:t>сгради — Реформа 2:  Повишаване на прозрачността и рационализиране на решенията на Управителния съвет на Словашката република</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385724"/>
                <w:sz w:val="20"/>
                <w:szCs w:val="20"/>
              </w:rPr>
            </w:pPr>
            <w:r>
              <w:rPr>
                <w:rFonts w:ascii="Times New Roman" w:hAnsi="Times New Roman"/>
                <w:noProof/>
                <w:color w:val="385724"/>
                <w:sz w:val="20"/>
                <w:szCs w:val="20"/>
              </w:rPr>
              <w:t xml:space="preserve">Ключов етап </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385724"/>
                <w:sz w:val="20"/>
                <w:szCs w:val="20"/>
              </w:rPr>
            </w:pPr>
            <w:r>
              <w:rPr>
                <w:rFonts w:ascii="Times New Roman" w:hAnsi="Times New Roman"/>
                <w:noProof/>
                <w:color w:val="385724"/>
                <w:sz w:val="20"/>
                <w:szCs w:val="20"/>
              </w:rPr>
              <w:t xml:space="preserve">Методологии за процеса на вземане на решения от Управителния съвет на Словашката република </w:t>
            </w:r>
          </w:p>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385724"/>
                <w:sz w:val="20"/>
                <w:szCs w:val="20"/>
              </w:rPr>
            </w:pPr>
            <w:r>
              <w:rPr>
                <w:rFonts w:ascii="Times New Roman" w:hAnsi="Times New Roman"/>
                <w:noProof/>
                <w:color w:val="385724"/>
                <w:sz w:val="20"/>
                <w:szCs w:val="20"/>
              </w:rPr>
              <w:t xml:space="preserve"> Публикуване на методологиите от Управителния съвет</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color w:val="385724"/>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jc w:val="right"/>
              <w:rPr>
                <w:rFonts w:ascii="Times New Roman" w:hAnsi="Times New Roman"/>
                <w:noProof/>
                <w:color w:val="385724"/>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385724"/>
                <w:sz w:val="20"/>
                <w:szCs w:val="20"/>
              </w:rPr>
            </w:pPr>
            <w:r>
              <w:rPr>
                <w:rFonts w:ascii="Times New Roman" w:hAnsi="Times New Roman"/>
                <w:noProof/>
                <w:color w:val="385724"/>
                <w:sz w:val="20"/>
                <w:szCs w:val="20"/>
              </w:rPr>
              <w:t xml:space="preserve">3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Т4</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2023</w:t>
            </w:r>
          </w:p>
        </w:tc>
        <w:tc>
          <w:tcPr>
            <w:tcW w:w="3969"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385724"/>
                <w:sz w:val="20"/>
                <w:szCs w:val="20"/>
              </w:rPr>
            </w:pPr>
            <w:r>
              <w:rPr>
                <w:rFonts w:ascii="Times New Roman" w:hAnsi="Times New Roman"/>
                <w:noProof/>
                <w:color w:val="385724"/>
                <w:sz w:val="20"/>
                <w:szCs w:val="20"/>
              </w:rPr>
              <w:t>Разработване и приемане на трите методологии за класифициране на паметниците с цел повишаване на прозрачността, общественото приемане и ускоряване на процесите на вземане на решения от управителния съвет на Словашката република. Въз основа на стандартизира</w:t>
            </w:r>
            <w:r>
              <w:rPr>
                <w:rFonts w:ascii="Times New Roman" w:hAnsi="Times New Roman"/>
                <w:noProof/>
                <w:color w:val="385724"/>
                <w:sz w:val="20"/>
                <w:szCs w:val="20"/>
              </w:rPr>
              <w:t xml:space="preserve">ни методики управителният съвет издава най-малко 1000 строителни паспорта с цел диагностициране както на техническите, така и на енергийните аспекти на съответните паметници на културата, които са държавна собственост, за да се улесни вземането на решения </w:t>
            </w:r>
            <w:r>
              <w:rPr>
                <w:rFonts w:ascii="Times New Roman" w:hAnsi="Times New Roman"/>
                <w:noProof/>
                <w:color w:val="385724"/>
                <w:sz w:val="20"/>
                <w:szCs w:val="20"/>
              </w:rPr>
              <w:t xml:space="preserve">за реновиране. </w:t>
            </w:r>
          </w:p>
        </w:tc>
      </w:tr>
      <w:tr w:rsidR="00D4086A">
        <w:trPr>
          <w:gridAfter w:val="1"/>
          <w:wAfter w:w="63" w:type="dxa"/>
          <w:trHeight w:val="168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6</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2- Реновиране на сгради — Инвестиция 2:  Реновиране на обществени исторически и обявени за културни паметници сгради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Цел</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p>
          <w:p w:rsidR="00D4086A" w:rsidRDefault="00D5307E">
            <w:pPr>
              <w:rPr>
                <w:rFonts w:ascii="Times New Roman" w:hAnsi="Times New Roman"/>
                <w:noProof/>
                <w:color w:val="385724"/>
                <w:sz w:val="20"/>
                <w:szCs w:val="20"/>
              </w:rPr>
            </w:pPr>
            <w:r>
              <w:rPr>
                <w:rFonts w:ascii="Times New Roman" w:hAnsi="Times New Roman"/>
                <w:noProof/>
                <w:color w:val="385724"/>
                <w:sz w:val="20"/>
                <w:szCs w:val="20"/>
              </w:rPr>
              <w:t xml:space="preserve">Обща площ (m2) на реновираните обществени исторически и обявени за паметници на културата сгради, с които са </w:t>
            </w:r>
            <w:r>
              <w:rPr>
                <w:rFonts w:ascii="Times New Roman" w:hAnsi="Times New Roman"/>
                <w:noProof/>
                <w:color w:val="385724"/>
                <w:sz w:val="20"/>
                <w:szCs w:val="20"/>
              </w:rPr>
              <w:t>постигнати най-малко 30 % от икономиите на първична енергия</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i/>
                <w:iCs/>
                <w:noProof/>
                <w:color w:val="385724"/>
                <w:sz w:val="20"/>
                <w:szCs w:val="20"/>
              </w:rPr>
              <w:t xml:space="preserve">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Площ (m²)</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385724"/>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385724"/>
                <w:sz w:val="20"/>
                <w:szCs w:val="20"/>
              </w:rPr>
              <w:t xml:space="preserve"> </w:t>
            </w:r>
          </w:p>
          <w:p w:rsidR="00D4086A" w:rsidRDefault="00D5307E">
            <w:pPr>
              <w:jc w:val="both"/>
              <w:rPr>
                <w:rFonts w:ascii="Times New Roman" w:hAnsi="Times New Roman"/>
                <w:noProof/>
                <w:sz w:val="20"/>
                <w:szCs w:val="20"/>
              </w:rPr>
            </w:pPr>
            <w:r>
              <w:rPr>
                <w:rFonts w:ascii="Times New Roman" w:hAnsi="Times New Roman"/>
                <w:noProof/>
                <w:color w:val="385724"/>
                <w:sz w:val="20"/>
                <w:szCs w:val="20"/>
              </w:rPr>
              <w:t>60 000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Т4</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2024</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От общата цел да се реновират 66 000 m2 се реновират най-малко 60 000 m2 исторически и обявени за паметници на културата обществени сгради в съответствие с </w:t>
            </w:r>
            <w:r>
              <w:rPr>
                <w:rFonts w:ascii="Times New Roman" w:hAnsi="Times New Roman"/>
                <w:noProof/>
                <w:color w:val="385724"/>
                <w:sz w:val="20"/>
                <w:szCs w:val="20"/>
              </w:rPr>
              <w:t>изискванията на откритата покана за представяне на предложения, в която се определят условията за постигане средно на най-малко 30 % икономии на първична енергия, спазване на принципите на DNSH и стимулиране на прилагането на други допълнителни мерки (като</w:t>
            </w:r>
            <w:r>
              <w:rPr>
                <w:rFonts w:ascii="Times New Roman" w:hAnsi="Times New Roman"/>
                <w:noProof/>
                <w:color w:val="385724"/>
                <w:sz w:val="20"/>
                <w:szCs w:val="20"/>
              </w:rPr>
              <w:t xml:space="preserve"> задържане на дъждовната вода, отстраняване на азбеста, достъпност на сградите). Икономиите на енергия се наблюдават и проверяват за реновираните сгради чрез сертификати за енергийни характеристики.</w:t>
            </w:r>
          </w:p>
        </w:tc>
      </w:tr>
      <w:tr w:rsidR="00D4086A">
        <w:trPr>
          <w:gridAfter w:val="1"/>
          <w:wAfter w:w="63" w:type="dxa"/>
          <w:trHeight w:val="234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7</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2- Реновиране на сгради — Инвестиция 2:  Реновиране на обществени исторически и обявени за културни паметници сгради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Цел</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385724"/>
                <w:sz w:val="20"/>
                <w:szCs w:val="20"/>
              </w:rPr>
            </w:pPr>
            <w:r>
              <w:rPr>
                <w:rFonts w:ascii="Times New Roman" w:hAnsi="Times New Roman"/>
                <w:noProof/>
                <w:color w:val="385724"/>
                <w:sz w:val="20"/>
                <w:szCs w:val="20"/>
              </w:rPr>
              <w:t>Обща площ (m2) на реновираните обществени исторически сгради и обявените за борсова търговия сгради</w:t>
            </w:r>
          </w:p>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постигане на най-малко 30 % от икономиите на първична енергия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sz w:val="20"/>
                <w:szCs w:val="20"/>
              </w:rPr>
              <w:t xml:space="preserve">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Площ (m²)</w:t>
            </w:r>
          </w:p>
          <w:p w:rsidR="00D4086A" w:rsidRDefault="00D5307E">
            <w:pPr>
              <w:jc w:val="both"/>
              <w:rPr>
                <w:rFonts w:ascii="Times New Roman" w:hAnsi="Times New Roman"/>
                <w:noProof/>
                <w:sz w:val="20"/>
                <w:szCs w:val="20"/>
              </w:rPr>
            </w:pPr>
            <w:r>
              <w:rPr>
                <w:rFonts w:ascii="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385724"/>
                <w:sz w:val="20"/>
                <w:szCs w:val="20"/>
              </w:rPr>
              <w:t>60 000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385724"/>
                <w:sz w:val="20"/>
                <w:szCs w:val="20"/>
              </w:rPr>
              <w:t>117000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Т2</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2026</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От общата цел да се реновират 130 000 m2 се реновират най-малко 117 000 m2 исторически и обявени за културни паметници обществени сгради в съответствие с изи</w:t>
            </w:r>
            <w:r>
              <w:rPr>
                <w:rFonts w:ascii="Times New Roman" w:hAnsi="Times New Roman"/>
                <w:noProof/>
                <w:color w:val="385724"/>
                <w:sz w:val="20"/>
                <w:szCs w:val="20"/>
              </w:rPr>
              <w:t>скванията на откритата покана за представяне на предложения, в която се определят условията за постигане средно на най-малко 30 % икономии на първична енергия, спазване на принципите на DNSH и стимулиране на прилагането на други допълнителни мерки (като за</w:t>
            </w:r>
            <w:r>
              <w:rPr>
                <w:rFonts w:ascii="Times New Roman" w:hAnsi="Times New Roman"/>
                <w:noProof/>
                <w:color w:val="385724"/>
                <w:sz w:val="20"/>
                <w:szCs w:val="20"/>
              </w:rPr>
              <w:t>държане на дъждовната вода, отстраняване на азбеста, достъпност на сградите). Икономиите на енергия се наблюдават и проверяват за реновираните сгради чрез сертификати за енергийни характеристики.</w:t>
            </w:r>
          </w:p>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r>
              <w:rPr>
                <w:rFonts w:ascii="Times New Roman" w:hAnsi="Times New Roman"/>
                <w:noProof/>
                <w:color w:val="006100"/>
                <w:sz w:val="20"/>
                <w:szCs w:val="20"/>
              </w:rPr>
              <w:t xml:space="preserve"> </w:t>
            </w:r>
          </w:p>
        </w:tc>
      </w:tr>
      <w:tr w:rsidR="00D4086A">
        <w:trPr>
          <w:trHeight w:val="1605"/>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8</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 </w:t>
            </w:r>
          </w:p>
          <w:p w:rsidR="00D4086A" w:rsidRDefault="00D5307E">
            <w:pPr>
              <w:rPr>
                <w:rFonts w:ascii="Times New Roman" w:hAnsi="Times New Roman"/>
                <w:noProof/>
                <w:color w:val="385724"/>
                <w:sz w:val="20"/>
                <w:szCs w:val="20"/>
              </w:rPr>
            </w:pPr>
            <w:r>
              <w:rPr>
                <w:rFonts w:ascii="Times New Roman" w:hAnsi="Times New Roman"/>
                <w:noProof/>
                <w:color w:val="385724"/>
                <w:sz w:val="20"/>
                <w:szCs w:val="20"/>
              </w:rPr>
              <w:t xml:space="preserve">2 — Реновиране на сгради — Реформа 3: Управление на </w:t>
            </w:r>
            <w:r>
              <w:rPr>
                <w:rFonts w:ascii="Times New Roman" w:hAnsi="Times New Roman"/>
                <w:noProof/>
                <w:color w:val="385724"/>
                <w:sz w:val="20"/>
                <w:szCs w:val="20"/>
              </w:rPr>
              <w:t>отпадъците от строителство и разрушаване</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Ключов етап</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Изменението на Закона за отпадъците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385724"/>
                <w:sz w:val="20"/>
                <w:szCs w:val="20"/>
              </w:rPr>
              <w:t xml:space="preserve">Влизане в сила на законодателното изменение на Закона за отпадъците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385724"/>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385724"/>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Т2</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385724"/>
                <w:sz w:val="20"/>
                <w:szCs w:val="20"/>
              </w:rPr>
              <w:t>2022</w:t>
            </w:r>
          </w:p>
        </w:tc>
        <w:tc>
          <w:tcPr>
            <w:tcW w:w="3969"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385724"/>
                <w:sz w:val="20"/>
                <w:szCs w:val="20"/>
              </w:rPr>
              <w:t>Преразгледаното законодателство в областта на отпадъците от Министерството на околната среда ще увеличи потенциала на кръговата икономика в сектора на отпадъците от строителство и разрушаване и строителството, което ще доведе до рециклиране и повторна упот</w:t>
            </w:r>
            <w:r>
              <w:rPr>
                <w:rFonts w:ascii="Times New Roman" w:hAnsi="Times New Roman"/>
                <w:noProof/>
                <w:color w:val="385724"/>
                <w:sz w:val="20"/>
                <w:szCs w:val="20"/>
              </w:rPr>
              <w:t xml:space="preserve">реба на най-малко 70 % от неопасните отпадъци от строителство и разрушаване. Тя включва задължителни екологосъобразни обществени поръчки </w:t>
            </w:r>
            <w:r>
              <w:rPr>
                <w:rFonts w:ascii="Times New Roman" w:hAnsi="Times New Roman"/>
                <w:b/>
                <w:bCs/>
                <w:noProof/>
                <w:color w:val="385724"/>
                <w:sz w:val="20"/>
                <w:szCs w:val="20"/>
                <w:u w:val="single"/>
              </w:rPr>
              <w:t>за инвестиции в строителството в рамките на държавната администрация</w:t>
            </w:r>
            <w:r>
              <w:rPr>
                <w:rFonts w:ascii="Times New Roman" w:hAnsi="Times New Roman"/>
                <w:noProof/>
                <w:color w:val="385724"/>
                <w:sz w:val="20"/>
                <w:szCs w:val="20"/>
              </w:rPr>
              <w:t xml:space="preserve">, увеличава законоустановените такси за депониране </w:t>
            </w:r>
            <w:r>
              <w:rPr>
                <w:rFonts w:ascii="Times New Roman" w:hAnsi="Times New Roman"/>
                <w:noProof/>
                <w:color w:val="385724"/>
                <w:sz w:val="20"/>
                <w:szCs w:val="20"/>
              </w:rPr>
              <w:t>и опростява правилата за използване на отпадъци от строителство и разрушаване.</w:t>
            </w:r>
          </w:p>
        </w:tc>
      </w:tr>
    </w:tbl>
    <w:p w:rsidR="00D4086A" w:rsidRDefault="00D4086A">
      <w:pPr>
        <w:spacing w:before="120" w:after="120" w:line="240" w:lineRule="auto"/>
        <w:rPr>
          <w:rFonts w:ascii="Times New Roman" w:eastAsia="Times New Roman" w:hAnsi="Times New Roman"/>
          <w:b/>
          <w:bCs/>
          <w:noProof/>
          <w:sz w:val="24"/>
          <w:szCs w:val="24"/>
          <w:u w:val="single"/>
        </w:rPr>
      </w:pPr>
    </w:p>
    <w:p w:rsidR="00D4086A" w:rsidRDefault="00D4086A">
      <w:pPr>
        <w:spacing w:before="120" w:after="120" w:line="240" w:lineRule="auto"/>
        <w:jc w:val="both"/>
        <w:rPr>
          <w:rFonts w:ascii="Times New Roman" w:hAnsi="Times New Roman"/>
          <w:noProof/>
          <w:sz w:val="24"/>
        </w:rPr>
      </w:pPr>
    </w:p>
    <w:p w:rsidR="00D4086A" w:rsidRDefault="00D4086A">
      <w:pPr>
        <w:spacing w:before="120" w:after="120" w:line="240" w:lineRule="auto"/>
        <w:jc w:val="both"/>
        <w:rPr>
          <w:rFonts w:ascii="Times New Roman" w:eastAsia="Times New Roman" w:hAnsi="Times New Roman"/>
          <w:noProof/>
          <w:sz w:val="24"/>
          <w:szCs w:val="24"/>
        </w:rPr>
      </w:pPr>
    </w:p>
    <w:p w:rsidR="00D4086A" w:rsidRDefault="00D4086A">
      <w:pPr>
        <w:spacing w:before="120" w:after="120" w:line="240" w:lineRule="auto"/>
        <w:jc w:val="both"/>
        <w:rPr>
          <w:rFonts w:ascii="Times New Roman" w:hAnsi="Times New Roman"/>
          <w:noProof/>
          <w:sz w:val="24"/>
          <w:szCs w:val="24"/>
        </w:rPr>
      </w:pPr>
    </w:p>
    <w:p w:rsidR="00D4086A" w:rsidRDefault="00D4086A">
      <w:pPr>
        <w:spacing w:before="120" w:after="120" w:line="240" w:lineRule="auto"/>
        <w:jc w:val="both"/>
        <w:rPr>
          <w:rFonts w:ascii="Times New Roman" w:hAnsi="Times New Roman"/>
          <w:noProof/>
          <w:sz w:val="24"/>
          <w:szCs w:val="24"/>
        </w:rPr>
      </w:pPr>
    </w:p>
    <w:p w:rsidR="00D4086A" w:rsidRDefault="00D4086A">
      <w:pPr>
        <w:spacing w:before="120" w:after="120" w:line="240" w:lineRule="auto"/>
        <w:ind w:left="850"/>
        <w:jc w:val="both"/>
        <w:rPr>
          <w:rFonts w:ascii="Times New Roman" w:hAnsi="Times New Roman"/>
          <w:noProof/>
          <w:sz w:val="24"/>
          <w:szCs w:val="24"/>
        </w:rPr>
        <w:sectPr w:rsidR="00D4086A">
          <w:headerReference w:type="even" r:id="rId36"/>
          <w:headerReference w:type="default" r:id="rId37"/>
          <w:footerReference w:type="even" r:id="rId38"/>
          <w:footerReference w:type="default" r:id="rId39"/>
          <w:headerReference w:type="first" r:id="rId40"/>
          <w:footerReference w:type="first" r:id="rId41"/>
          <w:pgSz w:w="16839" w:h="11907" w:orient="landscape"/>
          <w:pgMar w:top="1418" w:right="1134" w:bottom="1418" w:left="1134" w:header="709" w:footer="709" w:gutter="0"/>
          <w:cols w:space="720"/>
          <w:docGrid w:linePitch="360"/>
        </w:sectPr>
      </w:pPr>
    </w:p>
    <w:p w:rsidR="00D4086A" w:rsidRDefault="00D5307E">
      <w:pPr>
        <w:keepNext/>
        <w:spacing w:before="360" w:after="120" w:line="240" w:lineRule="auto"/>
        <w:ind w:left="850" w:hanging="850"/>
        <w:jc w:val="both"/>
        <w:outlineLvl w:val="0"/>
        <w:rPr>
          <w:rFonts w:ascii="Times New Roman" w:hAnsi="Times New Roman"/>
          <w:b/>
          <w:smallCaps/>
          <w:noProof/>
          <w:sz w:val="24"/>
        </w:rPr>
      </w:pPr>
      <w:r>
        <w:rPr>
          <w:rFonts w:ascii="Times New Roman" w:hAnsi="Times New Roman"/>
          <w:b/>
          <w:smallCaps/>
          <w:noProof/>
          <w:sz w:val="24"/>
        </w:rPr>
        <w:tab/>
        <w:t>КОМПОНЕНТ 3: Устойчив транспорт</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Компонентът на словашкия план за възстановяване и устойчивост има за цел </w:t>
      </w:r>
      <w:r>
        <w:rPr>
          <w:rFonts w:ascii="Times New Roman" w:hAnsi="Times New Roman"/>
          <w:noProof/>
          <w:sz w:val="24"/>
          <w:szCs w:val="24"/>
        </w:rPr>
        <w:t>увеличаване на дела на екологосъобразните форми на транспорт чрез мерки и интелигентни решения, основани на анализ на данни, увеличаване на броя на пътниците, пътуващи с железопътен и обществен пътнически транспорт, обема на превозваните стоки в щадящ окол</w:t>
      </w:r>
      <w:r>
        <w:rPr>
          <w:rFonts w:ascii="Times New Roman" w:hAnsi="Times New Roman"/>
          <w:noProof/>
          <w:sz w:val="24"/>
          <w:szCs w:val="24"/>
        </w:rPr>
        <w:t>ната среда интермодален транспорт, както и подкрепа за развитието на алтернативна инфраструктура за задвижване, като по този начин се намаляват емисиите на CO</w:t>
      </w:r>
      <w:r>
        <w:rPr>
          <w:rFonts w:ascii="Times New Roman" w:hAnsi="Times New Roman"/>
          <w:noProof/>
          <w:sz w:val="24"/>
          <w:szCs w:val="24"/>
          <w:vertAlign w:val="subscript"/>
        </w:rPr>
        <w:t>2</w:t>
      </w:r>
      <w:r>
        <w:rPr>
          <w:rFonts w:ascii="Times New Roman" w:hAnsi="Times New Roman"/>
          <w:noProof/>
          <w:sz w:val="24"/>
          <w:szCs w:val="24"/>
        </w:rPr>
        <w:t xml:space="preserve"> в транспорта и се подобрява качеството на въздуха. Интелигентните и цифровите инвестиции подкреп</w:t>
      </w:r>
      <w:r>
        <w:rPr>
          <w:rFonts w:ascii="Times New Roman" w:hAnsi="Times New Roman"/>
          <w:noProof/>
          <w:sz w:val="24"/>
          <w:szCs w:val="24"/>
        </w:rPr>
        <w:t>ят по-бърз, по-надежден и по-ефикасен железопътен и чист обществен пътнически транспорт, като мотивират пътниците да преминат от автомобили и други транспортни средства на въглеродна основа. Компонентът позволява по-широко използване на алтернативни задвиж</w:t>
      </w:r>
      <w:r>
        <w:rPr>
          <w:rFonts w:ascii="Times New Roman" w:hAnsi="Times New Roman"/>
          <w:noProof/>
          <w:sz w:val="24"/>
          <w:szCs w:val="24"/>
        </w:rPr>
        <w:t>вания за устойчив, екологосъобразен, достъпен и интелигентен транспорт, като същевременно насърчава използването на интелигентни мрежи. Тя допринася за конкурентоспособността на икономиката, като създава необходимите пазарни условия за доставчиците на тран</w:t>
      </w:r>
      <w:r>
        <w:rPr>
          <w:rFonts w:ascii="Times New Roman" w:hAnsi="Times New Roman"/>
          <w:noProof/>
          <w:sz w:val="24"/>
          <w:szCs w:val="24"/>
        </w:rPr>
        <w:t xml:space="preserve">спортни машини.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Компонентът включва четири реформи и четири инвестиции.</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w:t>
      </w:r>
      <w:r>
        <w:rPr>
          <w:rFonts w:ascii="Times New Roman" w:hAnsi="Times New Roman"/>
          <w:noProof/>
          <w:sz w:val="24"/>
          <w:szCs w:val="24"/>
        </w:rPr>
        <w:t xml:space="preserve"> мерките и стъпките за смекчаване на последиците, определени в плана за възстановяване и устойчивост в съответствие с Техническите насоки на DNSH (2021/C58/01).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Реформите и инвестициите по компонента са пряко насочени към Препоръката на Съвета относно на</w:t>
      </w:r>
      <w:r>
        <w:rPr>
          <w:rFonts w:ascii="Times New Roman" w:hAnsi="Times New Roman"/>
          <w:noProof/>
          <w:sz w:val="24"/>
          <w:szCs w:val="24"/>
        </w:rPr>
        <w:t xml:space="preserve">ционалната програма за реформи на Словакия за 2020 г. и становището на Съвета относно програмата за стабилност на Словакия за 2020 г., съгласно които Словакия </w:t>
      </w:r>
      <w:r>
        <w:rPr>
          <w:rFonts w:ascii="Times New Roman" w:hAnsi="Times New Roman"/>
          <w:i/>
          <w:iCs/>
          <w:noProof/>
          <w:sz w:val="24"/>
          <w:szCs w:val="24"/>
        </w:rPr>
        <w:t>„изпълнява във възможно най-кратък срок готови проекти за публични инвестиции и подкрепя инвестиц</w:t>
      </w:r>
      <w:r>
        <w:rPr>
          <w:rFonts w:ascii="Times New Roman" w:hAnsi="Times New Roman"/>
          <w:i/>
          <w:iCs/>
          <w:noProof/>
          <w:sz w:val="24"/>
          <w:szCs w:val="24"/>
        </w:rPr>
        <w:t>иите от частния сектор в подкрепа на икономическото възстановяване“</w:t>
      </w:r>
      <w:r>
        <w:rPr>
          <w:rFonts w:ascii="Times New Roman" w:hAnsi="Times New Roman"/>
          <w:noProof/>
          <w:sz w:val="24"/>
          <w:szCs w:val="24"/>
        </w:rPr>
        <w:t>.</w:t>
      </w:r>
      <w:r>
        <w:rPr>
          <w:rFonts w:ascii="Times New Roman" w:hAnsi="Times New Roman"/>
          <w:i/>
          <w:iCs/>
          <w:noProof/>
          <w:sz w:val="24"/>
          <w:szCs w:val="24"/>
        </w:rPr>
        <w:t xml:space="preserve"> Да съсредоточи инвестициите върху екологичния и цифровия преход, по-специално върху чисто и ефективно производство и използване на енергия и ресурси, устойчив обществен транспорт и управл</w:t>
      </w:r>
      <w:r>
        <w:rPr>
          <w:rFonts w:ascii="Times New Roman" w:hAnsi="Times New Roman"/>
          <w:i/>
          <w:iCs/>
          <w:noProof/>
          <w:sz w:val="24"/>
          <w:szCs w:val="24"/>
        </w:rPr>
        <w:t>ение на отпадъците.“</w:t>
      </w:r>
      <w:r>
        <w:rPr>
          <w:rFonts w:ascii="Times New Roman" w:hAnsi="Times New Roman"/>
          <w:noProof/>
          <w:sz w:val="24"/>
          <w:szCs w:val="24"/>
        </w:rPr>
        <w:t xml:space="preserve">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szCs w:val="24"/>
        </w:rPr>
        <w:t>Компонентът включва четири реформи и четири инвестиции.</w:t>
      </w:r>
    </w:p>
    <w:p w:rsidR="00D4086A" w:rsidRDefault="00D5307E">
      <w:pPr>
        <w:spacing w:before="120" w:after="120" w:line="240" w:lineRule="auto"/>
        <w:jc w:val="both"/>
        <w:rPr>
          <w:rFonts w:ascii="Times New Roman" w:hAnsi="Times New Roman"/>
          <w:noProof/>
          <w:sz w:val="24"/>
        </w:rPr>
      </w:pPr>
      <w:r>
        <w:rPr>
          <w:rFonts w:ascii="Times New Roman" w:hAnsi="Times New Roman"/>
          <w:b/>
          <w:bCs/>
          <w:noProof/>
          <w:sz w:val="24"/>
          <w:szCs w:val="24"/>
          <w:u w:val="single"/>
        </w:rPr>
        <w:t xml:space="preserve">A.1. </w:t>
      </w:r>
      <w:r>
        <w:rPr>
          <w:rFonts w:ascii="Times New Roman" w:hAnsi="Times New Roman"/>
          <w:noProof/>
          <w:sz w:val="24"/>
        </w:rPr>
        <w:tab/>
      </w:r>
      <w:r>
        <w:rPr>
          <w:rFonts w:ascii="Times New Roman" w:hAnsi="Times New Roman"/>
          <w:b/>
          <w:bCs/>
          <w:noProof/>
          <w:sz w:val="24"/>
          <w:szCs w:val="24"/>
          <w:u w:val="single"/>
        </w:rPr>
        <w:t>Описание на реформите и инвестициите за безвъзмездна финансова подкрепа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szCs w:val="24"/>
        </w:rPr>
        <w:t xml:space="preserve">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Реформа 1 относно подготовката на инвестиционни проекти в областта на транспорта.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Целта на </w:t>
      </w:r>
      <w:r>
        <w:rPr>
          <w:rFonts w:ascii="Times New Roman" w:hAnsi="Times New Roman"/>
          <w:noProof/>
          <w:sz w:val="24"/>
          <w:szCs w:val="24"/>
        </w:rPr>
        <w:t>реформата е да се подобри управлението на инвестициите и да се увеличат икономическите ползи от тях. Това се постига чрез следните мерки:</w:t>
      </w:r>
    </w:p>
    <w:p w:rsidR="00D4086A" w:rsidRDefault="00D5307E">
      <w:pPr>
        <w:numPr>
          <w:ilvl w:val="0"/>
          <w:numId w:val="29"/>
        </w:numPr>
        <w:spacing w:before="120" w:after="160" w:line="257" w:lineRule="auto"/>
        <w:contextualSpacing/>
        <w:jc w:val="both"/>
        <w:rPr>
          <w:rFonts w:eastAsia="Times New Roman"/>
          <w:noProof/>
          <w:sz w:val="24"/>
          <w:szCs w:val="24"/>
        </w:rPr>
      </w:pPr>
      <w:r>
        <w:rPr>
          <w:rFonts w:ascii="Times New Roman" w:hAnsi="Times New Roman"/>
          <w:noProof/>
          <w:sz w:val="24"/>
          <w:szCs w:val="24"/>
        </w:rPr>
        <w:t>до 30 юни 2021 г. да бъде изготвен инвестиционен план за проекти за железопътна инфраструктура, като се дава приоритет</w:t>
      </w:r>
      <w:r>
        <w:rPr>
          <w:rFonts w:ascii="Times New Roman" w:hAnsi="Times New Roman"/>
          <w:noProof/>
          <w:sz w:val="24"/>
          <w:szCs w:val="24"/>
        </w:rPr>
        <w:t xml:space="preserve"> на проектите в зависимост от тяхната икономическа ефективност; </w:t>
      </w:r>
    </w:p>
    <w:p w:rsidR="00D4086A" w:rsidRDefault="00D5307E">
      <w:pPr>
        <w:numPr>
          <w:ilvl w:val="0"/>
          <w:numId w:val="29"/>
        </w:numPr>
        <w:spacing w:before="120" w:after="160" w:line="257" w:lineRule="auto"/>
        <w:contextualSpacing/>
        <w:jc w:val="both"/>
        <w:rPr>
          <w:rFonts w:eastAsia="Times New Roman"/>
          <w:noProof/>
          <w:sz w:val="24"/>
          <w:szCs w:val="24"/>
        </w:rPr>
      </w:pPr>
      <w:r>
        <w:rPr>
          <w:rFonts w:ascii="Times New Roman" w:hAnsi="Times New Roman"/>
          <w:noProof/>
          <w:sz w:val="24"/>
          <w:szCs w:val="24"/>
        </w:rPr>
        <w:t>изменения до 31 март 2023 г. на Закона за железниците и свързаното с него законодателство за опростяване и рационализиране на законодателните и техническите изисквания за параметрите на транс</w:t>
      </w:r>
      <w:r>
        <w:rPr>
          <w:rFonts w:ascii="Times New Roman" w:hAnsi="Times New Roman"/>
          <w:noProof/>
          <w:sz w:val="24"/>
          <w:szCs w:val="24"/>
        </w:rPr>
        <w:t>портната инфраструктура;</w:t>
      </w:r>
    </w:p>
    <w:p w:rsidR="00D4086A" w:rsidRDefault="00D5307E">
      <w:pPr>
        <w:numPr>
          <w:ilvl w:val="0"/>
          <w:numId w:val="29"/>
        </w:numPr>
        <w:spacing w:before="120" w:after="160" w:line="257" w:lineRule="auto"/>
        <w:contextualSpacing/>
        <w:jc w:val="both"/>
        <w:rPr>
          <w:rFonts w:eastAsia="Times New Roman"/>
          <w:noProof/>
          <w:sz w:val="24"/>
          <w:szCs w:val="24"/>
        </w:rPr>
      </w:pPr>
      <w:r>
        <w:rPr>
          <w:rFonts w:ascii="Times New Roman" w:hAnsi="Times New Roman"/>
          <w:noProof/>
          <w:sz w:val="24"/>
          <w:szCs w:val="24"/>
        </w:rPr>
        <w:t>публикуването до 31 декември 2021 г. на методика, определяща как да се определят проектите с възможно най-добро съотношение между качество и цена и да се допринесе за целта за прехвърляне на пътническия транспорт от индивидуалния а</w:t>
      </w:r>
      <w:r>
        <w:rPr>
          <w:rFonts w:ascii="Times New Roman" w:hAnsi="Times New Roman"/>
          <w:noProof/>
          <w:sz w:val="24"/>
          <w:szCs w:val="24"/>
        </w:rPr>
        <w:t xml:space="preserve">втомобилен транспорт към велосипедния транспорт. </w:t>
      </w:r>
    </w:p>
    <w:p w:rsidR="00D4086A" w:rsidRDefault="00D4086A">
      <w:pPr>
        <w:spacing w:before="120" w:after="160" w:line="257" w:lineRule="auto"/>
        <w:contextualSpacing/>
        <w:jc w:val="both"/>
        <w:rPr>
          <w:rFonts w:eastAsia="Times New Roman"/>
          <w:noProof/>
          <w:sz w:val="24"/>
          <w:szCs w:val="24"/>
        </w:rPr>
      </w:pPr>
    </w:p>
    <w:p w:rsidR="00D4086A" w:rsidRDefault="00D5307E">
      <w:pPr>
        <w:spacing w:after="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Изпълнението на реформата приключва до 31 март 2023 г.</w:t>
      </w:r>
    </w:p>
    <w:p w:rsidR="00D4086A" w:rsidRDefault="00D4086A">
      <w:pPr>
        <w:spacing w:before="120" w:after="160" w:line="257" w:lineRule="auto"/>
        <w:contextualSpacing/>
        <w:jc w:val="both"/>
        <w:rPr>
          <w:rFonts w:eastAsia="Times New Roman"/>
          <w:noProof/>
          <w:sz w:val="24"/>
          <w:szCs w:val="24"/>
        </w:rPr>
      </w:pPr>
    </w:p>
    <w:p w:rsidR="00D4086A" w:rsidRDefault="00D4086A">
      <w:pPr>
        <w:spacing w:before="120" w:after="160" w:line="257" w:lineRule="auto"/>
        <w:contextualSpacing/>
        <w:jc w:val="both"/>
        <w:rPr>
          <w:rFonts w:eastAsia="Times New Roman"/>
          <w:noProof/>
          <w:sz w:val="24"/>
          <w:szCs w:val="24"/>
        </w:rPr>
      </w:pP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Реформа 2 относно обществения пътнически транспорт.</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Целта на реформата е да се подобри предоставянето на пътнически транспорт. Нов план за </w:t>
      </w:r>
      <w:r>
        <w:rPr>
          <w:rFonts w:ascii="Times New Roman" w:hAnsi="Times New Roman"/>
          <w:noProof/>
          <w:sz w:val="24"/>
          <w:szCs w:val="24"/>
        </w:rPr>
        <w:t>транспортни услуги, последван от оптимизиране на железопътния пътнически транспорт, представлява основна част от всеобхватната реформа на обществения транспорт. Реформата ще бъде подкрепена от ново законодателство, определящо правила, отговорности и задълж</w:t>
      </w:r>
      <w:r>
        <w:rPr>
          <w:rFonts w:ascii="Times New Roman" w:hAnsi="Times New Roman"/>
          <w:noProof/>
          <w:sz w:val="24"/>
          <w:szCs w:val="24"/>
        </w:rPr>
        <w:t>ения при координирането, поръчването и финансирането на регионалните автобусни и железопътни услуги. В законодателството се определя национален орган, който да координира, в сътрудничество с регионалните интегратори, създаването на национална интегрирана т</w:t>
      </w:r>
      <w:r>
        <w:rPr>
          <w:rFonts w:ascii="Times New Roman" w:hAnsi="Times New Roman"/>
          <w:noProof/>
          <w:sz w:val="24"/>
          <w:szCs w:val="24"/>
        </w:rPr>
        <w:t>ранспортна система с единна тарифа, както и да координира подготовката и прилагането на процедури за възлагане на обществени поръчки както за обществени пътнически железопътни услуги, така и за превозни средства, закупени с подкрепата на фондове на ЕС за о</w:t>
      </w:r>
      <w:r>
        <w:rPr>
          <w:rFonts w:ascii="Times New Roman" w:hAnsi="Times New Roman"/>
          <w:noProof/>
          <w:sz w:val="24"/>
          <w:szCs w:val="24"/>
        </w:rPr>
        <w:t>бслужване на тези маршрути през предходни периоди. Следва да се увеличи честотата на железопътния транспорт по линиите с най-голям потенциал за прехвърляне на трафик от леки автомобили към влакове, което ще даде възможност за по-добра координация на регион</w:t>
      </w:r>
      <w:r>
        <w:rPr>
          <w:rFonts w:ascii="Times New Roman" w:hAnsi="Times New Roman"/>
          <w:noProof/>
          <w:sz w:val="24"/>
          <w:szCs w:val="24"/>
        </w:rPr>
        <w:t>алните обществени автобусни и железопътни услуги. Тази реформа се основава на следните специфични мерки:</w:t>
      </w:r>
      <w:r>
        <w:rPr>
          <w:rFonts w:ascii="Times New Roman" w:hAnsi="Times New Roman"/>
          <w:b/>
          <w:bCs/>
          <w:noProof/>
          <w:sz w:val="24"/>
          <w:szCs w:val="24"/>
        </w:rPr>
        <w:t xml:space="preserve"> </w:t>
      </w:r>
    </w:p>
    <w:p w:rsidR="00D4086A" w:rsidRDefault="00D5307E">
      <w:pPr>
        <w:numPr>
          <w:ilvl w:val="0"/>
          <w:numId w:val="28"/>
        </w:numPr>
        <w:spacing w:before="120" w:after="160" w:line="257" w:lineRule="auto"/>
        <w:contextualSpacing/>
        <w:jc w:val="both"/>
        <w:rPr>
          <w:rFonts w:eastAsia="Times New Roman"/>
          <w:noProof/>
          <w:sz w:val="24"/>
          <w:szCs w:val="24"/>
        </w:rPr>
      </w:pPr>
      <w:r>
        <w:rPr>
          <w:rFonts w:ascii="Times New Roman" w:hAnsi="Times New Roman"/>
          <w:noProof/>
          <w:sz w:val="24"/>
          <w:szCs w:val="24"/>
        </w:rPr>
        <w:t>До 31 март 2023 г. с нов закон се създават стандарти за обществения пътнически транспорт и се рационализира редът на обществените услуги, който понаст</w:t>
      </w:r>
      <w:r>
        <w:rPr>
          <w:rFonts w:ascii="Times New Roman" w:hAnsi="Times New Roman"/>
          <w:noProof/>
          <w:sz w:val="24"/>
          <w:szCs w:val="24"/>
        </w:rPr>
        <w:t>оящем е фрагментиран и недостатъчно координиран между държавата, окръзите, градовете и общините.</w:t>
      </w:r>
    </w:p>
    <w:p w:rsidR="00D4086A" w:rsidRDefault="00D5307E">
      <w:pPr>
        <w:numPr>
          <w:ilvl w:val="0"/>
          <w:numId w:val="28"/>
        </w:numPr>
        <w:spacing w:before="120" w:after="160" w:line="257" w:lineRule="auto"/>
        <w:contextualSpacing/>
        <w:jc w:val="both"/>
        <w:rPr>
          <w:rFonts w:eastAsia="Times New Roman"/>
          <w:noProof/>
          <w:sz w:val="24"/>
          <w:szCs w:val="24"/>
        </w:rPr>
      </w:pPr>
      <w:r>
        <w:rPr>
          <w:rFonts w:ascii="Times New Roman" w:hAnsi="Times New Roman"/>
          <w:noProof/>
          <w:sz w:val="24"/>
          <w:szCs w:val="24"/>
        </w:rPr>
        <w:t xml:space="preserve">До 31 декември 2023 г. се публикуват оптимизирани графики на железопътния транспорт; </w:t>
      </w:r>
    </w:p>
    <w:p w:rsidR="00D4086A" w:rsidRDefault="00D5307E">
      <w:pPr>
        <w:numPr>
          <w:ilvl w:val="0"/>
          <w:numId w:val="28"/>
        </w:numPr>
        <w:spacing w:before="120" w:after="160" w:line="257" w:lineRule="auto"/>
        <w:contextualSpacing/>
        <w:jc w:val="both"/>
        <w:rPr>
          <w:rFonts w:eastAsia="Times New Roman"/>
          <w:noProof/>
          <w:sz w:val="24"/>
          <w:szCs w:val="24"/>
        </w:rPr>
      </w:pPr>
      <w:r>
        <w:rPr>
          <w:rFonts w:ascii="Times New Roman" w:hAnsi="Times New Roman"/>
          <w:noProof/>
          <w:sz w:val="24"/>
          <w:szCs w:val="24"/>
        </w:rPr>
        <w:t xml:space="preserve">До 31 декември 2026 г. се създава интегрирана транспортна система, която </w:t>
      </w:r>
      <w:r>
        <w:rPr>
          <w:rFonts w:ascii="Times New Roman" w:hAnsi="Times New Roman"/>
          <w:noProof/>
          <w:sz w:val="24"/>
          <w:szCs w:val="24"/>
        </w:rPr>
        <w:t>позволява на мултимодалния обществен пътнически транспорт да пътува с един билет. Той трябва да функционира в най-малко 6 области.</w:t>
      </w:r>
    </w:p>
    <w:p w:rsidR="00D4086A" w:rsidRDefault="00D4086A">
      <w:pPr>
        <w:spacing w:before="120" w:after="160" w:line="257" w:lineRule="auto"/>
        <w:contextualSpacing/>
        <w:jc w:val="both"/>
        <w:rPr>
          <w:rFonts w:eastAsia="Times New Roman"/>
          <w:noProof/>
          <w:sz w:val="24"/>
          <w:szCs w:val="24"/>
          <w:lang w:val="en-US"/>
        </w:rPr>
      </w:pPr>
    </w:p>
    <w:p w:rsidR="00D4086A" w:rsidRDefault="00D5307E">
      <w:pPr>
        <w:spacing w:before="120" w:after="160" w:line="257" w:lineRule="auto"/>
        <w:contextualSpacing/>
        <w:jc w:val="both"/>
        <w:rPr>
          <w:rFonts w:ascii="Times New Roman" w:eastAsia="Times New Roman" w:hAnsi="Times New Roman"/>
          <w:noProof/>
          <w:sz w:val="24"/>
          <w:szCs w:val="24"/>
        </w:rPr>
      </w:pPr>
      <w:r>
        <w:rPr>
          <w:rFonts w:ascii="Times New Roman" w:hAnsi="Times New Roman"/>
          <w:noProof/>
          <w:sz w:val="24"/>
          <w:szCs w:val="24"/>
        </w:rPr>
        <w:t xml:space="preserve">Последният етап, свързан с изпълнението на реформата, трябва да приключи до 30 юни 2026 г. </w:t>
      </w:r>
    </w:p>
    <w:p w:rsidR="00D4086A" w:rsidRDefault="00D4086A">
      <w:pPr>
        <w:spacing w:before="120" w:after="160" w:line="257" w:lineRule="auto"/>
        <w:contextualSpacing/>
        <w:jc w:val="both"/>
        <w:rPr>
          <w:rFonts w:eastAsia="Times New Roman"/>
          <w:noProof/>
          <w:sz w:val="24"/>
          <w:szCs w:val="24"/>
          <w:lang w:val="en-US"/>
        </w:rPr>
      </w:pPr>
    </w:p>
    <w:p w:rsidR="00D4086A" w:rsidRDefault="00D5307E">
      <w:pPr>
        <w:spacing w:before="120" w:after="120" w:line="257" w:lineRule="auto"/>
        <w:jc w:val="both"/>
        <w:rPr>
          <w:rFonts w:ascii="Times New Roman" w:eastAsia="Times New Roman" w:hAnsi="Times New Roman"/>
          <w:noProof/>
          <w:sz w:val="24"/>
          <w:szCs w:val="24"/>
        </w:rPr>
      </w:pPr>
      <w:r>
        <w:rPr>
          <w:rFonts w:ascii="Times New Roman" w:hAnsi="Times New Roman"/>
          <w:b/>
          <w:noProof/>
          <w:sz w:val="24"/>
          <w:szCs w:val="24"/>
        </w:rPr>
        <w:t>Реформа 3 относно интермодалния</w:t>
      </w:r>
      <w:r>
        <w:rPr>
          <w:rFonts w:ascii="Times New Roman" w:hAnsi="Times New Roman"/>
          <w:b/>
          <w:noProof/>
          <w:sz w:val="24"/>
          <w:szCs w:val="24"/>
        </w:rPr>
        <w:t xml:space="preserve"> товарен транспорт.</w:t>
      </w:r>
    </w:p>
    <w:p w:rsidR="00D4086A" w:rsidRDefault="00D5307E">
      <w:pPr>
        <w:spacing w:before="120" w:after="120" w:line="257" w:lineRule="auto"/>
        <w:jc w:val="both"/>
        <w:rPr>
          <w:rFonts w:ascii="Times New Roman" w:eastAsia="Times New Roman" w:hAnsi="Times New Roman"/>
          <w:noProof/>
          <w:sz w:val="24"/>
          <w:szCs w:val="24"/>
        </w:rPr>
      </w:pPr>
      <w:r>
        <w:rPr>
          <w:rFonts w:ascii="Times New Roman" w:hAnsi="Times New Roman"/>
          <w:noProof/>
          <w:sz w:val="24"/>
          <w:szCs w:val="24"/>
        </w:rPr>
        <w:t>Реформата подкрепя по-голямата интермодалност чрез обществени поръчки, координация на логистиката и насърчаване на стартирането на нови интермодални маршрути. Целта на тази реформа е до 2030 г. 30 % от автомобилния транспорт на разстоян</w:t>
      </w:r>
      <w:r>
        <w:rPr>
          <w:rFonts w:ascii="Times New Roman" w:hAnsi="Times New Roman"/>
          <w:noProof/>
          <w:sz w:val="24"/>
          <w:szCs w:val="24"/>
        </w:rPr>
        <w:t>ие над 300 km да се пренасочат към железопътния или водния транспорт и над 50 % до 2050 г. (в сравнение с 2005 г.). Това се постига по-специално чрез насърчаване на интереса на превозвачите да пренасочат товарния автомобилен транспорт към железопътния/инте</w:t>
      </w:r>
      <w:r>
        <w:rPr>
          <w:rFonts w:ascii="Times New Roman" w:hAnsi="Times New Roman"/>
          <w:noProof/>
          <w:sz w:val="24"/>
          <w:szCs w:val="24"/>
        </w:rPr>
        <w:t>рмодалния транспорт, както и чрез предотвратяване на по-нататъшното прехвърляне на железопътния транспорт към друг вид транспорт. Подготовката и одобряването на концепция за развитието на интермодалния транспорт, включително предложението за необходимите з</w:t>
      </w:r>
      <w:r>
        <w:rPr>
          <w:rFonts w:ascii="Times New Roman" w:hAnsi="Times New Roman"/>
          <w:noProof/>
          <w:sz w:val="24"/>
          <w:szCs w:val="24"/>
        </w:rPr>
        <w:t>аконодателни промени, дават възможност за приемане на мерки за системното развитие на екологосъобразни видове товарен транспорт. Подкрепата е насочена към премахване на техническите проблеми в прехода към интермодален транспорт и повишаване на неговата при</w:t>
      </w:r>
      <w:r>
        <w:rPr>
          <w:rFonts w:ascii="Times New Roman" w:hAnsi="Times New Roman"/>
          <w:noProof/>
          <w:sz w:val="24"/>
          <w:szCs w:val="24"/>
        </w:rPr>
        <w:t xml:space="preserve">влекателност. </w:t>
      </w:r>
    </w:p>
    <w:p w:rsidR="00D4086A" w:rsidRDefault="00D5307E">
      <w:pPr>
        <w:spacing w:before="120" w:after="120" w:line="257" w:lineRule="auto"/>
        <w:jc w:val="both"/>
        <w:rPr>
          <w:rFonts w:ascii="Times New Roman" w:eastAsia="Times New Roman" w:hAnsi="Times New Roman"/>
          <w:noProof/>
          <w:sz w:val="24"/>
          <w:szCs w:val="24"/>
        </w:rPr>
      </w:pPr>
      <w:r>
        <w:rPr>
          <w:rFonts w:ascii="Times New Roman" w:hAnsi="Times New Roman"/>
          <w:noProof/>
          <w:sz w:val="24"/>
          <w:szCs w:val="24"/>
        </w:rPr>
        <w:t>Очаква се реформата да започне до 31 декември 2021 г. и да приключи до 31 декември 2022 г.</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noProof/>
          <w:sz w:val="24"/>
          <w:szCs w:val="24"/>
        </w:rPr>
        <w:t>Реформа 4 относно въвеждането на нови политики за дългосрочно насърчаване на алтернативните горива в транспортния сектор.</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Реформата се подкрепя чрез в</w:t>
      </w:r>
      <w:r>
        <w:rPr>
          <w:rFonts w:ascii="Times New Roman" w:hAnsi="Times New Roman"/>
          <w:noProof/>
          <w:sz w:val="24"/>
          <w:szCs w:val="24"/>
        </w:rPr>
        <w:t>лизането в сила, до 31 декември 2022 г., на новите законодателни мерки за реформиране на тарифите за разпределение, опростяване и ускоряване на процеса на изграждане на инфраструктура за алтернативно задвижване. Те също така въвеждат „права на зарядни точк</w:t>
      </w:r>
      <w:r>
        <w:rPr>
          <w:rFonts w:ascii="Times New Roman" w:hAnsi="Times New Roman"/>
          <w:noProof/>
          <w:sz w:val="24"/>
          <w:szCs w:val="24"/>
        </w:rPr>
        <w:t>и“ и стабилна, предвидима многогодишна рамка за подпомагане на изграждането на съответната инфраструктура за алтернативно задвижване.</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Инвестиция 1 за развитие на транспортна инфраструктура с ниски въглеродни емисии.</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Инвестицията подкрепя декарбонизацията ч</w:t>
      </w:r>
      <w:r>
        <w:rPr>
          <w:rFonts w:ascii="Times New Roman" w:hAnsi="Times New Roman"/>
          <w:noProof/>
          <w:sz w:val="24"/>
          <w:szCs w:val="24"/>
        </w:rPr>
        <w:t>рез електрификация на железопътните линии, модернизиране на железопътните линии, изграждане или модернизиране на трамвайни и тролейбусни линии и изграждане на велосипедна инфраструктура. Извършва се „препроектиране на европейския процес на изготвяне на гра</w:t>
      </w:r>
      <w:r>
        <w:rPr>
          <w:rFonts w:ascii="Times New Roman" w:hAnsi="Times New Roman"/>
          <w:noProof/>
          <w:sz w:val="24"/>
          <w:szCs w:val="24"/>
        </w:rPr>
        <w:t>фиците – TTR“ и се въвежда нова система за сигурност, основана на цифровите технологии, за да се даде възможност за автоматизиране на управлението на железопътното движение. Инвестицията се основава на реформа 1.</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Изпълнението на инвестицията трябва да прик</w:t>
      </w:r>
      <w:r>
        <w:rPr>
          <w:rFonts w:ascii="Times New Roman" w:hAnsi="Times New Roman"/>
          <w:noProof/>
          <w:sz w:val="24"/>
          <w:szCs w:val="24"/>
        </w:rPr>
        <w:t>лючи до 30 юни 2026 г.</w:t>
      </w:r>
    </w:p>
    <w:p w:rsidR="00D4086A" w:rsidRDefault="00D4086A">
      <w:pPr>
        <w:spacing w:before="120" w:after="120" w:line="240" w:lineRule="auto"/>
        <w:jc w:val="both"/>
        <w:rPr>
          <w:rFonts w:ascii="Times New Roman" w:hAnsi="Times New Roman"/>
          <w:noProof/>
          <w:sz w:val="24"/>
          <w:szCs w:val="24"/>
        </w:rPr>
      </w:pP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Инвестиция 2 за насърчаване на чист пътнически транспорт.</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Инвестицията постига това, като увеличава привлекателността на железопътния пътнически транспорт и на крайградския и градския транспорт надолу по веригата. В гъсто населените крайградски райони и по основните транспортни коридори между големите градове и м</w:t>
      </w:r>
      <w:r>
        <w:rPr>
          <w:rFonts w:ascii="Times New Roman" w:hAnsi="Times New Roman"/>
          <w:noProof/>
          <w:sz w:val="24"/>
          <w:szCs w:val="24"/>
        </w:rPr>
        <w:t>етрополните области предлагането на връзки се увеличава. Нов или модернизиран подвижен състав се въвежда в експлоатация. Инвестициите се извършват под формата на специални субсидии на недискриминационна основа, като се използват инструменти за анализ на да</w:t>
      </w:r>
      <w:r>
        <w:rPr>
          <w:rFonts w:ascii="Times New Roman" w:hAnsi="Times New Roman"/>
          <w:noProof/>
          <w:sz w:val="24"/>
          <w:szCs w:val="24"/>
        </w:rPr>
        <w:t xml:space="preserve">нни и данни за трафика. Инвестицията се подкрепя от реформа 2.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Изпълнението на инвестицията трябва да приключи до 30 юни 2025 г.</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Инвестиция 3 за развитието на интермодалния товарен транспорт.</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Инвестицията подпомага закупуването на интермодални транспортни</w:t>
      </w:r>
      <w:r>
        <w:rPr>
          <w:rFonts w:ascii="Times New Roman" w:hAnsi="Times New Roman"/>
          <w:noProof/>
          <w:sz w:val="24"/>
          <w:szCs w:val="24"/>
        </w:rPr>
        <w:t xml:space="preserve"> единици и товарни съоръжения с частен капитал и стартирането на нови интермодални маршрути по избрани маршрути. За да се увеличи обемът на транспорта в по-екологичен интермодален транспорт, държавата насърчава закупуването на интермодални транспортни един</w:t>
      </w:r>
      <w:r>
        <w:rPr>
          <w:rFonts w:ascii="Times New Roman" w:hAnsi="Times New Roman"/>
          <w:noProof/>
          <w:sz w:val="24"/>
          <w:szCs w:val="24"/>
        </w:rPr>
        <w:t>ици и товарни съоръжения, включващи частен капитал. В същото време държавата предоставя подкрепа за стартирането на нови интермодални маршрути по избрани маршрути. Предвидените схеми за държавна помощ предвиждат (при условие че бъдат одобрени от Европейска</w:t>
      </w:r>
      <w:r>
        <w:rPr>
          <w:rFonts w:ascii="Times New Roman" w:hAnsi="Times New Roman"/>
          <w:noProof/>
          <w:sz w:val="24"/>
          <w:szCs w:val="24"/>
        </w:rPr>
        <w:t>та комисия) само частично финансиране от механизма и подбор на дружества, които ще получават подкрепа след публични покани за представяне на предложения с ясно определени недискриминационни правила.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Изпълнението на инвестицията трябва да приключи до 30 юни</w:t>
      </w:r>
      <w:r>
        <w:rPr>
          <w:rFonts w:ascii="Times New Roman" w:hAnsi="Times New Roman"/>
          <w:noProof/>
          <w:sz w:val="24"/>
          <w:szCs w:val="24"/>
        </w:rPr>
        <w:t xml:space="preserve"> 2026 г.</w:t>
      </w:r>
    </w:p>
    <w:p w:rsidR="00D4086A" w:rsidRDefault="00D4086A">
      <w:pPr>
        <w:spacing w:before="120" w:after="120" w:line="240" w:lineRule="auto"/>
        <w:jc w:val="both"/>
        <w:rPr>
          <w:rFonts w:ascii="Times New Roman" w:hAnsi="Times New Roman"/>
          <w:noProof/>
          <w:sz w:val="24"/>
          <w:szCs w:val="24"/>
        </w:rPr>
      </w:pP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Инвестиция 4 в подкрепа на изграждането на инфраструктура за алтернативно задвижване.</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Инвестициите са насочени към зарядни точки за електрически автомобили и точки за зареждане с водород. Създава се финансов механизъм на схемите за помощ за изгра</w:t>
      </w:r>
      <w:r>
        <w:rPr>
          <w:rFonts w:ascii="Times New Roman" w:hAnsi="Times New Roman"/>
          <w:noProof/>
          <w:sz w:val="24"/>
          <w:szCs w:val="24"/>
        </w:rPr>
        <w:t xml:space="preserve">ждането на зарядни точки за електрически автомобили и точки за зареждане с водород. Системата осигурява изграждането на скелетната инфраструктура на свръхвисокоскоростните пунктове за поглъщане, наличната инфраструктура за зареждане на равнището на всички </w:t>
      </w:r>
      <w:r>
        <w:rPr>
          <w:rFonts w:ascii="Times New Roman" w:hAnsi="Times New Roman"/>
          <w:noProof/>
          <w:sz w:val="24"/>
          <w:szCs w:val="24"/>
        </w:rPr>
        <w:t>области на Словашката република, като по този начин се насърчава по-бързото развитие на пътническия и товарния транспорт с алтернативно гориво, което води до модернизиране на автомобилния парк с цел намаляване на общите емисии в автомобилния транспорт. Таз</w:t>
      </w:r>
      <w:r>
        <w:rPr>
          <w:rFonts w:ascii="Times New Roman" w:hAnsi="Times New Roman"/>
          <w:noProof/>
          <w:sz w:val="24"/>
          <w:szCs w:val="24"/>
        </w:rPr>
        <w:t>и инвестиция се подкрепя от реформа 3.</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Изпълнението на инвестицията трябва да приключи до 30 юни 2026 г.</w:t>
      </w:r>
    </w:p>
    <w:p w:rsidR="00D4086A" w:rsidRDefault="00D4086A">
      <w:pPr>
        <w:tabs>
          <w:tab w:val="left" w:pos="993"/>
        </w:tabs>
        <w:spacing w:before="120" w:after="120" w:line="240" w:lineRule="auto"/>
        <w:jc w:val="both"/>
        <w:rPr>
          <w:rFonts w:ascii="Times New Roman" w:hAnsi="Times New Roman"/>
          <w:noProof/>
          <w:sz w:val="24"/>
          <w:szCs w:val="24"/>
        </w:rPr>
      </w:pPr>
    </w:p>
    <w:p w:rsidR="00D4086A" w:rsidRDefault="00D4086A">
      <w:pPr>
        <w:spacing w:before="120" w:after="120" w:line="240" w:lineRule="auto"/>
        <w:ind w:left="850"/>
        <w:jc w:val="both"/>
        <w:rPr>
          <w:rFonts w:ascii="Times New Roman" w:hAnsi="Times New Roman"/>
          <w:b/>
          <w:noProof/>
          <w:sz w:val="24"/>
          <w:highlight w:val="red"/>
          <w:u w:val="single"/>
        </w:rPr>
        <w:sectPr w:rsidR="00D4086A">
          <w:headerReference w:type="even" r:id="rId42"/>
          <w:headerReference w:type="default" r:id="rId43"/>
          <w:footerReference w:type="even" r:id="rId44"/>
          <w:footerReference w:type="default" r:id="rId45"/>
          <w:headerReference w:type="first" r:id="rId46"/>
          <w:footerReference w:type="first" r:id="rId47"/>
          <w:pgSz w:w="11907" w:h="16839"/>
          <w:pgMar w:top="1134" w:right="1418" w:bottom="1134" w:left="1418" w:header="709" w:footer="709" w:gutter="0"/>
          <w:cols w:space="720"/>
          <w:docGrid w:linePitch="360"/>
        </w:sectPr>
      </w:pPr>
    </w:p>
    <w:p w:rsidR="00D4086A" w:rsidRDefault="00D4086A">
      <w:pPr>
        <w:tabs>
          <w:tab w:val="left" w:pos="993"/>
        </w:tabs>
        <w:spacing w:before="120" w:after="120" w:line="240" w:lineRule="auto"/>
        <w:ind w:left="850"/>
        <w:jc w:val="both"/>
        <w:rPr>
          <w:rFonts w:ascii="Times New Roman" w:hAnsi="Times New Roman"/>
          <w:b/>
          <w:bCs/>
          <w:noProof/>
          <w:sz w:val="24"/>
          <w:szCs w:val="24"/>
          <w:u w:val="single"/>
        </w:rPr>
      </w:pPr>
    </w:p>
    <w:p w:rsidR="00D4086A" w:rsidRDefault="00D5307E">
      <w:pPr>
        <w:tabs>
          <w:tab w:val="left" w:pos="993"/>
        </w:tabs>
        <w:spacing w:before="120" w:after="120" w:line="240" w:lineRule="auto"/>
        <w:ind w:left="850"/>
        <w:jc w:val="both"/>
        <w:rPr>
          <w:rFonts w:ascii="Times New Roman" w:hAnsi="Times New Roman"/>
          <w:b/>
          <w:noProof/>
          <w:sz w:val="24"/>
          <w:szCs w:val="24"/>
          <w:u w:val="single"/>
        </w:rPr>
      </w:pPr>
      <w:r>
        <w:rPr>
          <w:rFonts w:ascii="Times New Roman" w:hAnsi="Times New Roman"/>
          <w:b/>
          <w:noProof/>
          <w:sz w:val="24"/>
          <w:szCs w:val="24"/>
          <w:u w:val="single"/>
        </w:rPr>
        <w:t xml:space="preserve">A.2. </w:t>
      </w:r>
      <w:r>
        <w:rPr>
          <w:noProof/>
        </w:rPr>
        <w:tab/>
      </w:r>
      <w:r>
        <w:rPr>
          <w:rFonts w:ascii="Times New Roman" w:hAnsi="Times New Roman"/>
          <w:b/>
          <w:noProof/>
          <w:sz w:val="24"/>
          <w:szCs w:val="24"/>
          <w:u w:val="single"/>
        </w:rPr>
        <w:t>Ключови етапи, цели, показатели и график за мониторинг и изпълнение на безвъзмездната фина</w:t>
      </w:r>
      <w:r>
        <w:rPr>
          <w:rFonts w:ascii="Times New Roman" w:hAnsi="Times New Roman"/>
          <w:b/>
          <w:noProof/>
          <w:sz w:val="24"/>
          <w:szCs w:val="24"/>
          <w:u w:val="single"/>
        </w:rPr>
        <w:t xml:space="preserve">нсова подкрепа </w:t>
      </w:r>
    </w:p>
    <w:p w:rsidR="00D4086A" w:rsidRDefault="00D4086A">
      <w:pPr>
        <w:tabs>
          <w:tab w:val="left" w:pos="993"/>
        </w:tabs>
        <w:spacing w:before="120" w:after="120" w:line="240" w:lineRule="auto"/>
        <w:ind w:left="850"/>
        <w:jc w:val="both"/>
        <w:rPr>
          <w:rFonts w:ascii="Times New Roman" w:hAnsi="Times New Roman"/>
          <w:b/>
          <w:bCs/>
          <w:noProof/>
          <w:sz w:val="24"/>
          <w:szCs w:val="24"/>
          <w:u w:val="single"/>
        </w:rPr>
      </w:pPr>
    </w:p>
    <w:tbl>
      <w:tblPr>
        <w:tblW w:w="0" w:type="auto"/>
        <w:tblLayout w:type="fixed"/>
        <w:tblLook w:val="04A0" w:firstRow="1" w:lastRow="0" w:firstColumn="1" w:lastColumn="0" w:noHBand="0" w:noVBand="1"/>
      </w:tblPr>
      <w:tblGrid>
        <w:gridCol w:w="817"/>
        <w:gridCol w:w="1276"/>
        <w:gridCol w:w="1134"/>
        <w:gridCol w:w="850"/>
        <w:gridCol w:w="1276"/>
        <w:gridCol w:w="1276"/>
        <w:gridCol w:w="992"/>
        <w:gridCol w:w="992"/>
        <w:gridCol w:w="993"/>
        <w:gridCol w:w="992"/>
        <w:gridCol w:w="3966"/>
      </w:tblGrid>
      <w:tr w:rsidR="00D4086A">
        <w:trPr>
          <w:trHeight w:val="1530"/>
        </w:trPr>
        <w:tc>
          <w:tcPr>
            <w:tcW w:w="817"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w:t>
            </w:r>
          </w:p>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 xml:space="preserve"> </w:t>
            </w:r>
          </w:p>
        </w:tc>
        <w:tc>
          <w:tcPr>
            <w:tcW w:w="1276"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Свързана мярка (реформа или инвестиция)</w:t>
            </w:r>
          </w:p>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 xml:space="preserve"> </w:t>
            </w:r>
          </w:p>
        </w:tc>
        <w:tc>
          <w:tcPr>
            <w:tcW w:w="1134"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Ключов етап / Цел</w:t>
            </w:r>
          </w:p>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 xml:space="preserve"> </w:t>
            </w:r>
          </w:p>
        </w:tc>
        <w:tc>
          <w:tcPr>
            <w:tcW w:w="850"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Наименование</w:t>
            </w:r>
          </w:p>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 xml:space="preserve"> </w:t>
            </w:r>
          </w:p>
        </w:tc>
        <w:tc>
          <w:tcPr>
            <w:tcW w:w="1276"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Качествени показатели</w:t>
            </w:r>
            <w:r>
              <w:rPr>
                <w:rFonts w:ascii="Times New Roman" w:hAnsi="Times New Roman"/>
                <w:noProof/>
                <w:sz w:val="20"/>
                <w:szCs w:val="20"/>
              </w:rPr>
              <w:t xml:space="preserve">  </w:t>
            </w:r>
            <w:r>
              <w:rPr>
                <w:rFonts w:ascii="Times New Roman" w:hAnsi="Times New Roman"/>
                <w:b/>
                <w:noProof/>
                <w:sz w:val="20"/>
                <w:szCs w:val="20"/>
              </w:rPr>
              <w:t xml:space="preserve"> (за ключовите етапи)</w:t>
            </w:r>
          </w:p>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 xml:space="preserve"> </w:t>
            </w:r>
          </w:p>
        </w:tc>
        <w:tc>
          <w:tcPr>
            <w:tcW w:w="3260"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Качествени показатели</w:t>
            </w:r>
            <w:r>
              <w:rPr>
                <w:rFonts w:ascii="Times New Roman" w:hAnsi="Times New Roman"/>
                <w:noProof/>
                <w:sz w:val="20"/>
                <w:szCs w:val="20"/>
              </w:rPr>
              <w:t xml:space="preserve"> </w:t>
            </w:r>
            <w:r>
              <w:rPr>
                <w:rFonts w:ascii="Times New Roman" w:hAnsi="Times New Roman"/>
                <w:b/>
                <w:noProof/>
                <w:sz w:val="20"/>
                <w:szCs w:val="20"/>
              </w:rPr>
              <w:t>(за целите)</w:t>
            </w:r>
          </w:p>
        </w:tc>
        <w:tc>
          <w:tcPr>
            <w:tcW w:w="1985" w:type="dxa"/>
            <w:gridSpan w:val="2"/>
            <w:tcBorders>
              <w:top w:val="single" w:sz="8" w:space="0" w:color="auto"/>
              <w:left w:val="nil"/>
              <w:bottom w:val="single" w:sz="8" w:space="0" w:color="auto"/>
              <w:right w:val="single" w:sz="8" w:space="0" w:color="000000"/>
            </w:tcBorders>
            <w:shd w:val="clear" w:color="auto" w:fill="BDD7E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b/>
                <w:bCs/>
                <w:noProof/>
                <w:sz w:val="20"/>
                <w:szCs w:val="20"/>
              </w:rPr>
              <w:t xml:space="preserve">Ориентировъчен график за приключване </w:t>
            </w:r>
          </w:p>
        </w:tc>
        <w:tc>
          <w:tcPr>
            <w:tcW w:w="3966" w:type="dxa"/>
            <w:vMerge w:val="restart"/>
            <w:tcBorders>
              <w:top w:val="single" w:sz="8" w:space="0" w:color="auto"/>
              <w:left w:val="nil"/>
              <w:right w:val="single" w:sz="8" w:space="0" w:color="auto"/>
            </w:tcBorders>
            <w:shd w:val="clear" w:color="auto" w:fill="BDD7E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 xml:space="preserve">Описание и ясно определяне на всеки </w:t>
            </w:r>
            <w:r>
              <w:rPr>
                <w:rFonts w:ascii="Times New Roman" w:hAnsi="Times New Roman"/>
                <w:b/>
                <w:noProof/>
                <w:sz w:val="20"/>
                <w:szCs w:val="20"/>
              </w:rPr>
              <w:t>ключов етап и цел</w:t>
            </w:r>
          </w:p>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 xml:space="preserve"> </w:t>
            </w:r>
          </w:p>
        </w:tc>
      </w:tr>
      <w:tr w:rsidR="00D4086A">
        <w:trPr>
          <w:trHeight w:val="600"/>
        </w:trPr>
        <w:tc>
          <w:tcPr>
            <w:tcW w:w="817" w:type="dxa"/>
            <w:vMerge/>
            <w:tcBorders>
              <w:left w:val="single" w:sz="8" w:space="0" w:color="auto"/>
              <w:bottom w:val="single" w:sz="8" w:space="0" w:color="auto"/>
              <w:right w:val="single" w:sz="8" w:space="0" w:color="auto"/>
            </w:tcBorders>
            <w:shd w:val="clear" w:color="auto" w:fill="BDD7EE"/>
            <w:vAlign w:val="center"/>
          </w:tcPr>
          <w:p w:rsidR="00D4086A" w:rsidRDefault="00D4086A">
            <w:pPr>
              <w:spacing w:before="120" w:after="120" w:line="240" w:lineRule="auto"/>
              <w:jc w:val="center"/>
              <w:rPr>
                <w:rFonts w:ascii="Times New Roman" w:hAnsi="Times New Roman"/>
                <w:noProof/>
                <w:sz w:val="20"/>
                <w:szCs w:val="20"/>
              </w:rPr>
            </w:pPr>
          </w:p>
        </w:tc>
        <w:tc>
          <w:tcPr>
            <w:tcW w:w="1276" w:type="dxa"/>
            <w:vMerge/>
            <w:tcBorders>
              <w:left w:val="single" w:sz="8" w:space="0" w:color="auto"/>
              <w:bottom w:val="single" w:sz="8" w:space="0" w:color="auto"/>
              <w:right w:val="single" w:sz="8" w:space="0" w:color="auto"/>
            </w:tcBorders>
            <w:shd w:val="clear" w:color="auto" w:fill="BDD7EE"/>
            <w:vAlign w:val="center"/>
          </w:tcPr>
          <w:p w:rsidR="00D4086A" w:rsidRDefault="00D4086A">
            <w:pPr>
              <w:spacing w:before="120" w:after="120" w:line="240" w:lineRule="auto"/>
              <w:jc w:val="center"/>
              <w:rPr>
                <w:rFonts w:ascii="Times New Roman" w:hAnsi="Times New Roman"/>
                <w:noProof/>
                <w:sz w:val="20"/>
                <w:szCs w:val="20"/>
              </w:rPr>
            </w:pPr>
          </w:p>
        </w:tc>
        <w:tc>
          <w:tcPr>
            <w:tcW w:w="1134" w:type="dxa"/>
            <w:vMerge/>
            <w:tcBorders>
              <w:left w:val="single" w:sz="8" w:space="0" w:color="auto"/>
              <w:bottom w:val="single" w:sz="8" w:space="0" w:color="auto"/>
              <w:right w:val="single" w:sz="8" w:space="0" w:color="auto"/>
            </w:tcBorders>
            <w:shd w:val="clear" w:color="auto" w:fill="BDD7EE"/>
            <w:vAlign w:val="center"/>
          </w:tcPr>
          <w:p w:rsidR="00D4086A" w:rsidRDefault="00D4086A">
            <w:pPr>
              <w:spacing w:before="120" w:after="120" w:line="240" w:lineRule="auto"/>
              <w:jc w:val="center"/>
              <w:rPr>
                <w:rFonts w:ascii="Times New Roman" w:hAnsi="Times New Roman"/>
                <w:noProof/>
                <w:sz w:val="20"/>
                <w:szCs w:val="20"/>
              </w:rPr>
            </w:pPr>
          </w:p>
        </w:tc>
        <w:tc>
          <w:tcPr>
            <w:tcW w:w="850" w:type="dxa"/>
            <w:vMerge/>
            <w:tcBorders>
              <w:left w:val="single" w:sz="8" w:space="0" w:color="auto"/>
              <w:bottom w:val="single" w:sz="8" w:space="0" w:color="auto"/>
              <w:right w:val="single" w:sz="8" w:space="0" w:color="auto"/>
            </w:tcBorders>
            <w:shd w:val="clear" w:color="auto" w:fill="BDD7EE"/>
            <w:vAlign w:val="center"/>
          </w:tcPr>
          <w:p w:rsidR="00D4086A" w:rsidRDefault="00D4086A">
            <w:pPr>
              <w:spacing w:before="120" w:after="120" w:line="240" w:lineRule="auto"/>
              <w:jc w:val="center"/>
              <w:rPr>
                <w:rFonts w:ascii="Times New Roman" w:hAnsi="Times New Roman"/>
                <w:noProof/>
                <w:sz w:val="20"/>
                <w:szCs w:val="20"/>
              </w:rPr>
            </w:pPr>
          </w:p>
        </w:tc>
        <w:tc>
          <w:tcPr>
            <w:tcW w:w="1276" w:type="dxa"/>
            <w:vMerge/>
            <w:tcBorders>
              <w:left w:val="single" w:sz="8" w:space="0" w:color="auto"/>
              <w:bottom w:val="single" w:sz="8" w:space="0" w:color="auto"/>
              <w:right w:val="single" w:sz="8" w:space="0" w:color="auto"/>
            </w:tcBorders>
            <w:shd w:val="clear" w:color="auto" w:fill="BDD7EE"/>
            <w:vAlign w:val="center"/>
          </w:tcPr>
          <w:p w:rsidR="00D4086A" w:rsidRDefault="00D4086A">
            <w:pPr>
              <w:spacing w:before="120" w:after="120" w:line="240" w:lineRule="auto"/>
              <w:jc w:val="center"/>
              <w:rPr>
                <w:rFonts w:ascii="Times New Roman" w:hAnsi="Times New Roman"/>
                <w:noProof/>
                <w:sz w:val="20"/>
                <w:szCs w:val="20"/>
              </w:rPr>
            </w:pPr>
          </w:p>
        </w:tc>
        <w:tc>
          <w:tcPr>
            <w:tcW w:w="1276"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мерна единица</w:t>
            </w:r>
          </w:p>
        </w:tc>
        <w:tc>
          <w:tcPr>
            <w:tcW w:w="992" w:type="dxa"/>
            <w:tcBorders>
              <w:top w:val="nil"/>
              <w:left w:val="single" w:sz="8" w:space="0" w:color="auto"/>
              <w:bottom w:val="single" w:sz="8" w:space="0" w:color="auto"/>
              <w:right w:val="single" w:sz="8" w:space="0" w:color="auto"/>
            </w:tcBorders>
            <w:shd w:val="clear" w:color="auto" w:fill="BDD7E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Базова линия</w:t>
            </w:r>
          </w:p>
        </w:tc>
        <w:tc>
          <w:tcPr>
            <w:tcW w:w="992"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Цел</w:t>
            </w:r>
          </w:p>
        </w:tc>
        <w:tc>
          <w:tcPr>
            <w:tcW w:w="993"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Тримесечие</w:t>
            </w:r>
          </w:p>
        </w:tc>
        <w:tc>
          <w:tcPr>
            <w:tcW w:w="992"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b/>
                <w:noProof/>
                <w:sz w:val="20"/>
                <w:szCs w:val="20"/>
              </w:rPr>
              <w:t>Година</w:t>
            </w:r>
          </w:p>
        </w:tc>
        <w:tc>
          <w:tcPr>
            <w:tcW w:w="3966" w:type="dxa"/>
            <w:vMerge/>
            <w:tcBorders>
              <w:left w:val="single" w:sz="8" w:space="0" w:color="auto"/>
              <w:bottom w:val="single" w:sz="8" w:space="0" w:color="auto"/>
              <w:right w:val="single" w:sz="8" w:space="0" w:color="auto"/>
            </w:tcBorders>
            <w:shd w:val="clear" w:color="auto" w:fill="BDD7EE"/>
            <w:vAlign w:val="center"/>
          </w:tcPr>
          <w:p w:rsidR="00D4086A" w:rsidRDefault="00D4086A">
            <w:pPr>
              <w:spacing w:before="120" w:after="120" w:line="240" w:lineRule="auto"/>
              <w:jc w:val="center"/>
              <w:rPr>
                <w:rFonts w:ascii="Times New Roman" w:hAnsi="Times New Roman"/>
                <w:noProof/>
                <w:sz w:val="20"/>
                <w:szCs w:val="20"/>
              </w:rPr>
            </w:pPr>
          </w:p>
        </w:tc>
      </w:tr>
      <w:tr w:rsidR="00D4086A">
        <w:trPr>
          <w:trHeight w:val="94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Устойчив транспорт – реформа 1: Реформа на подготовката на инвестиционни проекти в областта на транспорта</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Ключов етап</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Инвестиционен план за проекти за железопътна инфраструктура</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Публикуване на плана за изпълнение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Т2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2021</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Министерс</w:t>
            </w:r>
            <w:r>
              <w:rPr>
                <w:rFonts w:ascii="Times New Roman" w:hAnsi="Times New Roman"/>
                <w:noProof/>
                <w:color w:val="006100"/>
                <w:sz w:val="20"/>
                <w:szCs w:val="20"/>
              </w:rPr>
              <w:t>твото на транспорта и строителството, в сътрудничество с Министерството на финансите, изготвя и публикува инвестиционен план за проекти за железопътна инфраструктура, съдържащ методологията, приоритетите и графика за изграждане на инфраструктурата. Публику</w:t>
            </w:r>
            <w:r>
              <w:rPr>
                <w:rFonts w:ascii="Times New Roman" w:hAnsi="Times New Roman"/>
                <w:noProof/>
                <w:color w:val="006100"/>
                <w:sz w:val="20"/>
                <w:szCs w:val="20"/>
              </w:rPr>
              <w:t>ваният инвестиционен план за железопътни инфраструктурни проекти, който дава приоритет на проектите в съответствие с тяхната икономическа ефективност, гарантира дългосрочната стабилност на тяхната подготовка и изпълнение на железопътни инфраструктурни прое</w:t>
            </w:r>
            <w:r>
              <w:rPr>
                <w:rFonts w:ascii="Times New Roman" w:hAnsi="Times New Roman"/>
                <w:noProof/>
                <w:color w:val="006100"/>
                <w:sz w:val="20"/>
                <w:szCs w:val="20"/>
              </w:rPr>
              <w:t>кти.</w:t>
            </w:r>
          </w:p>
        </w:tc>
      </w:tr>
      <w:tr w:rsidR="00D4086A">
        <w:trPr>
          <w:trHeight w:val="84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Устойчив транспорт – реформа 1: Реформа на подготовката на инвестиционни проекти в областта на транспорта</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Ключов етап</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Методология за подбор, подготовка и изпълнение на проекти за колоездене</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Публикуване на методиката</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Т4</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2021</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Методиката определя как да се определят проектите с възможно най-висока икономическа ефективност и да се допринесе за целта за преминаване на пътническия транспорт от индивидуален автомобилен транспорт към колоездене. </w:t>
            </w:r>
          </w:p>
        </w:tc>
      </w:tr>
      <w:tr w:rsidR="00D4086A">
        <w:trPr>
          <w:trHeight w:val="2416"/>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3</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3 – Устойчив транспорт – реформа </w:t>
            </w:r>
            <w:r>
              <w:rPr>
                <w:rFonts w:ascii="Times New Roman" w:hAnsi="Times New Roman"/>
                <w:noProof/>
                <w:color w:val="006100"/>
                <w:sz w:val="20"/>
                <w:szCs w:val="20"/>
              </w:rPr>
              <w:t>1: Реформа на подготовката на инвестиционни проекти в областта на транспорта</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Ключов етап</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Изменението на Закона за железниците и свързаното с него законодателство относно параметрите на транспортната инфраструктура</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Влизане в сила на изменение на Закона за ж</w:t>
            </w:r>
            <w:r>
              <w:rPr>
                <w:rFonts w:ascii="Times New Roman" w:hAnsi="Times New Roman"/>
                <w:noProof/>
                <w:color w:val="006100"/>
                <w:sz w:val="20"/>
                <w:szCs w:val="20"/>
              </w:rPr>
              <w:t xml:space="preserve">елезниците от Националния съвет на SR и </w:t>
            </w:r>
          </w:p>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приемане на изменение на Постановление № 350/2010 Сб. относно построяването и техническия ред на железопътните линии от Министерството на транспорта и строителството] и влизане в сила на законодателството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C6EFCE"/>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Т1</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2023</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Законодателните изменения опростяват и рационализират законодателните и техническите изисквания за параметрите на транспортната инфраструктура, в съответствие с добрите практики в други държави от ЕС и европейското законодателство, което ще създаде ус</w:t>
            </w:r>
            <w:r>
              <w:rPr>
                <w:rFonts w:ascii="Times New Roman" w:hAnsi="Times New Roman"/>
                <w:noProof/>
                <w:color w:val="006100"/>
                <w:sz w:val="20"/>
                <w:szCs w:val="20"/>
              </w:rPr>
              <w:t xml:space="preserve">ловия за ускоряване на подготовката на модернизирането на железопътната инфраструктура, намаляване на разходите на километър модернизирана линия и осигуряване на възможност за по-бързо и по-безопасно изграждане на железопътни линии. </w:t>
            </w:r>
          </w:p>
        </w:tc>
      </w:tr>
      <w:tr w:rsidR="00D4086A">
        <w:trPr>
          <w:trHeight w:val="316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4</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3 – Устойчив </w:t>
            </w:r>
            <w:r>
              <w:rPr>
                <w:rFonts w:ascii="Times New Roman" w:hAnsi="Times New Roman"/>
                <w:noProof/>
                <w:color w:val="006100"/>
                <w:sz w:val="20"/>
                <w:szCs w:val="20"/>
              </w:rPr>
              <w:t>транспорт – реформа 2: Реформа на обществения пътнически транспорт</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Ключов етап</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Нов закон за обществения пътнически транспорт</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Влизане в сила на Закона за обществения пътнически транспорт от Националния съвет на Словашката република и влизане в сила на закон</w:t>
            </w:r>
            <w:r>
              <w:rPr>
                <w:rFonts w:ascii="Times New Roman" w:hAnsi="Times New Roman"/>
                <w:noProof/>
                <w:color w:val="006100"/>
                <w:sz w:val="20"/>
                <w:szCs w:val="20"/>
              </w:rPr>
              <w:t>одателство за ефективна координация, интегриране и управление на обществения транспорт</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Т1</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2023</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Със закона се стандартизират стандартите за обществен пътнически транспорт и се рационализира редът на обществените услуги, който понастоящем е фрагментиран и недостатъчно координиран между държавата, окръзите, градовете и общините. </w:t>
            </w:r>
          </w:p>
        </w:tc>
      </w:tr>
      <w:tr w:rsidR="00D4086A">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5</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3 – Устойчив </w:t>
            </w:r>
            <w:r>
              <w:rPr>
                <w:rFonts w:ascii="Times New Roman" w:hAnsi="Times New Roman"/>
                <w:noProof/>
                <w:color w:val="006100"/>
                <w:sz w:val="20"/>
                <w:szCs w:val="20"/>
              </w:rPr>
              <w:t>транспорт – реформа 2: Реформа на обществения пътнически транспорт</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Ключов етап</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Прилагане на оптимизирано разписание за железопътния транспорт</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Влизане в сила на оптимизирано разписание за железопътния транспорт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Т4</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2023</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Министерството на транспорта и </w:t>
            </w:r>
            <w:r>
              <w:rPr>
                <w:rFonts w:ascii="Times New Roman" w:hAnsi="Times New Roman"/>
                <w:noProof/>
                <w:color w:val="006100"/>
                <w:sz w:val="20"/>
                <w:szCs w:val="20"/>
              </w:rPr>
              <w:t>строителството изпълнява поръчките на услуги за железопътен превоз на пътници съгласно финализирания план за транспортни услуги до 31 декември 2023 г.</w:t>
            </w:r>
          </w:p>
        </w:tc>
      </w:tr>
      <w:tr w:rsidR="00D4086A">
        <w:trPr>
          <w:trHeight w:val="2132"/>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6</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Устойчив транспорт – реформа 2: Реформа на обществения пътнически транспорт</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Цел</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Брой на окръзите, </w:t>
            </w:r>
            <w:r>
              <w:rPr>
                <w:rFonts w:ascii="Times New Roman" w:hAnsi="Times New Roman"/>
                <w:noProof/>
                <w:color w:val="006100"/>
                <w:sz w:val="20"/>
                <w:szCs w:val="20"/>
              </w:rPr>
              <w:t>в които е въведена тарифна интеграция, позволяваща пътуване с множество видове обществен транспорт или от превозвачи на билет</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Брой</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6</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Т2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Качественият показател се отнася до броя на областите, в които е създадена интегрирана транспортна система, </w:t>
            </w:r>
            <w:r>
              <w:rPr>
                <w:rFonts w:ascii="Times New Roman" w:hAnsi="Times New Roman"/>
                <w:noProof/>
                <w:color w:val="006100"/>
                <w:sz w:val="20"/>
                <w:szCs w:val="20"/>
              </w:rPr>
              <w:t>позволяваща на мултимодалния обществен пътнически транспорт да пътува с един билет.</w:t>
            </w:r>
          </w:p>
        </w:tc>
      </w:tr>
      <w:tr w:rsidR="00D4086A">
        <w:trPr>
          <w:trHeight w:val="144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7</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Устойчив транспорт – инвестиции 1: Развитие на транспортна инфраструктура с ниски въглеродни емисии</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Цел</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Дължина на новата велосипедна инфраструктура (km)</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Брой</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Т2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Качественият показател се отнася до дължината на новопостроената велосипедна инфраструктура (в км). Целта включва велосипедни алеи и места за паркиране на велосипеди. </w:t>
            </w:r>
          </w:p>
        </w:tc>
      </w:tr>
      <w:tr w:rsidR="00D4086A">
        <w:trPr>
          <w:trHeight w:val="573"/>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8</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3 – Устойчив транспорт – инвестиции 1: Развитие на транспортна </w:t>
            </w:r>
            <w:r>
              <w:rPr>
                <w:rFonts w:ascii="Times New Roman" w:hAnsi="Times New Roman"/>
                <w:noProof/>
                <w:color w:val="006100"/>
                <w:sz w:val="20"/>
                <w:szCs w:val="20"/>
              </w:rPr>
              <w:t>инфраструктура с ниски въглеродни емисии</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Цел</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Дължина на чистата пътническа железопътна инфраструктура, реконструирана или модернизирана (в километри)</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Брой</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69</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Т2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Качественият показател се отнася до дължината на реконструираната или модернизираната </w:t>
            </w:r>
            <w:r>
              <w:rPr>
                <w:rFonts w:ascii="Times New Roman" w:hAnsi="Times New Roman"/>
                <w:noProof/>
                <w:color w:val="006100"/>
                <w:sz w:val="20"/>
                <w:szCs w:val="20"/>
              </w:rPr>
              <w:t>железопътна инфраструктура от източниците на плана за възстановяване и устойчивост, като се използват тегловни коефициенти за различните видове и обхвати на проектите (без да се включват инсталациите за диспечиране/сигурност, които се отчитат отделно по це</w:t>
            </w:r>
            <w:r>
              <w:rPr>
                <w:rFonts w:ascii="Times New Roman" w:hAnsi="Times New Roman"/>
                <w:noProof/>
                <w:color w:val="006100"/>
                <w:sz w:val="20"/>
                <w:szCs w:val="20"/>
              </w:rPr>
              <w:t>л 3: дължина на изпратените участъци от линиите).</w:t>
            </w:r>
          </w:p>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От общата цел за възстановяване или модернизиране на 77 км железопътна инфраструктура, най-малко 69 км са модернизирани или реконструирани.   Инвестициите включват следните елементи:</w:t>
            </w:r>
            <w:r>
              <w:rPr>
                <w:rFonts w:ascii="Times New Roman" w:hAnsi="Times New Roman"/>
                <w:noProof/>
                <w:sz w:val="20"/>
                <w:szCs w:val="20"/>
              </w:rPr>
              <w:t xml:space="preserve"> </w:t>
            </w:r>
            <w:r>
              <w:rPr>
                <w:rFonts w:ascii="Times New Roman" w:hAnsi="Times New Roman"/>
                <w:noProof/>
                <w:color w:val="006100"/>
                <w:sz w:val="20"/>
                <w:szCs w:val="20"/>
              </w:rPr>
              <w:t>напълно модернизиран д</w:t>
            </w:r>
            <w:r>
              <w:rPr>
                <w:rFonts w:ascii="Times New Roman" w:hAnsi="Times New Roman"/>
                <w:noProof/>
                <w:color w:val="006100"/>
                <w:sz w:val="20"/>
                <w:szCs w:val="20"/>
              </w:rPr>
              <w:t>воен коловоз по железопътния коридор с увеличение до 160 km/h; една или две реконструирани коловозни линии (обновяване на горна/дънна или тягова линия/оборудване; новоелектрифицирана железопътна линия с един коловоз и частично модернизирана железопътна лин</w:t>
            </w:r>
            <w:r>
              <w:rPr>
                <w:rFonts w:ascii="Times New Roman" w:hAnsi="Times New Roman"/>
                <w:noProof/>
                <w:color w:val="006100"/>
                <w:sz w:val="20"/>
                <w:szCs w:val="20"/>
              </w:rPr>
              <w:t>ия; напълно модернизирана двурелсова трамвайна линия, включително принадлежности; едноетапна новоизградена тролейбусна линия, включително електрозахранването.</w:t>
            </w:r>
          </w:p>
        </w:tc>
      </w:tr>
      <w:tr w:rsidR="00D4086A">
        <w:trPr>
          <w:trHeight w:val="351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9</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3 – Устойчив транспорт – инвестиции 1: Развитие на транспортна инфраструктура с ниски </w:t>
            </w:r>
            <w:r>
              <w:rPr>
                <w:rFonts w:ascii="Times New Roman" w:hAnsi="Times New Roman"/>
                <w:noProof/>
                <w:color w:val="006100"/>
                <w:sz w:val="20"/>
                <w:szCs w:val="20"/>
              </w:rPr>
              <w:t>въглеродни емисии</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Цел</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Дължина на изпратените участъци от железопътните линии (km)</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Брой</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100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Т2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color w:val="006100"/>
                <w:sz w:val="20"/>
                <w:szCs w:val="20"/>
                <w:highlight w:val="yellow"/>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nil"/>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Качественият показател се отнася до дължината на железопътните линии (в km), по които са въведени в експлоатация диспечерските/цифровите устройства за б</w:t>
            </w:r>
            <w:r>
              <w:rPr>
                <w:rFonts w:ascii="Times New Roman" w:hAnsi="Times New Roman"/>
                <w:noProof/>
                <w:color w:val="006100"/>
                <w:sz w:val="20"/>
                <w:szCs w:val="20"/>
              </w:rPr>
              <w:t>езопасност. От общата цел за изпращане на 111 km железопътни линии, най-малко 100 са изпратени.</w:t>
            </w:r>
          </w:p>
        </w:tc>
      </w:tr>
      <w:tr w:rsidR="00D4086A">
        <w:trPr>
          <w:trHeight w:val="228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10</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Устойчив транспорт – инвестиции 2: Насърчаване на чист пътнически транспорт</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Цел</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Брой на доставения чист пътнически подвижен състав (среднопретеглен)</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Брой</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5</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Т2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2025</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Качественият показател отразява броя на закупените чисти обществени пътнически подвижен състав. Подвижният състав включва затворени електрически или водородни влакови единици; многосистемни електрически локомотиви; трамваи. </w:t>
            </w:r>
          </w:p>
        </w:tc>
      </w:tr>
      <w:tr w:rsidR="00D4086A">
        <w:trPr>
          <w:trHeight w:val="228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both"/>
              <w:rPr>
                <w:rFonts w:ascii="Times New Roman" w:hAnsi="Times New Roman"/>
                <w:noProof/>
                <w:sz w:val="20"/>
                <w:szCs w:val="20"/>
              </w:rPr>
            </w:pPr>
            <w:r>
              <w:rPr>
                <w:rFonts w:ascii="Times New Roman" w:hAnsi="Times New Roman"/>
                <w:noProof/>
                <w:color w:val="006100"/>
                <w:sz w:val="20"/>
                <w:szCs w:val="20"/>
              </w:rPr>
              <w:t>11</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3 – Устойчив транспорт – реформа 3: Реформа на интермодалния товарен транспорт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Ключов етап</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Концепция и призиви за нови схеми за подпомагане</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Отправяне на покани за представяне на предложения за нови схеми за подпомагане въз основа на концепцията за развити</w:t>
            </w:r>
            <w:r>
              <w:rPr>
                <w:rFonts w:ascii="Times New Roman" w:hAnsi="Times New Roman"/>
                <w:noProof/>
                <w:color w:val="006100"/>
                <w:sz w:val="20"/>
                <w:szCs w:val="20"/>
              </w:rPr>
              <w:t>е на интермодалния транспорт</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before="120" w:after="120" w:line="240" w:lineRule="auto"/>
              <w:jc w:val="both"/>
              <w:rPr>
                <w:rFonts w:ascii="Times New Roman" w:hAnsi="Times New Roman"/>
                <w:noProof/>
                <w:color w:val="006100"/>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before="120" w:after="120" w:line="240" w:lineRule="auto"/>
              <w:jc w:val="both"/>
              <w:rPr>
                <w:rFonts w:ascii="Times New Roman" w:hAnsi="Times New Roman"/>
                <w:noProof/>
                <w:color w:val="006100"/>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before="120" w:after="120" w:line="240" w:lineRule="auto"/>
              <w:jc w:val="both"/>
              <w:rPr>
                <w:rFonts w:ascii="Times New Roman" w:hAnsi="Times New Roman"/>
                <w:noProof/>
                <w:color w:val="006100"/>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Т4</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2022</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Концепцията за развитие на интермодалния транспорт се одобрява от словашкото правителство до 31 декември 2021 г.</w:t>
            </w:r>
            <w:r>
              <w:rPr>
                <w:rFonts w:ascii="Times New Roman" w:hAnsi="Times New Roman"/>
                <w:noProof/>
                <w:sz w:val="20"/>
                <w:szCs w:val="20"/>
              </w:rPr>
              <w:t xml:space="preserve"> </w:t>
            </w:r>
            <w:r>
              <w:rPr>
                <w:rFonts w:ascii="Times New Roman" w:hAnsi="Times New Roman"/>
                <w:noProof/>
                <w:color w:val="006100"/>
                <w:sz w:val="20"/>
                <w:szCs w:val="20"/>
              </w:rPr>
              <w:t>Това включва предложения за законодателни промени, необходими за приемането на мерки за системно развитие на екологосъобразни видове товарен транспорт. Подкрепата е насочена към премахване на техническите проблеми в прехода към интермодален транспорт и пов</w:t>
            </w:r>
            <w:r>
              <w:rPr>
                <w:rFonts w:ascii="Times New Roman" w:hAnsi="Times New Roman"/>
                <w:noProof/>
                <w:color w:val="006100"/>
                <w:sz w:val="20"/>
                <w:szCs w:val="20"/>
              </w:rPr>
              <w:t xml:space="preserve">ишаване на неговата привлекателност. Въз основа на това до 31 декември 2022 г. се отправят покани за нови схеми за подпомагане, които ще спомогнат за подобряване на наличността на интермодален транспорт на недискриминационна основа, като проправят пътя за </w:t>
            </w:r>
            <w:r>
              <w:rPr>
                <w:rFonts w:ascii="Times New Roman" w:hAnsi="Times New Roman"/>
                <w:noProof/>
                <w:color w:val="006100"/>
                <w:sz w:val="20"/>
                <w:szCs w:val="20"/>
              </w:rPr>
              <w:t xml:space="preserve">неговото развитие във всички региони на Словакия. Поканата се одобрява от Министерството на транспорта и строителството.  </w:t>
            </w:r>
          </w:p>
          <w:p w:rsidR="00D4086A" w:rsidRDefault="00D4086A">
            <w:pPr>
              <w:spacing w:after="160" w:line="259" w:lineRule="auto"/>
              <w:ind w:left="720"/>
              <w:contextualSpacing/>
              <w:rPr>
                <w:rFonts w:ascii="Times New Roman" w:eastAsia="Times New Roman" w:hAnsi="Times New Roman"/>
                <w:noProof/>
                <w:color w:val="006100"/>
                <w:sz w:val="20"/>
                <w:szCs w:val="20"/>
              </w:rPr>
            </w:pPr>
          </w:p>
          <w:p w:rsidR="00D4086A" w:rsidRDefault="00D4086A">
            <w:pPr>
              <w:spacing w:before="120" w:after="120" w:line="240" w:lineRule="auto"/>
              <w:rPr>
                <w:rFonts w:ascii="Times New Roman" w:hAnsi="Times New Roman"/>
                <w:noProof/>
                <w:color w:val="006100"/>
                <w:sz w:val="20"/>
                <w:szCs w:val="20"/>
              </w:rPr>
            </w:pPr>
          </w:p>
          <w:p w:rsidR="00D4086A" w:rsidRDefault="00D4086A">
            <w:pPr>
              <w:spacing w:before="120" w:after="120" w:line="240" w:lineRule="auto"/>
              <w:jc w:val="both"/>
              <w:rPr>
                <w:rFonts w:ascii="Times New Roman" w:hAnsi="Times New Roman"/>
                <w:noProof/>
                <w:color w:val="006100"/>
                <w:sz w:val="20"/>
                <w:szCs w:val="20"/>
              </w:rPr>
            </w:pPr>
          </w:p>
        </w:tc>
      </w:tr>
      <w:tr w:rsidR="00D4086A">
        <w:trPr>
          <w:trHeight w:val="153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12</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Устойчив транспорт – инвестиции 3: Развитие на интермодалния товарен транспорт</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Цел</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Брой на интермодалните транспортни единици, доставени в двадесетфутови еквивалентни единици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Брой</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1000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Т2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Брой на доставените интермодални транспортни единици на IPU (обслужващи полуремаркета, сменяеми каросерии, контейнери). Интермодалните транспортни единици се изразяват в TEU (двадесетфутова еквивалентна единица 20' (6,1 m); Основен размер на резервоара ISO</w:t>
            </w:r>
            <w:r>
              <w:rPr>
                <w:rFonts w:ascii="Times New Roman" w:hAnsi="Times New Roman"/>
                <w:noProof/>
                <w:color w:val="006100"/>
                <w:sz w:val="20"/>
                <w:szCs w:val="20"/>
              </w:rPr>
              <w:t xml:space="preserve"> 1C – 20' x 8' x 8' (mach).  </w:t>
            </w:r>
          </w:p>
          <w:p w:rsidR="00D4086A" w:rsidRDefault="00D4086A">
            <w:pPr>
              <w:spacing w:before="120" w:after="120" w:line="240" w:lineRule="auto"/>
              <w:rPr>
                <w:rFonts w:ascii="Times New Roman" w:hAnsi="Times New Roman"/>
                <w:noProof/>
                <w:sz w:val="20"/>
                <w:szCs w:val="20"/>
              </w:rPr>
            </w:pPr>
          </w:p>
        </w:tc>
      </w:tr>
      <w:tr w:rsidR="00D4086A">
        <w:trPr>
          <w:trHeight w:val="153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13</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Устойчив транспорт – реформа 4: Въвеждане на нови политики за дългосрочно насърчаване на алтернативните горива в транспортния сектор</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Ключов етап</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нов пакет от мерки за насърчаване на алтернативните задвижвания</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Влизане </w:t>
            </w:r>
            <w:r>
              <w:rPr>
                <w:rFonts w:ascii="Times New Roman" w:hAnsi="Times New Roman"/>
                <w:noProof/>
                <w:color w:val="006100"/>
                <w:sz w:val="20"/>
                <w:szCs w:val="20"/>
              </w:rPr>
              <w:t>в сила на резолюция за насърчаване на алтернативните задвижвания</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Т4</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2022</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Мерките ускоряват развитието на алтернативни задвижвания в транспорта. Те включват реформа на тарифите за разпределение, мерки за опростяване и ускоряване на процеса на изграждане на инфраструктура за алтернативно задвижване, въвеждане на „права на зарядни</w:t>
            </w:r>
            <w:r>
              <w:rPr>
                <w:rFonts w:ascii="Times New Roman" w:hAnsi="Times New Roman"/>
                <w:noProof/>
                <w:color w:val="006100"/>
                <w:sz w:val="20"/>
                <w:szCs w:val="20"/>
              </w:rPr>
              <w:t xml:space="preserve"> точки“ и въвеждане на стабилна, предвидима многогодишна рамка за подпомагане на изграждането на съответната инфраструктура за алтернативно задвижване. </w:t>
            </w:r>
          </w:p>
        </w:tc>
      </w:tr>
      <w:tr w:rsidR="00D4086A">
        <w:trPr>
          <w:trHeight w:val="91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14</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3 – Устойчив транспорт – инвестиции 4: Подкрепа за развитието на инфраструктура за превозни средства, използващи алтернативни горива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Цел</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Брой на функциониращите зарядни точки или точки за зареждане с водород.</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Брой</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3029</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Т2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Общ брой на действащите публични зарядни точки или точки за зареждане с водород. От общата цел за въвеждане в експлоатация 3332 на зарядни точки са въведени в експлоатация най-малко 3029.  </w:t>
            </w:r>
          </w:p>
          <w:p w:rsidR="00D4086A" w:rsidRDefault="00D4086A">
            <w:pPr>
              <w:spacing w:before="120" w:after="120" w:line="240" w:lineRule="auto"/>
              <w:rPr>
                <w:rFonts w:ascii="Times New Roman" w:hAnsi="Times New Roman"/>
                <w:noProof/>
                <w:sz w:val="20"/>
                <w:szCs w:val="20"/>
              </w:rPr>
            </w:pPr>
          </w:p>
        </w:tc>
      </w:tr>
    </w:tbl>
    <w:p w:rsidR="00D4086A" w:rsidRDefault="00D4086A">
      <w:pPr>
        <w:spacing w:before="120" w:after="120" w:line="240" w:lineRule="auto"/>
        <w:jc w:val="both"/>
        <w:rPr>
          <w:rFonts w:ascii="Times New Roman" w:hAnsi="Times New Roman"/>
          <w:noProof/>
          <w:sz w:val="24"/>
        </w:rPr>
        <w:sectPr w:rsidR="00D4086A">
          <w:headerReference w:type="even" r:id="rId48"/>
          <w:headerReference w:type="default" r:id="rId49"/>
          <w:footerReference w:type="even" r:id="rId50"/>
          <w:footerReference w:type="default" r:id="rId51"/>
          <w:headerReference w:type="first" r:id="rId52"/>
          <w:footerReference w:type="first" r:id="rId53"/>
          <w:pgSz w:w="16839" w:h="11907" w:orient="landscape"/>
          <w:pgMar w:top="142" w:right="1134" w:bottom="1418" w:left="1134" w:header="709" w:footer="709" w:gutter="0"/>
          <w:cols w:space="720"/>
          <w:docGrid w:linePitch="360"/>
        </w:sectPr>
      </w:pPr>
    </w:p>
    <w:p w:rsidR="00D4086A" w:rsidRDefault="00D5307E">
      <w:pPr>
        <w:keepNext/>
        <w:tabs>
          <w:tab w:val="left" w:pos="850"/>
        </w:tabs>
        <w:spacing w:before="120" w:after="120" w:line="240" w:lineRule="auto"/>
        <w:ind w:firstLine="1"/>
        <w:jc w:val="both"/>
        <w:outlineLvl w:val="0"/>
        <w:rPr>
          <w:rFonts w:ascii="Times New Roman" w:hAnsi="Times New Roman"/>
          <w:b/>
          <w:smallCaps/>
          <w:noProof/>
          <w:sz w:val="24"/>
        </w:rPr>
      </w:pPr>
      <w:r>
        <w:rPr>
          <w:rFonts w:ascii="Times New Roman" w:hAnsi="Times New Roman"/>
          <w:b/>
          <w:smallCaps/>
          <w:noProof/>
          <w:sz w:val="24"/>
        </w:rPr>
        <w:t>КОМПОНЕНТ 4: Декарбонизация на промишлеността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Намаляването на емисиите на парникови газове в Словакия и изпълнението на националните цели, определени в интегрирания национален план в областта на енергетиката и климата за периода 2021—2030 г., изискват също</w:t>
      </w:r>
      <w:r>
        <w:rPr>
          <w:rFonts w:ascii="Times New Roman" w:hAnsi="Times New Roman"/>
          <w:noProof/>
          <w:sz w:val="24"/>
        </w:rPr>
        <w:t xml:space="preserve"> така ускорени действия от страна на промишлеността. Словакия е силно индустриализирана икономика, като приносът на енергетиката и промишлените процеси към общите емисии на парникови газове е малко над 70 %. Словакия се нарежда сред държавите членки с най-</w:t>
      </w:r>
      <w:r>
        <w:rPr>
          <w:rFonts w:ascii="Times New Roman" w:hAnsi="Times New Roman"/>
          <w:noProof/>
          <w:sz w:val="24"/>
        </w:rPr>
        <w:t xml:space="preserve">високи средни концентрации на прахови частици във въздуха в ЕС, главно поради застаряването на промишлените технологии и изгарянето на твърди горива в домакинствата.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В този контекст в компонент 4 от словашкия план за реформа и устойчивост се предлага разр</w:t>
      </w:r>
      <w:r>
        <w:rPr>
          <w:rFonts w:ascii="Times New Roman" w:hAnsi="Times New Roman"/>
          <w:noProof/>
          <w:sz w:val="24"/>
          <w:szCs w:val="24"/>
        </w:rPr>
        <w:t>аботването и функционирането на схема за декарбонизация за промишления сектор. Мерките водят до по-ниски емисии на парникови газове в предприятията, намаляване на загубите на енергия и по-голямо внедряване на иновативни екологични технологии в промишленото</w:t>
      </w:r>
      <w:r>
        <w:rPr>
          <w:rFonts w:ascii="Times New Roman" w:hAnsi="Times New Roman"/>
          <w:noProof/>
          <w:sz w:val="24"/>
          <w:szCs w:val="24"/>
        </w:rPr>
        <w:t xml:space="preserve"> производство. Компонентът включва ангажимента за реформи от страна на словашкото правителство за транзитно преминаване от въглища в региона на Горна Нитра. Той включва също така ангажимент за прекратяване на подкрепата за производството на електроенергия </w:t>
      </w:r>
      <w:r>
        <w:rPr>
          <w:rFonts w:ascii="Times New Roman" w:hAnsi="Times New Roman"/>
          <w:noProof/>
          <w:sz w:val="24"/>
          <w:szCs w:val="24"/>
        </w:rPr>
        <w:t xml:space="preserve">от местни въглища и за закриването на електроцентралата за лигнитни въглища в Nováky. Инвестициите в оборудване на словашкия инспекторат по околната среда ще укрепят капацитета за мониторинг на усилията за декарбонизация от страна на тази институция.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szCs w:val="24"/>
        </w:rPr>
        <w:t>Комп</w:t>
      </w:r>
      <w:r>
        <w:rPr>
          <w:rFonts w:ascii="Times New Roman" w:hAnsi="Times New Roman"/>
          <w:noProof/>
          <w:sz w:val="24"/>
          <w:szCs w:val="24"/>
        </w:rPr>
        <w:t xml:space="preserve">онентът включва две реформи и една основна и една допълнителна инвестиция.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Тези реформи и инвестиции допринасят за целта за екологичен преход и за целта в областта на климата. Декарбонизацията има трайно въздействие върху околната среда и качеството на въ</w:t>
      </w:r>
      <w:r>
        <w:rPr>
          <w:rFonts w:ascii="Times New Roman" w:hAnsi="Times New Roman"/>
          <w:noProof/>
          <w:sz w:val="24"/>
          <w:szCs w:val="24"/>
        </w:rPr>
        <w:t>здуха в Словакия. Инвестициите ще засилят конкурентоспособността на словашката промишленост и ще осигурят работни места на местно равнище. Трансформацията на региона Горна Нитра се характеризира със силен елемент на сближаване, по-специално в подкрепа на п</w:t>
      </w:r>
      <w:r>
        <w:rPr>
          <w:rFonts w:ascii="Times New Roman" w:hAnsi="Times New Roman"/>
          <w:noProof/>
          <w:sz w:val="24"/>
          <w:szCs w:val="24"/>
        </w:rPr>
        <w:t>рехода на региона от въглищата.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w:t>
      </w:r>
      <w:r>
        <w:rPr>
          <w:rFonts w:ascii="Times New Roman" w:hAnsi="Times New Roman"/>
          <w:noProof/>
          <w:sz w:val="24"/>
          <w:szCs w:val="24"/>
        </w:rPr>
        <w:t xml:space="preserve">ледиците, определени в плана за възстановяване и устойчивост в съответствие с Техническите насоки на DNSH (2021/C58/01).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Мерките ще допринесат за изпълнението на специфичната за държавата препоръка, предадена на Словакия през 2020 г., относно необходимос</w:t>
      </w:r>
      <w:r>
        <w:rPr>
          <w:rFonts w:ascii="Times New Roman" w:hAnsi="Times New Roman"/>
          <w:noProof/>
          <w:sz w:val="24"/>
          <w:szCs w:val="24"/>
        </w:rPr>
        <w:t>тта от „насочване на инвестициите към екологичния преход към цифрови технологии, по-специално към чисто и ефективно производство и използване на енергия и ресурси“ (специфична за всяка държава препоръка 3/2020).</w:t>
      </w:r>
    </w:p>
    <w:p w:rsidR="00D4086A" w:rsidRDefault="00D4086A">
      <w:pPr>
        <w:spacing w:before="120" w:after="120" w:line="240" w:lineRule="auto"/>
        <w:jc w:val="both"/>
        <w:rPr>
          <w:rFonts w:ascii="Times New Roman" w:hAnsi="Times New Roman"/>
          <w:b/>
          <w:noProof/>
          <w:sz w:val="24"/>
          <w:u w:val="single"/>
        </w:rPr>
      </w:pPr>
    </w:p>
    <w:p w:rsidR="00D4086A" w:rsidRDefault="00D5307E">
      <w:pPr>
        <w:spacing w:before="120" w:after="120" w:line="240" w:lineRule="auto"/>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 xml:space="preserve">Описание на реформите и инвестициите </w:t>
      </w:r>
      <w:r>
        <w:rPr>
          <w:rFonts w:ascii="Times New Roman" w:hAnsi="Times New Roman"/>
          <w:b/>
          <w:noProof/>
          <w:sz w:val="24"/>
          <w:u w:val="single"/>
        </w:rPr>
        <w:t>за безвъзмездна финансова подкрепа</w:t>
      </w:r>
    </w:p>
    <w:p w:rsidR="00D4086A" w:rsidRDefault="00D5307E">
      <w:pPr>
        <w:spacing w:before="120" w:after="120" w:line="240" w:lineRule="auto"/>
        <w:jc w:val="both"/>
        <w:rPr>
          <w:rFonts w:ascii="Times New Roman" w:hAnsi="Times New Roman"/>
          <w:b/>
          <w:noProof/>
          <w:sz w:val="24"/>
          <w:szCs w:val="24"/>
        </w:rPr>
      </w:pPr>
      <w:r>
        <w:rPr>
          <w:rFonts w:ascii="Times New Roman" w:hAnsi="Times New Roman"/>
          <w:b/>
          <w:noProof/>
          <w:sz w:val="24"/>
          <w:szCs w:val="24"/>
        </w:rPr>
        <w:t>Реформа 1: Прекратяване на производството на електроенергия от въглища в електроцентрала Nováky и преобразуване на регион Горна Нитра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Тази реформа включва ангажимента на словашкото правителство за постигане на напредък по</w:t>
      </w:r>
      <w:r>
        <w:rPr>
          <w:rFonts w:ascii="Times New Roman" w:hAnsi="Times New Roman"/>
          <w:noProof/>
          <w:sz w:val="24"/>
          <w:szCs w:val="24"/>
        </w:rPr>
        <w:t xml:space="preserve"> отношение на прехода от въглища в региона Горна Нитра.</w:t>
      </w:r>
      <w:r>
        <w:rPr>
          <w:rFonts w:ascii="Arial Narrow" w:hAnsi="Arial Narrow"/>
          <w:noProof/>
        </w:rPr>
        <w:t xml:space="preserve"> </w:t>
      </w:r>
      <w:r>
        <w:rPr>
          <w:rFonts w:ascii="Times New Roman" w:hAnsi="Times New Roman"/>
          <w:noProof/>
          <w:sz w:val="24"/>
          <w:szCs w:val="24"/>
        </w:rPr>
        <w:t xml:space="preserve">Регионалната електроцентрала Nováky е с трети по големина емисии на CO2 сред инсталациите на словашката схема на ЕС за търговия с емисии. </w:t>
      </w:r>
    </w:p>
    <w:p w:rsidR="00D4086A" w:rsidRDefault="00D5307E">
      <w:pPr>
        <w:spacing w:before="120" w:after="120" w:line="240" w:lineRule="auto"/>
        <w:jc w:val="both"/>
        <w:rPr>
          <w:rFonts w:ascii="Times New Roman" w:hAnsi="Times New Roman"/>
          <w:noProof/>
          <w:color w:val="000000"/>
          <w:sz w:val="24"/>
          <w:szCs w:val="24"/>
        </w:rPr>
      </w:pPr>
      <w:r>
        <w:rPr>
          <w:rFonts w:ascii="Times New Roman" w:hAnsi="Times New Roman"/>
          <w:noProof/>
          <w:sz w:val="24"/>
          <w:szCs w:val="24"/>
        </w:rPr>
        <w:t>Целта на тази мярка е за електроцентралата за лигнитни въглищ</w:t>
      </w:r>
      <w:r>
        <w:rPr>
          <w:rFonts w:ascii="Times New Roman" w:hAnsi="Times New Roman"/>
          <w:noProof/>
          <w:sz w:val="24"/>
          <w:szCs w:val="24"/>
        </w:rPr>
        <w:t>а в Nováky да се прекрати подпомагането за производството на електроенергия и да се прекрати производството на електроенергия от лигнитни въглища. Това ще има положително въздействие върху околната среда и намаляване на цените за крайните потребители на ел</w:t>
      </w:r>
      <w:r>
        <w:rPr>
          <w:rFonts w:ascii="Times New Roman" w:hAnsi="Times New Roman"/>
          <w:noProof/>
          <w:sz w:val="24"/>
          <w:szCs w:val="24"/>
        </w:rPr>
        <w:t xml:space="preserve">ектроенергия. </w:t>
      </w:r>
    </w:p>
    <w:p w:rsidR="00D4086A" w:rsidRDefault="00D5307E">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Изпълнението на реформата приключва до 31 декември 2023 г.</w:t>
      </w:r>
    </w:p>
    <w:p w:rsidR="00D4086A" w:rsidRDefault="00D5307E">
      <w:pPr>
        <w:spacing w:before="120" w:after="120" w:line="240" w:lineRule="auto"/>
        <w:jc w:val="both"/>
        <w:rPr>
          <w:rFonts w:ascii="Times New Roman" w:hAnsi="Times New Roman"/>
          <w:b/>
          <w:noProof/>
          <w:sz w:val="24"/>
          <w:szCs w:val="24"/>
        </w:rPr>
      </w:pPr>
      <w:r>
        <w:rPr>
          <w:noProof/>
        </w:rPr>
        <w:br w:type="page"/>
      </w:r>
      <w:r>
        <w:rPr>
          <w:rFonts w:ascii="Times New Roman" w:hAnsi="Times New Roman"/>
          <w:b/>
          <w:noProof/>
          <w:sz w:val="24"/>
          <w:szCs w:val="24"/>
        </w:rPr>
        <w:t>Реформа 2: Приемане на конкурентна схема за намаляване на емисиите на парникови газове в промишлеността</w:t>
      </w:r>
    </w:p>
    <w:p w:rsidR="00D4086A" w:rsidRDefault="00D5307E">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rPr>
        <w:t>Словашките органи трябва да стартират конкурентна схема за декарбонизация, от</w:t>
      </w:r>
      <w:r>
        <w:rPr>
          <w:rFonts w:ascii="Times New Roman" w:hAnsi="Times New Roman"/>
          <w:noProof/>
          <w:color w:val="000000"/>
          <w:sz w:val="24"/>
          <w:szCs w:val="24"/>
        </w:rPr>
        <w:t>ворена за всички промишлени сектори .</w:t>
      </w:r>
      <w:r>
        <w:rPr>
          <w:rFonts w:ascii="Times New Roman" w:hAnsi="Times New Roman"/>
          <w:noProof/>
          <w:color w:val="000000"/>
          <w:sz w:val="24"/>
          <w:szCs w:val="24"/>
          <w:shd w:val="clear" w:color="auto" w:fill="FFFFFF"/>
        </w:rPr>
        <w:t xml:space="preserve"> </w:t>
      </w:r>
      <w:r>
        <w:rPr>
          <w:rFonts w:ascii="Times New Roman" w:hAnsi="Times New Roman"/>
          <w:noProof/>
          <w:color w:val="000000"/>
          <w:sz w:val="24"/>
          <w:szCs w:val="24"/>
        </w:rPr>
        <w:t>Схемата за декарбонизация подпомага внедряването на най-добрите налични понастоящем технологии в промишлените процеси.</w:t>
      </w:r>
      <w:r>
        <w:rPr>
          <w:rFonts w:ascii="Times New Roman" w:hAnsi="Times New Roman"/>
          <w:noProof/>
          <w:color w:val="000000"/>
          <w:sz w:val="24"/>
          <w:szCs w:val="24"/>
          <w:shd w:val="clear" w:color="auto" w:fill="FFFFFF"/>
        </w:rPr>
        <w:t xml:space="preserve"> Подпомагането е насочено към нисковъглеродни процеси и технологии в промишлеността и към приемане на мерки за енергийна ефективност.</w:t>
      </w:r>
    </w:p>
    <w:p w:rsidR="00D4086A" w:rsidRDefault="00D5307E">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shd w:val="clear" w:color="auto" w:fill="FFFFFF"/>
        </w:rPr>
        <w:t>Словакия гарантира, че се гарантират строгите изисквания за спазване на законодателството в областта на околната среда, ка</w:t>
      </w:r>
      <w:r>
        <w:rPr>
          <w:rFonts w:ascii="Times New Roman" w:hAnsi="Times New Roman"/>
          <w:noProof/>
          <w:color w:val="000000"/>
          <w:sz w:val="24"/>
          <w:szCs w:val="24"/>
          <w:shd w:val="clear" w:color="auto" w:fill="FFFFFF"/>
        </w:rPr>
        <w:t xml:space="preserve">кто на национално равнище, така и на равнище ЕС. </w:t>
      </w:r>
      <w:r>
        <w:rPr>
          <w:rFonts w:ascii="Times New Roman" w:hAnsi="Times New Roman"/>
          <w:noProof/>
          <w:color w:val="000000"/>
          <w:sz w:val="24"/>
          <w:szCs w:val="24"/>
        </w:rPr>
        <w:t xml:space="preserve">Това включва съответствието на подпомаганите дейности и дружества с Техническите насоки на DNSH (2021/C58/01). </w:t>
      </w:r>
    </w:p>
    <w:p w:rsidR="00D4086A" w:rsidRDefault="00D5307E">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Подкрепата за инсталации в рамките на схемата на ЕС за търговия с емисии намалява емисиите си з</w:t>
      </w:r>
      <w:r>
        <w:rPr>
          <w:rFonts w:ascii="Times New Roman" w:hAnsi="Times New Roman"/>
          <w:noProof/>
          <w:color w:val="000000"/>
          <w:sz w:val="24"/>
          <w:szCs w:val="24"/>
          <w:shd w:val="clear" w:color="auto" w:fill="FFFFFF"/>
        </w:rPr>
        <w:t>начително под индикативния показател, свързан с офертата за проект. Условието „значително под референтната стойност“ е част от критериите за подбор за обществената поръчка.</w:t>
      </w:r>
    </w:p>
    <w:p w:rsidR="00D4086A" w:rsidRDefault="00D5307E">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Количеството на емисиите на парникови газове (в еквивалент на CO2, среднопретеглена</w:t>
      </w:r>
      <w:r>
        <w:rPr>
          <w:rFonts w:ascii="Times New Roman" w:hAnsi="Times New Roman"/>
          <w:noProof/>
          <w:color w:val="000000"/>
          <w:sz w:val="24"/>
          <w:szCs w:val="24"/>
        </w:rPr>
        <w:t xml:space="preserve"> стойност) на предприятията, подкрепяни от схемата, трябва да намалява с най-малко 30 % в сравнение със съпоставителния сценарий.</w:t>
      </w:r>
    </w:p>
    <w:p w:rsidR="00D4086A" w:rsidRDefault="00D5307E">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rPr>
        <w:t>Словашките органи предоставят данни за декарбонизацията за проекти по схемата (които трябва да бъдат предоставени най-късно до</w:t>
      </w:r>
      <w:r>
        <w:rPr>
          <w:rFonts w:ascii="Times New Roman" w:hAnsi="Times New Roman"/>
          <w:noProof/>
          <w:color w:val="000000"/>
          <w:sz w:val="24"/>
          <w:szCs w:val="24"/>
        </w:rPr>
        <w:t xml:space="preserve"> 30 юни 2026 г.) или демонстрират, че намалението на емисиите на парникови газове ще бъде постигнато въз основа на предполагаеми параметри на подпомаганите технологии по мярката (въз основа на сертификати от производителите), или комбинация от двата подход</w:t>
      </w:r>
      <w:r>
        <w:rPr>
          <w:rFonts w:ascii="Times New Roman" w:hAnsi="Times New Roman"/>
          <w:noProof/>
          <w:color w:val="000000"/>
          <w:sz w:val="24"/>
          <w:szCs w:val="24"/>
        </w:rPr>
        <w:t>а .</w:t>
      </w:r>
    </w:p>
    <w:p w:rsidR="00D4086A" w:rsidRDefault="00D5307E">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Изпълнението на реформата приключва до 31 декември 2022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 xml:space="preserve">Инвестиция 1: Функционирането на схемата за декарбонизация на промишлеността </w:t>
      </w:r>
    </w:p>
    <w:p w:rsidR="00D4086A" w:rsidRDefault="00D5307E">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Целта на мярката е да се намалят емисиите на парникови газове чрез подкрепа на проекти за промишлени предприятия. Т</w:t>
      </w:r>
      <w:r>
        <w:rPr>
          <w:rFonts w:ascii="Times New Roman" w:hAnsi="Times New Roman"/>
          <w:noProof/>
          <w:color w:val="000000"/>
          <w:sz w:val="24"/>
          <w:szCs w:val="24"/>
          <w:shd w:val="clear" w:color="auto" w:fill="FFFFFF"/>
        </w:rPr>
        <w:t>ръжната схема спазва условията на инвестиционните политики, посочени в Реформа 2 („Приемане на конкурентна схема за намаляване на емисиите на парникови газове в промишлеността“). </w:t>
      </w:r>
    </w:p>
    <w:p w:rsidR="00D4086A" w:rsidRDefault="00D5307E">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От общата цел за намаляване на емисиите на парникови газове с 1 369 917 тона</w:t>
      </w:r>
      <w:r>
        <w:rPr>
          <w:rFonts w:ascii="Times New Roman" w:hAnsi="Times New Roman"/>
          <w:noProof/>
          <w:color w:val="000000"/>
          <w:sz w:val="24"/>
          <w:szCs w:val="24"/>
          <w:shd w:val="clear" w:color="auto" w:fill="FFFFFF"/>
        </w:rPr>
        <w:t xml:space="preserve"> еквивалент на CO2 схемата за декарбонизация осигурява намаление от най-малко 1 232 926 тона CO2 еквивалент в допълнение към съпоставителния сценарий, представен на Комисията. Намаляването на емисиите се наблюдава или въз основа на събирането на данни за п</w:t>
      </w:r>
      <w:r>
        <w:rPr>
          <w:rFonts w:ascii="Times New Roman" w:hAnsi="Times New Roman"/>
          <w:noProof/>
          <w:color w:val="000000"/>
          <w:sz w:val="24"/>
          <w:szCs w:val="24"/>
          <w:shd w:val="clear" w:color="auto" w:fill="FFFFFF"/>
        </w:rPr>
        <w:t>роекти по схемата за декарбонизация, или въз основа на параметри на подпомаганите технологии, основани на сертификати от производителите, или на комбинация от двата подхода. Словашките органи предоставят на Комисията данните и необходимата техническа докум</w:t>
      </w:r>
      <w:r>
        <w:rPr>
          <w:rFonts w:ascii="Times New Roman" w:hAnsi="Times New Roman"/>
          <w:noProof/>
          <w:color w:val="000000"/>
          <w:sz w:val="24"/>
          <w:szCs w:val="24"/>
          <w:shd w:val="clear" w:color="auto" w:fill="FFFFFF"/>
        </w:rPr>
        <w:t>ентация за изпълнението на целта за декарбонизация най-късно до 30 юни 2026 г.</w:t>
      </w:r>
    </w:p>
    <w:p w:rsidR="00D4086A" w:rsidRDefault="00D5307E">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rPr>
        <w:t xml:space="preserve">Изпълнението на инвестицията приключва до 30 юни 2026 г. </w:t>
      </w:r>
    </w:p>
    <w:p w:rsidR="00D4086A" w:rsidRDefault="00D4086A">
      <w:pPr>
        <w:spacing w:before="120" w:after="120" w:line="240" w:lineRule="auto"/>
        <w:jc w:val="both"/>
        <w:rPr>
          <w:rFonts w:ascii="Times New Roman" w:hAnsi="Times New Roman"/>
          <w:b/>
          <w:noProof/>
          <w:sz w:val="24"/>
        </w:rPr>
      </w:pPr>
    </w:p>
    <w:p w:rsidR="00D4086A" w:rsidRDefault="00D5307E">
      <w:pPr>
        <w:spacing w:before="120" w:after="120" w:line="240" w:lineRule="auto"/>
        <w:jc w:val="both"/>
        <w:rPr>
          <w:rFonts w:ascii="Times New Roman" w:hAnsi="Times New Roman"/>
          <w:b/>
          <w:noProof/>
          <w:sz w:val="24"/>
          <w:szCs w:val="24"/>
        </w:rPr>
      </w:pPr>
      <w:r>
        <w:rPr>
          <w:rFonts w:ascii="Times New Roman" w:hAnsi="Times New Roman"/>
          <w:b/>
          <w:noProof/>
          <w:sz w:val="24"/>
          <w:szCs w:val="24"/>
        </w:rPr>
        <w:t xml:space="preserve">Инвестиция 2: Подкрепа за функционирането на словашкия инспекторат по околната среда във връзка с декарбонизацията </w:t>
      </w:r>
    </w:p>
    <w:p w:rsidR="00D4086A" w:rsidRDefault="00D5307E">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Целта на мярката е да се подпомогнат инвестициите в оборудването на словашкия инспекторат по околната среда, като се укрепи капацитетът за мониторинг на тази институция в процеса на декарбонизация. Понастоящем липсата на оборудване не позволява да се извър</w:t>
      </w:r>
      <w:r>
        <w:rPr>
          <w:rFonts w:ascii="Times New Roman" w:hAnsi="Times New Roman"/>
          <w:noProof/>
          <w:color w:val="000000"/>
          <w:sz w:val="24"/>
          <w:szCs w:val="24"/>
          <w:shd w:val="clear" w:color="auto" w:fill="FFFFFF"/>
        </w:rPr>
        <w:t>шат необходимите дейности с оглед на очакваното увеличаване на работното натоварване на Инспектората.</w:t>
      </w:r>
    </w:p>
    <w:p w:rsidR="00D4086A" w:rsidRDefault="00D5307E">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Инвестициите спомагат за модернизирането на оборудването, както и на съоръженията на институцията. Това ще даде възможност за рационализиране на оперативн</w:t>
      </w:r>
      <w:r>
        <w:rPr>
          <w:rFonts w:ascii="Times New Roman" w:hAnsi="Times New Roman"/>
          <w:noProof/>
          <w:color w:val="000000"/>
          <w:sz w:val="24"/>
          <w:szCs w:val="24"/>
          <w:shd w:val="clear" w:color="auto" w:fill="FFFFFF"/>
        </w:rPr>
        <w:t>ите дейности на инспектората, включително за мисиите на място. Превозните средства на инспектората следва да бъдат оборудвани с канцеларски и измервателни технологии, по-специално за проверка на опазването на въздуха, опазването на водите и управлението на</w:t>
      </w:r>
      <w:r>
        <w:rPr>
          <w:rFonts w:ascii="Times New Roman" w:hAnsi="Times New Roman"/>
          <w:noProof/>
          <w:color w:val="000000"/>
          <w:sz w:val="24"/>
          <w:szCs w:val="24"/>
          <w:shd w:val="clear" w:color="auto" w:fill="FFFFFF"/>
        </w:rPr>
        <w:t xml:space="preserve"> отпадъците. Инвестициите също така водят до подобрения в помещенията на инспектората.</w:t>
      </w:r>
    </w:p>
    <w:p w:rsidR="00D4086A" w:rsidRDefault="00D5307E">
      <w:pPr>
        <w:spacing w:before="120" w:after="120" w:line="240" w:lineRule="auto"/>
        <w:jc w:val="both"/>
        <w:rPr>
          <w:rFonts w:ascii="Times New Roman" w:hAnsi="Times New Roman"/>
          <w:noProof/>
          <w:color w:val="000000"/>
          <w:sz w:val="24"/>
          <w:shd w:val="clear" w:color="auto" w:fill="FFFFFF"/>
        </w:rPr>
      </w:pPr>
      <w:r>
        <w:rPr>
          <w:rFonts w:ascii="Times New Roman" w:hAnsi="Times New Roman"/>
          <w:noProof/>
          <w:color w:val="000000"/>
          <w:sz w:val="24"/>
          <w:szCs w:val="24"/>
          <w:shd w:val="clear" w:color="auto" w:fill="FFFFFF"/>
        </w:rPr>
        <w:t>Очаква се изпълнението на инвестициите да започне до 1 януари 2022 г. и да приключи до 30 юни 2025 г.</w:t>
      </w:r>
    </w:p>
    <w:p w:rsidR="00D4086A" w:rsidRDefault="00D4086A">
      <w:pPr>
        <w:spacing w:before="120" w:after="120" w:line="240" w:lineRule="auto"/>
        <w:jc w:val="both"/>
        <w:rPr>
          <w:rFonts w:ascii="Times New Roman" w:hAnsi="Times New Roman"/>
          <w:noProof/>
          <w:color w:val="000000"/>
          <w:sz w:val="24"/>
          <w:shd w:val="clear" w:color="auto" w:fill="FFFFFF"/>
        </w:rPr>
        <w:sectPr w:rsidR="00D4086A">
          <w:headerReference w:type="even" r:id="rId54"/>
          <w:headerReference w:type="default" r:id="rId55"/>
          <w:footerReference w:type="even" r:id="rId56"/>
          <w:footerReference w:type="default" r:id="rId57"/>
          <w:headerReference w:type="first" r:id="rId58"/>
          <w:footerReference w:type="first" r:id="rId59"/>
          <w:pgSz w:w="11907" w:h="16839"/>
          <w:pgMar w:top="1134" w:right="1418" w:bottom="1134" w:left="1418" w:header="709" w:footer="709" w:gutter="0"/>
          <w:cols w:space="720"/>
          <w:docGrid w:linePitch="360"/>
        </w:sectPr>
      </w:pPr>
    </w:p>
    <w:p w:rsidR="00D4086A" w:rsidRDefault="00D5307E">
      <w:pPr>
        <w:tabs>
          <w:tab w:val="left" w:pos="993"/>
        </w:tabs>
        <w:spacing w:before="120" w:after="120" w:line="240" w:lineRule="auto"/>
        <w:ind w:left="850"/>
        <w:jc w:val="both"/>
        <w:rPr>
          <w:rFonts w:ascii="Times New Roman" w:hAnsi="Times New Roman"/>
          <w:b/>
          <w:noProof/>
          <w:sz w:val="24"/>
          <w:szCs w:val="24"/>
          <w:u w:val="single"/>
        </w:rPr>
      </w:pPr>
      <w:r>
        <w:rPr>
          <w:rFonts w:ascii="Times New Roman" w:hAnsi="Times New Roman"/>
          <w:b/>
          <w:noProof/>
          <w:sz w:val="24"/>
          <w:szCs w:val="24"/>
          <w:u w:val="single"/>
        </w:rPr>
        <w:t xml:space="preserve">A.2. </w:t>
      </w:r>
      <w:r>
        <w:rPr>
          <w:noProof/>
        </w:rPr>
        <w:tab/>
      </w:r>
      <w:r>
        <w:rPr>
          <w:rFonts w:ascii="Times New Roman" w:hAnsi="Times New Roman"/>
          <w:b/>
          <w:noProof/>
          <w:sz w:val="24"/>
          <w:szCs w:val="24"/>
          <w:u w:val="single"/>
        </w:rPr>
        <w:t xml:space="preserve">Ключови етапи, цели, показатели и график за мониторинг и изпълнение на безвъзмездната финансова подкрепа </w:t>
      </w:r>
    </w:p>
    <w:tbl>
      <w:tblPr>
        <w:tblW w:w="15876" w:type="dxa"/>
        <w:tblInd w:w="-459" w:type="dxa"/>
        <w:tblLook w:val="04A0" w:firstRow="1" w:lastRow="0" w:firstColumn="1" w:lastColumn="0" w:noHBand="0" w:noVBand="1"/>
      </w:tblPr>
      <w:tblGrid>
        <w:gridCol w:w="1120"/>
        <w:gridCol w:w="1890"/>
        <w:gridCol w:w="979"/>
        <w:gridCol w:w="1881"/>
        <w:gridCol w:w="1833"/>
        <w:gridCol w:w="967"/>
        <w:gridCol w:w="847"/>
        <w:gridCol w:w="810"/>
        <w:gridCol w:w="1296"/>
        <w:gridCol w:w="1094"/>
        <w:gridCol w:w="3159"/>
      </w:tblGrid>
      <w:tr w:rsidR="00D4086A">
        <w:trPr>
          <w:trHeight w:val="900"/>
        </w:trPr>
        <w:tc>
          <w:tcPr>
            <w:tcW w:w="1120" w:type="dxa"/>
            <w:vMerge w:val="restart"/>
            <w:tcBorders>
              <w:top w:val="single" w:sz="4" w:space="0" w:color="auto"/>
              <w:left w:val="single" w:sz="4" w:space="0" w:color="auto"/>
              <w:right w:val="single" w:sz="4" w:space="0" w:color="auto"/>
            </w:tcBorders>
            <w:shd w:val="clear" w:color="auto" w:fill="BDD7EE"/>
            <w:vAlign w:val="center"/>
            <w:hideMark/>
          </w:tcPr>
          <w:p w:rsidR="00D4086A" w:rsidRDefault="00D5307E">
            <w:pPr>
              <w:spacing w:before="120" w:after="120" w:line="256" w:lineRule="auto"/>
              <w:jc w:val="center"/>
              <w:rPr>
                <w:rFonts w:ascii="Times New Roman" w:eastAsia="Times New Roman" w:hAnsi="Times New Roman"/>
                <w:b/>
                <w:noProof/>
                <w:sz w:val="20"/>
                <w:szCs w:val="20"/>
              </w:rPr>
            </w:pPr>
            <w:r>
              <w:rPr>
                <w:rFonts w:ascii="Times New Roman" w:hAnsi="Times New Roman"/>
                <w:b/>
                <w:noProof/>
                <w:sz w:val="20"/>
                <w:szCs w:val="20"/>
              </w:rPr>
              <w:t>№</w:t>
            </w:r>
          </w:p>
          <w:p w:rsidR="00D4086A" w:rsidRDefault="00D5307E">
            <w:pPr>
              <w:spacing w:after="0" w:line="256" w:lineRule="auto"/>
              <w:rPr>
                <w:rFonts w:ascii="Times New Roman" w:eastAsia="Times New Roman" w:hAnsi="Times New Roman"/>
                <w:b/>
                <w:noProof/>
                <w:sz w:val="20"/>
                <w:szCs w:val="20"/>
              </w:rPr>
            </w:pPr>
            <w:r>
              <w:rPr>
                <w:rFonts w:ascii="Times New Roman" w:hAnsi="Times New Roman"/>
                <w:noProof/>
                <w:sz w:val="20"/>
                <w:szCs w:val="20"/>
              </w:rPr>
              <w:t> </w:t>
            </w:r>
          </w:p>
        </w:tc>
        <w:tc>
          <w:tcPr>
            <w:tcW w:w="1890"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Свързана мярка (реформа или инвестиция)</w:t>
            </w:r>
          </w:p>
          <w:p w:rsidR="00D4086A" w:rsidRDefault="00D5307E">
            <w:pPr>
              <w:spacing w:after="0" w:line="256" w:lineRule="auto"/>
              <w:rPr>
                <w:rFonts w:ascii="Times New Roman" w:eastAsia="Times New Roman" w:hAnsi="Times New Roman"/>
                <w:b/>
                <w:noProof/>
                <w:sz w:val="20"/>
                <w:szCs w:val="20"/>
              </w:rPr>
            </w:pPr>
            <w:r>
              <w:rPr>
                <w:rFonts w:ascii="Times New Roman" w:hAnsi="Times New Roman"/>
                <w:noProof/>
                <w:sz w:val="20"/>
                <w:szCs w:val="20"/>
              </w:rPr>
              <w:t> </w:t>
            </w:r>
          </w:p>
        </w:tc>
        <w:tc>
          <w:tcPr>
            <w:tcW w:w="979"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Ключов етап / Цел</w:t>
            </w:r>
          </w:p>
          <w:p w:rsidR="00D4086A" w:rsidRDefault="00D5307E">
            <w:pPr>
              <w:spacing w:after="0" w:line="256" w:lineRule="auto"/>
              <w:rPr>
                <w:rFonts w:ascii="Times New Roman" w:eastAsia="Times New Roman" w:hAnsi="Times New Roman"/>
                <w:b/>
                <w:noProof/>
                <w:sz w:val="20"/>
                <w:szCs w:val="20"/>
              </w:rPr>
            </w:pPr>
            <w:r>
              <w:rPr>
                <w:rFonts w:ascii="Times New Roman" w:hAnsi="Times New Roman"/>
                <w:noProof/>
                <w:sz w:val="20"/>
                <w:szCs w:val="20"/>
              </w:rPr>
              <w:t> </w:t>
            </w:r>
          </w:p>
        </w:tc>
        <w:tc>
          <w:tcPr>
            <w:tcW w:w="1881"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Наименование</w:t>
            </w:r>
          </w:p>
          <w:p w:rsidR="00D4086A" w:rsidRDefault="00D5307E">
            <w:pPr>
              <w:spacing w:after="0" w:line="256" w:lineRule="auto"/>
              <w:rPr>
                <w:rFonts w:ascii="Times New Roman" w:eastAsia="Times New Roman" w:hAnsi="Times New Roman"/>
                <w:b/>
                <w:noProof/>
                <w:sz w:val="20"/>
                <w:szCs w:val="20"/>
              </w:rPr>
            </w:pPr>
            <w:r>
              <w:rPr>
                <w:rFonts w:ascii="Times New Roman" w:hAnsi="Times New Roman"/>
                <w:noProof/>
                <w:sz w:val="20"/>
                <w:szCs w:val="20"/>
              </w:rPr>
              <w:t> </w:t>
            </w:r>
          </w:p>
        </w:tc>
        <w:tc>
          <w:tcPr>
            <w:tcW w:w="1833"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Качествени показатели (за ключовите етапи)</w:t>
            </w:r>
          </w:p>
          <w:p w:rsidR="00D4086A" w:rsidRDefault="00D5307E">
            <w:pPr>
              <w:spacing w:after="0" w:line="256" w:lineRule="auto"/>
              <w:rPr>
                <w:rFonts w:ascii="Times New Roman" w:eastAsia="Times New Roman" w:hAnsi="Times New Roman"/>
                <w:b/>
                <w:noProof/>
                <w:sz w:val="20"/>
                <w:szCs w:val="20"/>
              </w:rPr>
            </w:pPr>
            <w:r>
              <w:rPr>
                <w:rFonts w:ascii="Times New Roman" w:hAnsi="Times New Roman"/>
                <w:noProof/>
                <w:sz w:val="20"/>
                <w:szCs w:val="20"/>
              </w:rPr>
              <w:t> </w:t>
            </w:r>
          </w:p>
        </w:tc>
        <w:tc>
          <w:tcPr>
            <w:tcW w:w="2624" w:type="dxa"/>
            <w:gridSpan w:val="3"/>
            <w:tcBorders>
              <w:top w:val="single" w:sz="4" w:space="0" w:color="auto"/>
              <w:left w:val="nil"/>
              <w:bottom w:val="single" w:sz="4" w:space="0" w:color="auto"/>
              <w:right w:val="single" w:sz="4" w:space="0" w:color="000000"/>
            </w:tcBorders>
            <w:shd w:val="clear" w:color="auto" w:fill="BDD7EE"/>
            <w:vAlign w:val="center"/>
            <w:hideMark/>
          </w:tcPr>
          <w:p w:rsidR="00D4086A" w:rsidRDefault="00D5307E">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 xml:space="preserve">Качествени показатели </w:t>
            </w:r>
            <w:r>
              <w:rPr>
                <w:rFonts w:ascii="Times New Roman" w:hAnsi="Times New Roman"/>
                <w:b/>
                <w:noProof/>
                <w:sz w:val="20"/>
                <w:szCs w:val="20"/>
              </w:rPr>
              <w:t>(за целите)</w:t>
            </w:r>
          </w:p>
        </w:tc>
        <w:tc>
          <w:tcPr>
            <w:tcW w:w="2390" w:type="dxa"/>
            <w:gridSpan w:val="2"/>
            <w:tcBorders>
              <w:top w:val="single" w:sz="4" w:space="0" w:color="auto"/>
              <w:left w:val="nil"/>
              <w:bottom w:val="single" w:sz="4" w:space="0" w:color="auto"/>
              <w:right w:val="single" w:sz="4" w:space="0" w:color="000000"/>
            </w:tcBorders>
            <w:shd w:val="clear" w:color="auto" w:fill="BDD7EE"/>
            <w:vAlign w:val="center"/>
            <w:hideMark/>
          </w:tcPr>
          <w:p w:rsidR="00D4086A" w:rsidRDefault="00D5307E">
            <w:pPr>
              <w:spacing w:after="0" w:line="256" w:lineRule="auto"/>
              <w:jc w:val="center"/>
              <w:rPr>
                <w:rFonts w:ascii="Times New Roman" w:eastAsia="Times New Roman" w:hAnsi="Times New Roman"/>
                <w:b/>
                <w:noProof/>
                <w:sz w:val="20"/>
                <w:szCs w:val="20"/>
              </w:rPr>
            </w:pPr>
            <w:r>
              <w:rPr>
                <w:rFonts w:ascii="Times New Roman" w:hAnsi="Times New Roman"/>
                <w:b/>
                <w:bCs/>
                <w:noProof/>
                <w:sz w:val="20"/>
                <w:szCs w:val="20"/>
              </w:rPr>
              <w:t xml:space="preserve">Ориентировъчен график за приключване </w:t>
            </w:r>
          </w:p>
        </w:tc>
        <w:tc>
          <w:tcPr>
            <w:tcW w:w="3159"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Описание и ясно определяне на всеки ключов етап и цел</w:t>
            </w:r>
          </w:p>
          <w:p w:rsidR="00D4086A" w:rsidRDefault="00D5307E">
            <w:pPr>
              <w:spacing w:after="0" w:line="256" w:lineRule="auto"/>
              <w:rPr>
                <w:rFonts w:ascii="Times New Roman" w:eastAsia="Times New Roman" w:hAnsi="Times New Roman"/>
                <w:b/>
                <w:noProof/>
                <w:sz w:val="20"/>
                <w:szCs w:val="20"/>
              </w:rPr>
            </w:pPr>
            <w:r>
              <w:rPr>
                <w:rFonts w:ascii="Times New Roman" w:hAnsi="Times New Roman"/>
                <w:noProof/>
                <w:sz w:val="20"/>
                <w:szCs w:val="20"/>
              </w:rPr>
              <w:t> </w:t>
            </w:r>
          </w:p>
        </w:tc>
      </w:tr>
      <w:tr w:rsidR="00D4086A">
        <w:trPr>
          <w:trHeight w:val="484"/>
        </w:trPr>
        <w:tc>
          <w:tcPr>
            <w:tcW w:w="1120" w:type="dxa"/>
            <w:vMerge/>
            <w:tcBorders>
              <w:left w:val="single" w:sz="4" w:space="0" w:color="auto"/>
              <w:bottom w:val="single" w:sz="4" w:space="0" w:color="auto"/>
              <w:right w:val="single" w:sz="4" w:space="0" w:color="auto"/>
            </w:tcBorders>
            <w:shd w:val="clear" w:color="auto" w:fill="BDD7EE"/>
            <w:vAlign w:val="center"/>
            <w:hideMark/>
          </w:tcPr>
          <w:p w:rsidR="00D4086A" w:rsidRDefault="00D4086A">
            <w:pPr>
              <w:spacing w:after="0" w:line="256" w:lineRule="auto"/>
              <w:rPr>
                <w:rFonts w:ascii="Times New Roman" w:eastAsia="Times New Roman" w:hAnsi="Times New Roman"/>
                <w:noProof/>
                <w:sz w:val="20"/>
                <w:szCs w:val="20"/>
              </w:rPr>
            </w:pPr>
          </w:p>
        </w:tc>
        <w:tc>
          <w:tcPr>
            <w:tcW w:w="1890" w:type="dxa"/>
            <w:vMerge/>
            <w:tcBorders>
              <w:left w:val="nil"/>
              <w:bottom w:val="single" w:sz="4" w:space="0" w:color="auto"/>
              <w:right w:val="single" w:sz="4" w:space="0" w:color="auto"/>
            </w:tcBorders>
            <w:shd w:val="clear" w:color="auto" w:fill="BDD7EE"/>
            <w:vAlign w:val="center"/>
            <w:hideMark/>
          </w:tcPr>
          <w:p w:rsidR="00D4086A" w:rsidRDefault="00D4086A">
            <w:pPr>
              <w:spacing w:after="0" w:line="256" w:lineRule="auto"/>
              <w:rPr>
                <w:rFonts w:ascii="Times New Roman" w:eastAsia="Times New Roman" w:hAnsi="Times New Roman"/>
                <w:noProof/>
                <w:sz w:val="20"/>
                <w:szCs w:val="20"/>
              </w:rPr>
            </w:pPr>
          </w:p>
        </w:tc>
        <w:tc>
          <w:tcPr>
            <w:tcW w:w="979" w:type="dxa"/>
            <w:vMerge/>
            <w:tcBorders>
              <w:left w:val="nil"/>
              <w:bottom w:val="single" w:sz="4" w:space="0" w:color="auto"/>
              <w:right w:val="single" w:sz="4" w:space="0" w:color="auto"/>
            </w:tcBorders>
            <w:shd w:val="clear" w:color="auto" w:fill="BDD7EE"/>
            <w:vAlign w:val="center"/>
            <w:hideMark/>
          </w:tcPr>
          <w:p w:rsidR="00D4086A" w:rsidRDefault="00D4086A">
            <w:pPr>
              <w:spacing w:after="0" w:line="256" w:lineRule="auto"/>
              <w:rPr>
                <w:rFonts w:ascii="Times New Roman" w:eastAsia="Times New Roman" w:hAnsi="Times New Roman"/>
                <w:noProof/>
                <w:sz w:val="20"/>
                <w:szCs w:val="20"/>
              </w:rPr>
            </w:pPr>
          </w:p>
        </w:tc>
        <w:tc>
          <w:tcPr>
            <w:tcW w:w="1881" w:type="dxa"/>
            <w:vMerge/>
            <w:tcBorders>
              <w:left w:val="nil"/>
              <w:bottom w:val="single" w:sz="4" w:space="0" w:color="auto"/>
              <w:right w:val="single" w:sz="4" w:space="0" w:color="auto"/>
            </w:tcBorders>
            <w:shd w:val="clear" w:color="auto" w:fill="BDD7EE"/>
            <w:vAlign w:val="center"/>
            <w:hideMark/>
          </w:tcPr>
          <w:p w:rsidR="00D4086A" w:rsidRDefault="00D4086A">
            <w:pPr>
              <w:spacing w:after="0" w:line="256" w:lineRule="auto"/>
              <w:rPr>
                <w:rFonts w:ascii="Times New Roman" w:eastAsia="Times New Roman" w:hAnsi="Times New Roman"/>
                <w:noProof/>
                <w:sz w:val="20"/>
                <w:szCs w:val="20"/>
              </w:rPr>
            </w:pPr>
          </w:p>
        </w:tc>
        <w:tc>
          <w:tcPr>
            <w:tcW w:w="1833" w:type="dxa"/>
            <w:vMerge/>
            <w:tcBorders>
              <w:left w:val="nil"/>
              <w:bottom w:val="single" w:sz="4" w:space="0" w:color="auto"/>
              <w:right w:val="single" w:sz="4" w:space="0" w:color="auto"/>
            </w:tcBorders>
            <w:shd w:val="clear" w:color="auto" w:fill="BDD7EE"/>
            <w:vAlign w:val="center"/>
            <w:hideMark/>
          </w:tcPr>
          <w:p w:rsidR="00D4086A" w:rsidRDefault="00D4086A">
            <w:pPr>
              <w:spacing w:after="0" w:line="256" w:lineRule="auto"/>
              <w:rPr>
                <w:rFonts w:ascii="Times New Roman" w:eastAsia="Times New Roman" w:hAnsi="Times New Roman"/>
                <w:noProof/>
                <w:sz w:val="20"/>
                <w:szCs w:val="20"/>
              </w:rPr>
            </w:pPr>
          </w:p>
        </w:tc>
        <w:tc>
          <w:tcPr>
            <w:tcW w:w="967"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 xml:space="preserve">мерна единица </w:t>
            </w:r>
          </w:p>
        </w:tc>
        <w:tc>
          <w:tcPr>
            <w:tcW w:w="847"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Базова линия</w:t>
            </w:r>
          </w:p>
        </w:tc>
        <w:tc>
          <w:tcPr>
            <w:tcW w:w="810"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 xml:space="preserve">цел </w:t>
            </w:r>
          </w:p>
        </w:tc>
        <w:tc>
          <w:tcPr>
            <w:tcW w:w="1296"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Тримесечие</w:t>
            </w:r>
          </w:p>
        </w:tc>
        <w:tc>
          <w:tcPr>
            <w:tcW w:w="1094"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Година</w:t>
            </w:r>
          </w:p>
        </w:tc>
        <w:tc>
          <w:tcPr>
            <w:tcW w:w="3159" w:type="dxa"/>
            <w:vMerge/>
            <w:tcBorders>
              <w:left w:val="nil"/>
              <w:bottom w:val="single" w:sz="4" w:space="0" w:color="auto"/>
              <w:right w:val="single" w:sz="4" w:space="0" w:color="auto"/>
            </w:tcBorders>
            <w:shd w:val="clear" w:color="auto" w:fill="BDD7EE"/>
            <w:vAlign w:val="center"/>
            <w:hideMark/>
          </w:tcPr>
          <w:p w:rsidR="00D4086A" w:rsidRDefault="00D4086A">
            <w:pPr>
              <w:spacing w:after="0" w:line="256" w:lineRule="auto"/>
              <w:rPr>
                <w:rFonts w:ascii="Times New Roman" w:eastAsia="Times New Roman" w:hAnsi="Times New Roman"/>
                <w:noProof/>
                <w:sz w:val="20"/>
                <w:szCs w:val="20"/>
              </w:rPr>
            </w:pPr>
          </w:p>
        </w:tc>
      </w:tr>
      <w:tr w:rsidR="00D4086A">
        <w:trPr>
          <w:trHeight w:val="1734"/>
        </w:trPr>
        <w:tc>
          <w:tcPr>
            <w:tcW w:w="1120"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w:t>
            </w:r>
          </w:p>
        </w:tc>
        <w:tc>
          <w:tcPr>
            <w:tcW w:w="189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4 – Декарбонизация на промишлеността – реформа 1:Прекратяване на </w:t>
            </w:r>
          </w:p>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производство на </w:t>
            </w:r>
            <w:r>
              <w:rPr>
                <w:rFonts w:ascii="Times New Roman" w:hAnsi="Times New Roman"/>
                <w:noProof/>
                <w:color w:val="006100"/>
                <w:sz w:val="20"/>
                <w:szCs w:val="20"/>
              </w:rPr>
              <w:t>електроенергия от въглища в електроцентрала Nováky и преобразуване на регион Горна Нитра</w:t>
            </w:r>
          </w:p>
          <w:p w:rsidR="00D4086A" w:rsidRDefault="00D4086A">
            <w:pPr>
              <w:spacing w:after="0" w:line="256" w:lineRule="auto"/>
              <w:rPr>
                <w:rFonts w:ascii="Times New Roman" w:eastAsia="Times New Roman" w:hAnsi="Times New Roman"/>
                <w:noProof/>
                <w:color w:val="006100"/>
                <w:sz w:val="20"/>
                <w:szCs w:val="20"/>
              </w:rPr>
            </w:pPr>
          </w:p>
        </w:tc>
        <w:tc>
          <w:tcPr>
            <w:tcW w:w="97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88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Изоставяне на въглищата в региона Горна Нитра</w:t>
            </w:r>
          </w:p>
        </w:tc>
        <w:tc>
          <w:tcPr>
            <w:tcW w:w="1833"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Прекратяване на производството на електроенергия от лигнитни въглища в електроцентралата в Nováky</w:t>
            </w:r>
          </w:p>
        </w:tc>
        <w:tc>
          <w:tcPr>
            <w:tcW w:w="96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4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9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1094"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w:t>
            </w:r>
            <w:r>
              <w:rPr>
                <w:rFonts w:ascii="Times New Roman" w:hAnsi="Times New Roman"/>
                <w:noProof/>
                <w:color w:val="006100"/>
                <w:sz w:val="20"/>
                <w:szCs w:val="20"/>
              </w:rPr>
              <w:t>023</w:t>
            </w:r>
          </w:p>
        </w:tc>
        <w:tc>
          <w:tcPr>
            <w:tcW w:w="315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В рамките на преобразуването на регион Горна Нитра за електроцентрала Nováky:</w:t>
            </w:r>
          </w:p>
          <w:p w:rsidR="00D4086A" w:rsidRDefault="00D5307E">
            <w:pPr>
              <w:numPr>
                <w:ilvl w:val="0"/>
                <w:numId w:val="27"/>
              </w:numPr>
              <w:spacing w:before="120" w:after="0" w:line="256" w:lineRule="auto"/>
              <w:contextualSpacing/>
              <w:rPr>
                <w:rFonts w:ascii="Times New Roman" w:eastAsia="Times New Roman" w:hAnsi="Times New Roman"/>
                <w:noProof/>
                <w:color w:val="006100"/>
                <w:sz w:val="20"/>
                <w:szCs w:val="20"/>
              </w:rPr>
            </w:pPr>
            <w:r>
              <w:rPr>
                <w:rFonts w:ascii="Times New Roman" w:hAnsi="Times New Roman"/>
                <w:noProof/>
                <w:color w:val="006100"/>
                <w:sz w:val="20"/>
                <w:szCs w:val="20"/>
              </w:rPr>
              <w:t>Словашките органи прекратяват подпомагането за производство на електроенергия от лигнитни въглища.</w:t>
            </w:r>
          </w:p>
          <w:p w:rsidR="00D4086A" w:rsidRDefault="00D5307E">
            <w:pPr>
              <w:numPr>
                <w:ilvl w:val="0"/>
                <w:numId w:val="27"/>
              </w:numPr>
              <w:spacing w:before="120" w:after="0" w:line="256" w:lineRule="auto"/>
              <w:contextualSpacing/>
              <w:rPr>
                <w:rFonts w:ascii="Times New Roman" w:eastAsia="Times New Roman" w:hAnsi="Times New Roman"/>
                <w:noProof/>
                <w:color w:val="006100"/>
                <w:sz w:val="20"/>
                <w:szCs w:val="20"/>
              </w:rPr>
            </w:pPr>
            <w:r>
              <w:rPr>
                <w:rFonts w:ascii="Times New Roman" w:hAnsi="Times New Roman"/>
                <w:noProof/>
                <w:color w:val="006100"/>
                <w:sz w:val="20"/>
                <w:szCs w:val="20"/>
              </w:rPr>
              <w:t>Производството на електроенергия от лигнитни въглища се преустановява.</w:t>
            </w:r>
          </w:p>
          <w:p w:rsidR="00D4086A" w:rsidRDefault="00D4086A">
            <w:pPr>
              <w:spacing w:after="0" w:line="256" w:lineRule="auto"/>
              <w:rPr>
                <w:rFonts w:ascii="Times New Roman" w:eastAsia="Times New Roman" w:hAnsi="Times New Roman"/>
                <w:noProof/>
                <w:color w:val="006100"/>
                <w:sz w:val="20"/>
                <w:szCs w:val="20"/>
              </w:rPr>
            </w:pPr>
          </w:p>
        </w:tc>
      </w:tr>
      <w:tr w:rsidR="00D4086A">
        <w:trPr>
          <w:trHeight w:val="1500"/>
        </w:trPr>
        <w:tc>
          <w:tcPr>
            <w:tcW w:w="1120"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line="256" w:lineRule="auto"/>
              <w:jc w:val="center"/>
              <w:rPr>
                <w:rFonts w:ascii="Times New Roman" w:eastAsia="Times New Roman" w:hAnsi="Times New Roman"/>
                <w:noProof/>
                <w:color w:val="006100"/>
                <w:sz w:val="20"/>
                <w:szCs w:val="20"/>
                <w:highlight w:val="yellow"/>
              </w:rPr>
            </w:pPr>
            <w:r>
              <w:rPr>
                <w:rFonts w:ascii="Times New Roman" w:hAnsi="Times New Roman"/>
                <w:noProof/>
                <w:color w:val="006100"/>
                <w:sz w:val="20"/>
                <w:szCs w:val="20"/>
              </w:rPr>
              <w:t>2</w:t>
            </w:r>
          </w:p>
        </w:tc>
        <w:tc>
          <w:tcPr>
            <w:tcW w:w="1890"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56" w:lineRule="auto"/>
              <w:rPr>
                <w:rFonts w:ascii="Times New Roman" w:eastAsia="Times New Roman" w:hAnsi="Times New Roman"/>
                <w:noProof/>
                <w:color w:val="006100"/>
                <w:sz w:val="20"/>
                <w:szCs w:val="20"/>
                <w:highlight w:val="yellow"/>
              </w:rPr>
            </w:pPr>
          </w:p>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4 – Декарбонизация на промишлеността – реформа 2: Конкурентна схема за намаляване на емисиите на парникови газове в промишлеността</w:t>
            </w:r>
          </w:p>
          <w:p w:rsidR="00D4086A" w:rsidRDefault="00D4086A">
            <w:pPr>
              <w:spacing w:after="0" w:line="256" w:lineRule="auto"/>
              <w:rPr>
                <w:rFonts w:ascii="Times New Roman" w:eastAsia="Times New Roman" w:hAnsi="Times New Roman"/>
                <w:noProof/>
                <w:color w:val="006100"/>
                <w:sz w:val="20"/>
                <w:szCs w:val="20"/>
              </w:rPr>
            </w:pPr>
          </w:p>
          <w:p w:rsidR="00D4086A" w:rsidRDefault="00D4086A">
            <w:pPr>
              <w:spacing w:after="0" w:line="256" w:lineRule="auto"/>
              <w:rPr>
                <w:rFonts w:ascii="Times New Roman" w:eastAsia="Times New Roman" w:hAnsi="Times New Roman"/>
                <w:noProof/>
                <w:color w:val="006100"/>
                <w:sz w:val="20"/>
                <w:szCs w:val="20"/>
                <w:highlight w:val="yellow"/>
              </w:rPr>
            </w:pPr>
          </w:p>
        </w:tc>
        <w:tc>
          <w:tcPr>
            <w:tcW w:w="97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88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Приемане на декарбонизацията на промишлеността</w:t>
            </w:r>
          </w:p>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схема</w:t>
            </w:r>
          </w:p>
        </w:tc>
        <w:tc>
          <w:tcPr>
            <w:tcW w:w="1833"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Приемане на схемата за декарбонизация на промишлеността от Министерството на околната среда  </w:t>
            </w:r>
          </w:p>
        </w:tc>
        <w:tc>
          <w:tcPr>
            <w:tcW w:w="967"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before="120" w:after="120" w:line="240" w:lineRule="auto"/>
              <w:jc w:val="both"/>
              <w:rPr>
                <w:rFonts w:ascii="Times New Roman" w:eastAsia="Times New Roman" w:hAnsi="Times New Roman"/>
                <w:noProof/>
                <w:color w:val="006100"/>
                <w:sz w:val="20"/>
                <w:szCs w:val="20"/>
              </w:rPr>
            </w:pPr>
          </w:p>
        </w:tc>
        <w:tc>
          <w:tcPr>
            <w:tcW w:w="847"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after="0" w:line="256" w:lineRule="auto"/>
              <w:rPr>
                <w:rFonts w:ascii="Times New Roman" w:hAnsi="Times New Roman"/>
                <w:noProof/>
                <w:sz w:val="20"/>
                <w:szCs w:val="20"/>
                <w:lang w:eastAsia="sk-SK"/>
              </w:rPr>
            </w:pPr>
          </w:p>
        </w:tc>
        <w:tc>
          <w:tcPr>
            <w:tcW w:w="810"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after="0" w:line="256" w:lineRule="auto"/>
              <w:rPr>
                <w:rFonts w:ascii="Times New Roman" w:hAnsi="Times New Roman"/>
                <w:noProof/>
                <w:sz w:val="20"/>
                <w:szCs w:val="20"/>
                <w:lang w:eastAsia="sk-SK"/>
              </w:rPr>
            </w:pPr>
          </w:p>
        </w:tc>
        <w:tc>
          <w:tcPr>
            <w:tcW w:w="129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1094"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159"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0" w:line="256"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Приемане на схема за декарбонизация на промишлеността, с която се постигат ефективни резултати от Министерството на околната среда. Схемата за конкурен</w:t>
            </w:r>
            <w:r>
              <w:rPr>
                <w:rFonts w:ascii="Times New Roman" w:hAnsi="Times New Roman"/>
                <w:noProof/>
                <w:color w:val="006100"/>
                <w:sz w:val="20"/>
                <w:szCs w:val="20"/>
              </w:rPr>
              <w:t>тна декарбонизация се въвежда чрез недискриминационна, прозрачна и открита тръжна процедура, отворена за всички промишлени сектори. Подпомагането е насочено към нисковъглеродните процеси и технологии в промишлеността и приемането на мерки за енергийна ефек</w:t>
            </w:r>
            <w:r>
              <w:rPr>
                <w:rFonts w:ascii="Times New Roman" w:hAnsi="Times New Roman"/>
                <w:noProof/>
                <w:color w:val="006100"/>
                <w:sz w:val="20"/>
                <w:szCs w:val="20"/>
              </w:rPr>
              <w:t>тивност.</w:t>
            </w:r>
          </w:p>
          <w:p w:rsidR="00D4086A" w:rsidRDefault="00D5307E">
            <w:pPr>
              <w:spacing w:before="120" w:after="0" w:line="256"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Инвестиционната политика на схемата включва най-малко следните критерии за допустимост и подбор на проекти:</w:t>
            </w:r>
          </w:p>
          <w:p w:rsidR="00D4086A" w:rsidRDefault="00D5307E">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hAnsi="Times New Roman"/>
                <w:noProof/>
                <w:color w:val="006100"/>
                <w:sz w:val="20"/>
                <w:szCs w:val="20"/>
              </w:rPr>
              <w:t>целта на най-ниската цена за тон спестен парников газ;</w:t>
            </w:r>
          </w:p>
          <w:p w:rsidR="00D4086A" w:rsidRDefault="00D5307E">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hAnsi="Times New Roman"/>
                <w:noProof/>
                <w:color w:val="006100"/>
                <w:sz w:val="20"/>
                <w:szCs w:val="20"/>
              </w:rPr>
              <w:t>гарантиране на съответствие с достиженията на правото на ЕС и националното законодат</w:t>
            </w:r>
            <w:r>
              <w:rPr>
                <w:rFonts w:ascii="Times New Roman" w:hAnsi="Times New Roman"/>
                <w:noProof/>
                <w:color w:val="006100"/>
                <w:sz w:val="20"/>
                <w:szCs w:val="20"/>
              </w:rPr>
              <w:t xml:space="preserve">елство в областта на околната среда, както и с техническите насоки на DNSH (2021/C58/01) на подпомаганите дейности и дружества, и определяне на цели за декарбонизация. </w:t>
            </w:r>
          </w:p>
          <w:p w:rsidR="00D4086A" w:rsidRDefault="00D5307E">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hAnsi="Times New Roman"/>
                <w:noProof/>
                <w:color w:val="006100"/>
                <w:sz w:val="20"/>
                <w:szCs w:val="20"/>
              </w:rPr>
              <w:t>подпомагане само на най-добрите налични проекти, съобразени с технологиите;</w:t>
            </w:r>
          </w:p>
          <w:p w:rsidR="00D4086A" w:rsidRDefault="00D5307E">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hAnsi="Times New Roman"/>
                <w:noProof/>
                <w:color w:val="006100"/>
                <w:sz w:val="20"/>
                <w:szCs w:val="20"/>
              </w:rPr>
              <w:t>подпомаганите инсталации по схемата на ЕС за търговия с емисии намаляват емисиите си значително под индикативния показател, свързан с офертата за проект. Условието „значително под референтната стойност“ е част от критериите за подбор за обществената поръчк</w:t>
            </w:r>
            <w:r>
              <w:rPr>
                <w:rFonts w:ascii="Times New Roman" w:hAnsi="Times New Roman"/>
                <w:noProof/>
                <w:color w:val="006100"/>
                <w:sz w:val="20"/>
                <w:szCs w:val="20"/>
              </w:rPr>
              <w:t>а. </w:t>
            </w:r>
          </w:p>
          <w:p w:rsidR="00D4086A" w:rsidRDefault="00D5307E">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hAnsi="Times New Roman"/>
                <w:noProof/>
                <w:color w:val="006100"/>
                <w:sz w:val="20"/>
                <w:szCs w:val="20"/>
              </w:rPr>
              <w:t>не се подпомагат изкопаеми горива.</w:t>
            </w:r>
          </w:p>
          <w:p w:rsidR="00D4086A" w:rsidRDefault="00D5307E">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hAnsi="Times New Roman"/>
                <w:noProof/>
                <w:color w:val="006100"/>
                <w:sz w:val="20"/>
                <w:szCs w:val="20"/>
              </w:rPr>
              <w:t>количеството на емисиите на парникови газове (в еквивалент на CO2, среднопретеглена стойност) на предприятията, подкрепяни от схемата, трябва да намалява с най-малко 30 %.</w:t>
            </w:r>
          </w:p>
          <w:p w:rsidR="00D4086A" w:rsidRDefault="00D4086A">
            <w:pPr>
              <w:spacing w:line="254" w:lineRule="auto"/>
              <w:jc w:val="both"/>
              <w:rPr>
                <w:rFonts w:ascii="Times New Roman" w:eastAsia="Times New Roman" w:hAnsi="Times New Roman"/>
                <w:noProof/>
                <w:color w:val="006100"/>
                <w:sz w:val="20"/>
                <w:szCs w:val="20"/>
              </w:rPr>
            </w:pPr>
          </w:p>
          <w:p w:rsidR="00D4086A" w:rsidRDefault="00D5307E">
            <w:pPr>
              <w:spacing w:line="254"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Словашките органи предоставят гаранции за на</w:t>
            </w:r>
            <w:r>
              <w:rPr>
                <w:rFonts w:ascii="Times New Roman" w:hAnsi="Times New Roman"/>
                <w:noProof/>
                <w:color w:val="006100"/>
                <w:sz w:val="20"/>
                <w:szCs w:val="20"/>
              </w:rPr>
              <w:t>временното предоставяне на данни за всички подпомагани проекти най-късно до 30 юни 2026 г. или трябва да докажат, че намаленията на емисиите на парникови газове трябва да бъдат постигнати въз основа на предполагаеми параметри на подпомаганите технологии (в</w:t>
            </w:r>
            <w:r>
              <w:rPr>
                <w:rFonts w:ascii="Times New Roman" w:hAnsi="Times New Roman"/>
                <w:noProof/>
                <w:color w:val="006100"/>
                <w:sz w:val="20"/>
                <w:szCs w:val="20"/>
              </w:rPr>
              <w:t>ъз основа на сертификати от производителите) или на комбинация от двата подхода. Предварителното количествено определяне на намаленията на емисиите на парникови газове чрез проектите за декарбонизация може да се основава на технически документи, в които се</w:t>
            </w:r>
            <w:r>
              <w:rPr>
                <w:rFonts w:ascii="Times New Roman" w:hAnsi="Times New Roman"/>
                <w:noProof/>
                <w:color w:val="006100"/>
                <w:sz w:val="20"/>
                <w:szCs w:val="20"/>
              </w:rPr>
              <w:t xml:space="preserve"> посочват основните параметри, потреблението на енергия и вложените материали на подпомаганите технологии.</w:t>
            </w:r>
          </w:p>
          <w:p w:rsidR="00D4086A" w:rsidRDefault="00D5307E">
            <w:pPr>
              <w:spacing w:before="120" w:after="0" w:line="256"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Словашките органи споделят с Комисията базовите сценарии, както и прогнозираното въздействие на подпомаганите технологии след подбора на проектите.</w:t>
            </w:r>
          </w:p>
          <w:p w:rsidR="00D4086A" w:rsidRDefault="00D4086A">
            <w:pPr>
              <w:spacing w:before="120" w:after="0" w:line="256" w:lineRule="auto"/>
              <w:jc w:val="both"/>
              <w:rPr>
                <w:rFonts w:ascii="Times New Roman" w:eastAsia="Times New Roman" w:hAnsi="Times New Roman"/>
                <w:noProof/>
                <w:color w:val="006100"/>
                <w:sz w:val="20"/>
                <w:szCs w:val="20"/>
              </w:rPr>
            </w:pPr>
          </w:p>
          <w:p w:rsidR="00D4086A" w:rsidRDefault="00D4086A">
            <w:pPr>
              <w:spacing w:before="120" w:after="0" w:line="256" w:lineRule="auto"/>
              <w:jc w:val="both"/>
              <w:rPr>
                <w:rFonts w:ascii="Times New Roman" w:eastAsia="Times New Roman" w:hAnsi="Times New Roman"/>
                <w:noProof/>
                <w:color w:val="006100"/>
                <w:sz w:val="20"/>
                <w:szCs w:val="20"/>
              </w:rPr>
            </w:pPr>
          </w:p>
        </w:tc>
      </w:tr>
      <w:tr w:rsidR="00D4086A">
        <w:trPr>
          <w:trHeight w:val="126"/>
        </w:trPr>
        <w:tc>
          <w:tcPr>
            <w:tcW w:w="1120"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890"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56" w:lineRule="auto"/>
              <w:rPr>
                <w:rFonts w:ascii="Times New Roman" w:eastAsia="Times New Roman" w:hAnsi="Times New Roman"/>
                <w:noProof/>
                <w:color w:val="006100"/>
                <w:sz w:val="20"/>
                <w:szCs w:val="20"/>
              </w:rPr>
            </w:pPr>
          </w:p>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4 – Декарбонизация на промишлеността – инвестиции 1:  Функционирането на схемата за декарбонизация на промишлеността</w:t>
            </w:r>
          </w:p>
        </w:tc>
        <w:tc>
          <w:tcPr>
            <w:tcW w:w="97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Ключов етап</w:t>
            </w:r>
          </w:p>
        </w:tc>
        <w:tc>
          <w:tcPr>
            <w:tcW w:w="188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Приключване на изпълнението на проектите за декарбонизация на промишлеността, съфинансирани от Механизма за </w:t>
            </w:r>
            <w:r>
              <w:rPr>
                <w:rFonts w:ascii="Times New Roman" w:hAnsi="Times New Roman"/>
                <w:noProof/>
                <w:color w:val="006100"/>
                <w:sz w:val="20"/>
                <w:szCs w:val="20"/>
              </w:rPr>
              <w:t>възстановяване и устойчивост</w:t>
            </w:r>
          </w:p>
        </w:tc>
        <w:tc>
          <w:tcPr>
            <w:tcW w:w="1833"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Приемане на списък на завършени проекти за декарбонизация от Министерството на околната среда</w:t>
            </w:r>
          </w:p>
        </w:tc>
        <w:tc>
          <w:tcPr>
            <w:tcW w:w="967"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after="0" w:line="256" w:lineRule="auto"/>
              <w:rPr>
                <w:rFonts w:ascii="Times New Roman" w:eastAsia="Times New Roman" w:hAnsi="Times New Roman"/>
                <w:noProof/>
                <w:color w:val="006100"/>
                <w:sz w:val="20"/>
                <w:szCs w:val="20"/>
              </w:rPr>
            </w:pPr>
          </w:p>
        </w:tc>
        <w:tc>
          <w:tcPr>
            <w:tcW w:w="847"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after="0" w:line="256" w:lineRule="auto"/>
              <w:rPr>
                <w:rFonts w:ascii="Times New Roman" w:eastAsia="Times New Roman" w:hAnsi="Times New Roman"/>
                <w:noProof/>
                <w:color w:val="006100"/>
                <w:sz w:val="20"/>
                <w:szCs w:val="20"/>
              </w:rPr>
            </w:pPr>
          </w:p>
        </w:tc>
        <w:tc>
          <w:tcPr>
            <w:tcW w:w="810"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after="0" w:line="256" w:lineRule="auto"/>
              <w:rPr>
                <w:rFonts w:ascii="Times New Roman" w:eastAsia="Times New Roman" w:hAnsi="Times New Roman"/>
                <w:noProof/>
                <w:color w:val="006100"/>
                <w:sz w:val="20"/>
                <w:szCs w:val="20"/>
              </w:rPr>
            </w:pPr>
          </w:p>
        </w:tc>
        <w:tc>
          <w:tcPr>
            <w:tcW w:w="129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1094"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3159"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0" w:line="256"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Министерството на околната среда приема списък на завършените проекти, подпомагани чрез схемата за декарбонизация, който </w:t>
            </w:r>
            <w:r>
              <w:rPr>
                <w:rFonts w:ascii="Times New Roman" w:hAnsi="Times New Roman"/>
                <w:noProof/>
                <w:color w:val="006100"/>
                <w:sz w:val="20"/>
                <w:szCs w:val="20"/>
              </w:rPr>
              <w:t>представлява основа за измерване на намаляването на емисиите на парникови газове по мярката. Намалението на емисиите се наблюдава или въз основа на събирането на данни за проекти по схемата за декарбонизация, или чрез предполагаеми параметри на подпомагани</w:t>
            </w:r>
            <w:r>
              <w:rPr>
                <w:rFonts w:ascii="Times New Roman" w:hAnsi="Times New Roman"/>
                <w:noProof/>
                <w:color w:val="006100"/>
                <w:sz w:val="20"/>
                <w:szCs w:val="20"/>
              </w:rPr>
              <w:t>те технологии по мярката въз основа на сертификати от производителите, или чрез комбинация от двата подхода на общата цел за намаляване на емисиите на парникови газове с 1 369 917 тона CO2 еквивалент, схемата за декарбонизация осигурява намаление най-малко</w:t>
            </w:r>
            <w:r>
              <w:rPr>
                <w:rFonts w:ascii="Times New Roman" w:hAnsi="Times New Roman"/>
                <w:noProof/>
                <w:color w:val="006100"/>
                <w:sz w:val="20"/>
                <w:szCs w:val="20"/>
              </w:rPr>
              <w:t xml:space="preserve"> с 1 232 926 тона еквивалент на CO2. </w:t>
            </w:r>
          </w:p>
          <w:p w:rsidR="00D4086A" w:rsidRDefault="00D4086A">
            <w:pPr>
              <w:spacing w:before="120" w:after="0" w:line="256" w:lineRule="auto"/>
              <w:jc w:val="both"/>
              <w:rPr>
                <w:rFonts w:ascii="Times New Roman" w:eastAsia="Times New Roman" w:hAnsi="Times New Roman"/>
                <w:noProof/>
                <w:color w:val="006100"/>
                <w:sz w:val="20"/>
                <w:szCs w:val="20"/>
              </w:rPr>
            </w:pPr>
          </w:p>
        </w:tc>
      </w:tr>
      <w:tr w:rsidR="00D4086A">
        <w:trPr>
          <w:trHeight w:val="2127"/>
        </w:trPr>
        <w:tc>
          <w:tcPr>
            <w:tcW w:w="1120" w:type="dxa"/>
            <w:tcBorders>
              <w:top w:val="single" w:sz="4" w:space="0" w:color="auto"/>
              <w:left w:val="single" w:sz="4" w:space="0" w:color="auto"/>
              <w:bottom w:val="single" w:sz="4" w:space="0" w:color="auto"/>
              <w:right w:val="single" w:sz="4" w:space="0" w:color="auto"/>
            </w:tcBorders>
            <w:shd w:val="clear" w:color="auto" w:fill="C6EFCE"/>
            <w:noWrap/>
            <w:vAlign w:val="center"/>
          </w:tcPr>
          <w:p w:rsidR="00D4086A" w:rsidRDefault="00D4086A">
            <w:pPr>
              <w:spacing w:after="0" w:line="256" w:lineRule="auto"/>
              <w:jc w:val="center"/>
              <w:rPr>
                <w:rFonts w:ascii="Times New Roman" w:eastAsia="Times New Roman" w:hAnsi="Times New Roman"/>
                <w:noProof/>
                <w:color w:val="006100"/>
                <w:sz w:val="20"/>
                <w:szCs w:val="20"/>
              </w:rPr>
            </w:pPr>
          </w:p>
          <w:p w:rsidR="00D4086A" w:rsidRDefault="00D4086A">
            <w:pPr>
              <w:spacing w:after="0" w:line="256" w:lineRule="auto"/>
              <w:jc w:val="center"/>
              <w:rPr>
                <w:rFonts w:ascii="Times New Roman" w:eastAsia="Times New Roman" w:hAnsi="Times New Roman"/>
                <w:noProof/>
                <w:color w:val="006100"/>
                <w:sz w:val="20"/>
                <w:szCs w:val="20"/>
              </w:rPr>
            </w:pPr>
          </w:p>
          <w:p w:rsidR="00D4086A" w:rsidRDefault="00D5307E">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4</w:t>
            </w:r>
          </w:p>
          <w:p w:rsidR="00D4086A" w:rsidRDefault="00D4086A">
            <w:pPr>
              <w:spacing w:after="0" w:line="256" w:lineRule="auto"/>
              <w:jc w:val="center"/>
              <w:rPr>
                <w:rFonts w:ascii="Times New Roman" w:eastAsia="Times New Roman" w:hAnsi="Times New Roman"/>
                <w:noProof/>
                <w:color w:val="006100"/>
                <w:sz w:val="20"/>
                <w:szCs w:val="20"/>
              </w:rPr>
            </w:pPr>
          </w:p>
          <w:p w:rsidR="00D4086A" w:rsidRDefault="00D4086A">
            <w:pPr>
              <w:spacing w:after="0" w:line="256" w:lineRule="auto"/>
              <w:jc w:val="center"/>
              <w:rPr>
                <w:rFonts w:ascii="Times New Roman" w:eastAsia="Times New Roman" w:hAnsi="Times New Roman"/>
                <w:noProof/>
                <w:color w:val="006100"/>
                <w:sz w:val="20"/>
                <w:szCs w:val="20"/>
              </w:rPr>
            </w:pPr>
          </w:p>
          <w:p w:rsidR="00D4086A" w:rsidRDefault="00D4086A">
            <w:pPr>
              <w:spacing w:after="0" w:line="256" w:lineRule="auto"/>
              <w:jc w:val="center"/>
              <w:rPr>
                <w:rFonts w:ascii="Times New Roman" w:eastAsia="Times New Roman" w:hAnsi="Times New Roman"/>
                <w:noProof/>
                <w:color w:val="006100"/>
                <w:sz w:val="20"/>
                <w:szCs w:val="20"/>
              </w:rPr>
            </w:pPr>
          </w:p>
          <w:p w:rsidR="00D4086A" w:rsidRDefault="00D4086A">
            <w:pPr>
              <w:spacing w:after="0" w:line="256" w:lineRule="auto"/>
              <w:jc w:val="center"/>
              <w:rPr>
                <w:rFonts w:ascii="Times New Roman" w:eastAsia="Times New Roman" w:hAnsi="Times New Roman"/>
                <w:noProof/>
                <w:color w:val="006100"/>
                <w:sz w:val="20"/>
                <w:szCs w:val="20"/>
              </w:rPr>
            </w:pPr>
          </w:p>
        </w:tc>
        <w:tc>
          <w:tcPr>
            <w:tcW w:w="1890" w:type="dxa"/>
            <w:tcBorders>
              <w:top w:val="single" w:sz="4" w:space="0" w:color="auto"/>
              <w:left w:val="nil"/>
              <w:bottom w:val="single" w:sz="4" w:space="0" w:color="auto"/>
              <w:right w:val="single" w:sz="4" w:space="0" w:color="auto"/>
            </w:tcBorders>
            <w:shd w:val="clear" w:color="auto" w:fill="C6EFCE"/>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4 – Декарбонизация на промишлеността – Инвестиция 2: Гарантиране на функционирането на словашкия инспекторат по околната среда, свързан с декарбонизацията </w:t>
            </w:r>
          </w:p>
          <w:p w:rsidR="00D4086A" w:rsidRDefault="00D4086A">
            <w:pPr>
              <w:spacing w:after="0" w:line="256" w:lineRule="auto"/>
              <w:rPr>
                <w:rFonts w:ascii="Times New Roman" w:eastAsia="Times New Roman" w:hAnsi="Times New Roman"/>
                <w:noProof/>
                <w:color w:val="006100"/>
                <w:sz w:val="20"/>
                <w:szCs w:val="20"/>
              </w:rPr>
            </w:pPr>
          </w:p>
          <w:p w:rsidR="00D4086A" w:rsidRDefault="00D4086A">
            <w:pPr>
              <w:spacing w:after="0" w:line="256" w:lineRule="auto"/>
              <w:rPr>
                <w:rFonts w:ascii="Times New Roman" w:eastAsia="Times New Roman" w:hAnsi="Times New Roman"/>
                <w:noProof/>
                <w:color w:val="006100"/>
                <w:sz w:val="20"/>
                <w:szCs w:val="20"/>
              </w:rPr>
            </w:pPr>
          </w:p>
        </w:tc>
        <w:tc>
          <w:tcPr>
            <w:tcW w:w="979" w:type="dxa"/>
            <w:tcBorders>
              <w:top w:val="single" w:sz="4" w:space="0" w:color="auto"/>
              <w:left w:val="nil"/>
              <w:bottom w:val="single" w:sz="4" w:space="0" w:color="auto"/>
              <w:right w:val="single" w:sz="4" w:space="0" w:color="auto"/>
            </w:tcBorders>
            <w:shd w:val="clear" w:color="auto" w:fill="C6EFCE"/>
            <w:noWrap/>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881" w:type="dxa"/>
            <w:tcBorders>
              <w:top w:val="single" w:sz="4" w:space="0" w:color="auto"/>
              <w:left w:val="nil"/>
              <w:bottom w:val="single" w:sz="4" w:space="0" w:color="auto"/>
              <w:right w:val="single" w:sz="4" w:space="0" w:color="auto"/>
            </w:tcBorders>
            <w:shd w:val="clear" w:color="auto" w:fill="C6EFCE"/>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Увеличаване на капацитета на словашкия инспекторат по околната среда </w:t>
            </w:r>
          </w:p>
        </w:tc>
        <w:tc>
          <w:tcPr>
            <w:tcW w:w="1833" w:type="dxa"/>
            <w:tcBorders>
              <w:top w:val="single" w:sz="4" w:space="0" w:color="auto"/>
              <w:left w:val="nil"/>
              <w:bottom w:val="single" w:sz="4" w:space="0" w:color="auto"/>
              <w:right w:val="single" w:sz="4" w:space="0" w:color="auto"/>
            </w:tcBorders>
            <w:shd w:val="clear" w:color="auto" w:fill="C6EFCE"/>
            <w:vAlign w:val="center"/>
            <w:hideMark/>
          </w:tcPr>
          <w:p w:rsidR="00D4086A" w:rsidRDefault="00D5307E">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Приключване на инвестиционните дейности по Механизма за възстановяване и устойчивост от словашкия инспекторат по околната среда </w:t>
            </w:r>
          </w:p>
        </w:tc>
        <w:tc>
          <w:tcPr>
            <w:tcW w:w="967" w:type="dxa"/>
            <w:tcBorders>
              <w:top w:val="single" w:sz="4" w:space="0" w:color="auto"/>
              <w:left w:val="nil"/>
              <w:bottom w:val="single" w:sz="4" w:space="0" w:color="auto"/>
              <w:right w:val="single" w:sz="4" w:space="0" w:color="auto"/>
            </w:tcBorders>
            <w:shd w:val="clear" w:color="auto" w:fill="C6EFCE"/>
            <w:noWrap/>
            <w:vAlign w:val="center"/>
          </w:tcPr>
          <w:p w:rsidR="00D4086A" w:rsidRDefault="00D4086A">
            <w:pPr>
              <w:spacing w:after="0" w:line="256" w:lineRule="auto"/>
              <w:rPr>
                <w:rFonts w:ascii="Times New Roman" w:eastAsia="Times New Roman" w:hAnsi="Times New Roman"/>
                <w:noProof/>
                <w:color w:val="006100"/>
                <w:sz w:val="20"/>
                <w:szCs w:val="20"/>
              </w:rPr>
            </w:pPr>
          </w:p>
        </w:tc>
        <w:tc>
          <w:tcPr>
            <w:tcW w:w="847" w:type="dxa"/>
            <w:tcBorders>
              <w:top w:val="single" w:sz="4" w:space="0" w:color="auto"/>
              <w:left w:val="nil"/>
              <w:bottom w:val="single" w:sz="4" w:space="0" w:color="auto"/>
              <w:right w:val="single" w:sz="4" w:space="0" w:color="auto"/>
            </w:tcBorders>
            <w:shd w:val="clear" w:color="auto" w:fill="C6EFCE"/>
            <w:noWrap/>
            <w:vAlign w:val="center"/>
          </w:tcPr>
          <w:p w:rsidR="00D4086A" w:rsidRDefault="00D4086A">
            <w:pPr>
              <w:spacing w:after="0" w:line="256" w:lineRule="auto"/>
              <w:rPr>
                <w:rFonts w:ascii="Times New Roman" w:eastAsia="Times New Roman" w:hAnsi="Times New Roman"/>
                <w:noProof/>
                <w:color w:val="006100"/>
                <w:sz w:val="20"/>
                <w:szCs w:val="20"/>
              </w:rPr>
            </w:pPr>
          </w:p>
        </w:tc>
        <w:tc>
          <w:tcPr>
            <w:tcW w:w="810" w:type="dxa"/>
            <w:tcBorders>
              <w:top w:val="single" w:sz="4" w:space="0" w:color="auto"/>
              <w:left w:val="nil"/>
              <w:bottom w:val="single" w:sz="4" w:space="0" w:color="auto"/>
              <w:right w:val="single" w:sz="4" w:space="0" w:color="auto"/>
            </w:tcBorders>
            <w:shd w:val="clear" w:color="auto" w:fill="C6EFCE"/>
            <w:noWrap/>
            <w:vAlign w:val="center"/>
          </w:tcPr>
          <w:p w:rsidR="00D4086A" w:rsidRDefault="00D4086A">
            <w:pPr>
              <w:spacing w:after="0" w:line="256" w:lineRule="auto"/>
              <w:rPr>
                <w:rFonts w:ascii="Times New Roman" w:eastAsia="Times New Roman" w:hAnsi="Times New Roman"/>
                <w:noProof/>
                <w:color w:val="006100"/>
                <w:sz w:val="20"/>
                <w:szCs w:val="20"/>
              </w:rPr>
            </w:pPr>
          </w:p>
        </w:tc>
        <w:tc>
          <w:tcPr>
            <w:tcW w:w="1296" w:type="dxa"/>
            <w:tcBorders>
              <w:top w:val="single" w:sz="4" w:space="0" w:color="auto"/>
              <w:left w:val="nil"/>
              <w:bottom w:val="single" w:sz="4" w:space="0" w:color="auto"/>
              <w:right w:val="single" w:sz="4" w:space="0" w:color="auto"/>
            </w:tcBorders>
            <w:shd w:val="clear" w:color="auto" w:fill="C6EFCE"/>
            <w:noWrap/>
            <w:vAlign w:val="center"/>
            <w:hideMark/>
          </w:tcPr>
          <w:p w:rsidR="00D4086A" w:rsidRDefault="00D5307E">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Т2</w:t>
            </w:r>
          </w:p>
          <w:p w:rsidR="00D4086A" w:rsidRDefault="00D4086A">
            <w:pPr>
              <w:spacing w:after="0" w:line="256" w:lineRule="auto"/>
              <w:jc w:val="center"/>
              <w:rPr>
                <w:rFonts w:ascii="Times New Roman" w:eastAsia="Times New Roman" w:hAnsi="Times New Roman"/>
                <w:noProof/>
                <w:color w:val="006100"/>
                <w:sz w:val="20"/>
                <w:szCs w:val="20"/>
              </w:rPr>
            </w:pPr>
          </w:p>
        </w:tc>
        <w:tc>
          <w:tcPr>
            <w:tcW w:w="1094" w:type="dxa"/>
            <w:tcBorders>
              <w:top w:val="single" w:sz="4" w:space="0" w:color="auto"/>
              <w:left w:val="nil"/>
              <w:bottom w:val="single" w:sz="4" w:space="0" w:color="auto"/>
              <w:right w:val="single" w:sz="4" w:space="0" w:color="auto"/>
            </w:tcBorders>
            <w:shd w:val="clear" w:color="auto" w:fill="C6EFCE"/>
            <w:noWrap/>
            <w:vAlign w:val="center"/>
            <w:hideMark/>
          </w:tcPr>
          <w:p w:rsidR="00D4086A" w:rsidRDefault="00D5307E">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p w:rsidR="00D4086A" w:rsidRDefault="00D4086A">
            <w:pPr>
              <w:spacing w:after="0" w:line="256" w:lineRule="auto"/>
              <w:jc w:val="center"/>
              <w:rPr>
                <w:rFonts w:ascii="Times New Roman" w:eastAsia="Times New Roman" w:hAnsi="Times New Roman"/>
                <w:noProof/>
                <w:color w:val="006100"/>
                <w:sz w:val="20"/>
                <w:szCs w:val="20"/>
              </w:rPr>
            </w:pPr>
          </w:p>
        </w:tc>
        <w:tc>
          <w:tcPr>
            <w:tcW w:w="3159" w:type="dxa"/>
            <w:tcBorders>
              <w:top w:val="single" w:sz="4" w:space="0" w:color="auto"/>
              <w:left w:val="nil"/>
              <w:bottom w:val="single" w:sz="4" w:space="0" w:color="auto"/>
              <w:right w:val="single" w:sz="4" w:space="0" w:color="auto"/>
            </w:tcBorders>
            <w:shd w:val="clear" w:color="auto" w:fill="C6EFCE"/>
            <w:vAlign w:val="center"/>
          </w:tcPr>
          <w:p w:rsidR="00D4086A" w:rsidRDefault="00D5307E">
            <w:pPr>
              <w:spacing w:before="120" w:after="0" w:line="256"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Инвестициите ще модернизират оборудването, к</w:t>
            </w:r>
            <w:r>
              <w:rPr>
                <w:rFonts w:ascii="Times New Roman" w:hAnsi="Times New Roman"/>
                <w:noProof/>
                <w:color w:val="006100"/>
                <w:sz w:val="20"/>
                <w:szCs w:val="20"/>
              </w:rPr>
              <w:t>акто и съоръженията на словашкия инспекторат по околната среда. Новите инспекционни превозни средства се оборудват с канцеларски и измервателни технологии, по-специално за проверка на опазването на въздуха, опазването на водите и управлението на отпадъците</w:t>
            </w:r>
            <w:r>
              <w:rPr>
                <w:rFonts w:ascii="Times New Roman" w:hAnsi="Times New Roman"/>
                <w:noProof/>
                <w:color w:val="006100"/>
                <w:sz w:val="20"/>
                <w:szCs w:val="20"/>
              </w:rPr>
              <w:t>. Инвестициите трябва да доведат до подобрения в помещенията на Инспектората.</w:t>
            </w:r>
          </w:p>
        </w:tc>
      </w:tr>
    </w:tbl>
    <w:p w:rsidR="00D4086A" w:rsidRDefault="00D4086A">
      <w:pPr>
        <w:spacing w:before="120" w:after="120" w:line="240" w:lineRule="auto"/>
        <w:jc w:val="both"/>
        <w:rPr>
          <w:rFonts w:ascii="Times New Roman" w:hAnsi="Times New Roman"/>
          <w:noProof/>
          <w:sz w:val="24"/>
        </w:rPr>
      </w:pPr>
    </w:p>
    <w:p w:rsidR="00D4086A" w:rsidRDefault="00D5307E">
      <w:pPr>
        <w:spacing w:before="120" w:after="120" w:line="240" w:lineRule="auto"/>
        <w:jc w:val="both"/>
        <w:rPr>
          <w:noProof/>
        </w:rPr>
      </w:pPr>
      <w:r>
        <w:rPr>
          <w:rFonts w:ascii="Times New Roman" w:hAnsi="Times New Roman"/>
          <w:noProof/>
          <w:sz w:val="24"/>
        </w:rPr>
        <w:fldChar w:fldCharType="begin"/>
      </w:r>
      <w:r>
        <w:rPr>
          <w:rFonts w:ascii="Times New Roman" w:hAnsi="Times New Roman"/>
          <w:noProof/>
          <w:sz w:val="24"/>
        </w:rPr>
        <w:instrText xml:space="preserve"> LINK Excel.Sheet.12 "\\\\NET1.cec.eu.int\\homes\\085\\garcpbl\\Desktop\\CID - Components.xlsx" "T1 Milestones&amp;Targets (4)!R3C1:R8C11" \a \f 4 \h  \* MERGEFORMAT </w:instrText>
      </w:r>
      <w:r>
        <w:rPr>
          <w:rFonts w:ascii="Times New Roman" w:hAnsi="Times New Roman"/>
          <w:noProof/>
          <w:sz w:val="24"/>
        </w:rPr>
        <w:fldChar w:fldCharType="separate"/>
      </w:r>
    </w:p>
    <w:p w:rsidR="00D4086A" w:rsidRDefault="00D5307E">
      <w:pPr>
        <w:jc w:val="both"/>
        <w:rPr>
          <w:rFonts w:ascii="Times New Roman" w:hAnsi="Times New Roman"/>
          <w:noProof/>
          <w:sz w:val="24"/>
        </w:rPr>
        <w:sectPr w:rsidR="00D4086A">
          <w:headerReference w:type="even" r:id="rId60"/>
          <w:headerReference w:type="default" r:id="rId61"/>
          <w:footerReference w:type="even" r:id="rId62"/>
          <w:footerReference w:type="default" r:id="rId63"/>
          <w:headerReference w:type="first" r:id="rId64"/>
          <w:footerReference w:type="first" r:id="rId65"/>
          <w:pgSz w:w="16839" w:h="11907" w:orient="landscape"/>
          <w:pgMar w:top="426" w:right="1134" w:bottom="1418" w:left="1134" w:header="709" w:footer="709" w:gutter="0"/>
          <w:cols w:space="720"/>
          <w:docGrid w:linePitch="360"/>
        </w:sectPr>
      </w:pPr>
      <w:r>
        <w:rPr>
          <w:rFonts w:ascii="Times New Roman" w:hAnsi="Times New Roman"/>
          <w:noProof/>
          <w:sz w:val="24"/>
        </w:rPr>
        <w:fldChar w:fldCharType="end"/>
      </w:r>
    </w:p>
    <w:p w:rsidR="00D4086A" w:rsidRDefault="00D5307E">
      <w:pPr>
        <w:keepNext/>
        <w:tabs>
          <w:tab w:val="left" w:pos="850"/>
        </w:tabs>
        <w:spacing w:before="120" w:after="120" w:line="240" w:lineRule="auto"/>
        <w:ind w:firstLine="1"/>
        <w:jc w:val="both"/>
        <w:outlineLvl w:val="0"/>
        <w:rPr>
          <w:rFonts w:ascii="Times New Roman" w:hAnsi="Times New Roman"/>
          <w:b/>
          <w:smallCaps/>
          <w:noProof/>
          <w:sz w:val="24"/>
        </w:rPr>
      </w:pPr>
      <w:r>
        <w:rPr>
          <w:rFonts w:ascii="Times New Roman" w:hAnsi="Times New Roman"/>
          <w:b/>
          <w:smallCaps/>
          <w:noProof/>
          <w:sz w:val="24"/>
        </w:rPr>
        <w:t>КОМПОНЕНТ 5: Адаптиране към изменението на климата</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Компонент 5 „Адаптиране към изменението на климата“ на словашкия план за възстановяване и устойчивост има за цел да повиши устойчивостта както на ек</w:t>
      </w:r>
      <w:r>
        <w:rPr>
          <w:rFonts w:ascii="Times New Roman" w:hAnsi="Times New Roman"/>
          <w:noProof/>
          <w:sz w:val="24"/>
          <w:szCs w:val="24"/>
        </w:rPr>
        <w:t>осистемите, така и на населените места по отношение на отрицателните последици от изменението на климата чрез реформи на системата за управление на водите, управление на земята, опазване на природата и биологично разнообразие, прилагане на екологосъобразни</w:t>
      </w:r>
      <w:r>
        <w:rPr>
          <w:rFonts w:ascii="Times New Roman" w:hAnsi="Times New Roman"/>
          <w:noProof/>
          <w:sz w:val="24"/>
          <w:szCs w:val="24"/>
        </w:rPr>
        <w:t xml:space="preserve"> елементи в ландшафта и инвестиции във водоустойчивост и развитие на екологосъобразна инфраструктура, включително засаждане.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Компонентът включва две реформи и една инвестиция.</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Очаква се, че нито една мярка в този компонент не вреди в значителна степен на </w:t>
      </w:r>
      <w:r>
        <w:rPr>
          <w:rFonts w:ascii="Times New Roman" w:hAnsi="Times New Roman"/>
          <w:noProof/>
          <w:sz w:val="24"/>
          <w:szCs w:val="24"/>
        </w:rPr>
        <w:t>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на DNSH (2021/</w:t>
      </w:r>
      <w:r>
        <w:rPr>
          <w:rFonts w:ascii="Times New Roman" w:hAnsi="Times New Roman"/>
          <w:noProof/>
          <w:sz w:val="24"/>
          <w:szCs w:val="24"/>
        </w:rPr>
        <w:t xml:space="preserve">C58/01).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szCs w:val="24"/>
        </w:rPr>
        <w:t>Целите на този компонент са в съответствие с Националната стратегия за политиката в областта на околната среда до 2030 г., стратегията за адаптиране на Словашката република към изменението на климата и стратегията за развитие на Словакия до 2030</w:t>
      </w:r>
      <w:r>
        <w:rPr>
          <w:rFonts w:ascii="Times New Roman" w:hAnsi="Times New Roman"/>
          <w:noProof/>
          <w:sz w:val="24"/>
          <w:szCs w:val="24"/>
        </w:rPr>
        <w:t xml:space="preserve"> г. и са част от нея – дългосрочната стратегия за устойчиво развитие на Словашката република – Словакия 2030 г., както и стратегиите и дългосрочните цели на Европейския съюз, по-специално Европейския зелен пакт.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szCs w:val="24"/>
        </w:rPr>
        <w:t xml:space="preserve"> </w:t>
      </w:r>
    </w:p>
    <w:p w:rsidR="00D4086A" w:rsidRDefault="00D5307E">
      <w:pPr>
        <w:spacing w:before="120" w:after="120" w:line="240" w:lineRule="auto"/>
        <w:jc w:val="both"/>
        <w:rPr>
          <w:rFonts w:ascii="Times New Roman" w:hAnsi="Times New Roman"/>
          <w:noProof/>
          <w:sz w:val="24"/>
        </w:rPr>
      </w:pPr>
      <w:r>
        <w:rPr>
          <w:rFonts w:ascii="Times New Roman" w:hAnsi="Times New Roman"/>
          <w:b/>
          <w:bCs/>
          <w:noProof/>
          <w:sz w:val="24"/>
          <w:szCs w:val="24"/>
          <w:u w:val="single"/>
        </w:rPr>
        <w:t xml:space="preserve">A.1. </w:t>
      </w:r>
      <w:r>
        <w:rPr>
          <w:rFonts w:ascii="Times New Roman" w:hAnsi="Times New Roman"/>
          <w:noProof/>
          <w:sz w:val="24"/>
        </w:rPr>
        <w:tab/>
      </w:r>
      <w:r>
        <w:rPr>
          <w:rFonts w:ascii="Times New Roman" w:hAnsi="Times New Roman"/>
          <w:b/>
          <w:bCs/>
          <w:noProof/>
          <w:sz w:val="24"/>
          <w:szCs w:val="24"/>
          <w:u w:val="single"/>
        </w:rPr>
        <w:t>Описание на реформите и инвестициит</w:t>
      </w:r>
      <w:r>
        <w:rPr>
          <w:rFonts w:ascii="Times New Roman" w:hAnsi="Times New Roman"/>
          <w:b/>
          <w:bCs/>
          <w:noProof/>
          <w:sz w:val="24"/>
          <w:szCs w:val="24"/>
          <w:u w:val="single"/>
        </w:rPr>
        <w:t>е за безвъзмездна финансова подкрепа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Реформа 1 относно планирането на ландшафта.</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Реформата осигурява основа за опазване на ландшафтните структури, екологичната стабилност и биологичното разнообразие в документацията за планиране на земеползването и последв</w:t>
      </w:r>
      <w:r>
        <w:rPr>
          <w:rFonts w:ascii="Times New Roman" w:hAnsi="Times New Roman"/>
          <w:noProof/>
          <w:sz w:val="24"/>
          <w:szCs w:val="24"/>
        </w:rPr>
        <w:t xml:space="preserve">ащите процедури за одобряване на сгради и дейности. Заедно с последващите методологически документи и карти, актът предоставя техническата основа за документацията за планиране на земеползването и последващите процеси на одобрение за разрешаване на сгради </w:t>
      </w:r>
      <w:r>
        <w:rPr>
          <w:rFonts w:ascii="Times New Roman" w:hAnsi="Times New Roman"/>
          <w:noProof/>
          <w:sz w:val="24"/>
          <w:szCs w:val="24"/>
        </w:rPr>
        <w:t>и дейности. Това оказва значително въздействие върху поддържането на ландшафтните структури, екологичната стабилност и опазването на биологичното разнообразие. Тяхната загуба би подкопала способността за адаптиране към изменението на климата.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Изпълнението </w:t>
      </w:r>
      <w:r>
        <w:rPr>
          <w:rFonts w:ascii="Times New Roman" w:hAnsi="Times New Roman"/>
          <w:noProof/>
          <w:sz w:val="24"/>
          <w:szCs w:val="24"/>
        </w:rPr>
        <w:t xml:space="preserve">на реформата приключва до 31 декември 2022 г.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Реформа 2 относно опазването на природата и управлението на водите.</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Реформата има за цел подобряване на състоянието на местообитанията в защитените територии, което гарантира техния дългосрочен нарастващ прино</w:t>
      </w:r>
      <w:r>
        <w:rPr>
          <w:rFonts w:ascii="Times New Roman" w:hAnsi="Times New Roman"/>
          <w:noProof/>
          <w:sz w:val="24"/>
          <w:szCs w:val="24"/>
        </w:rPr>
        <w:t xml:space="preserve">с за опазването на ландшафта срещу изменението на климата и тяхната собствена устойчивост спрямо неблагоприятните последици от изменението на климата. До 31 декември 2023 г. влиза в сила изменен Закон за опазване на природата и ландшафта и законодателство </w:t>
      </w:r>
      <w:r>
        <w:rPr>
          <w:rFonts w:ascii="Times New Roman" w:hAnsi="Times New Roman"/>
          <w:noProof/>
          <w:sz w:val="24"/>
          <w:szCs w:val="24"/>
        </w:rPr>
        <w:t xml:space="preserve">в областта на водите. Това законодателство укрепва институционалната защита на природата, свежда до минимум конфликтите на компетентност в рамките на защитените територии, опростява системата за защита, интегрира мрежите от защитени територии (национални, </w:t>
      </w:r>
      <w:r>
        <w:rPr>
          <w:rFonts w:ascii="Times New Roman" w:hAnsi="Times New Roman"/>
          <w:noProof/>
          <w:sz w:val="24"/>
          <w:szCs w:val="24"/>
        </w:rPr>
        <w:t>европейски и международни) и създава условия за зониране на националните паркове. Резултатът е модерна система с основна цел опазване на природата и биологичното разнообразие в съответните територии, като се гарантира стабилен дългосрочен принос на екосист</w:t>
      </w:r>
      <w:r>
        <w:rPr>
          <w:rFonts w:ascii="Times New Roman" w:hAnsi="Times New Roman"/>
          <w:noProof/>
          <w:sz w:val="24"/>
          <w:szCs w:val="24"/>
        </w:rPr>
        <w:t>емите за адаптиране към изменението на климата и смекчаване на последиците от него. Същевременно реформата ще позволи съживяването на водните течения и ще създаде възможности за екологично управление, възстановяване на речното пространство и постепенна защ</w:t>
      </w:r>
      <w:r>
        <w:rPr>
          <w:rFonts w:ascii="Times New Roman" w:hAnsi="Times New Roman"/>
          <w:noProof/>
          <w:sz w:val="24"/>
          <w:szCs w:val="24"/>
        </w:rPr>
        <w:t xml:space="preserve">ита от наводнения, като се вземат предвид опазването на природата и задържането на водите в селските райони.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Изпълнението на реформата приключва до 31 декември 2023 г. </w:t>
      </w:r>
    </w:p>
    <w:p w:rsidR="00D4086A" w:rsidRDefault="00D4086A">
      <w:pPr>
        <w:spacing w:before="120" w:after="120" w:line="240" w:lineRule="auto"/>
        <w:jc w:val="both"/>
        <w:rPr>
          <w:rFonts w:ascii="Times New Roman" w:hAnsi="Times New Roman"/>
          <w:noProof/>
          <w:sz w:val="24"/>
          <w:szCs w:val="24"/>
        </w:rPr>
      </w:pP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 xml:space="preserve">Инвестиция 1 за адаптиране на регионите към изменението на климата с акцент върху </w:t>
      </w:r>
      <w:r>
        <w:rPr>
          <w:rFonts w:ascii="Times New Roman" w:hAnsi="Times New Roman"/>
          <w:b/>
          <w:bCs/>
          <w:noProof/>
          <w:sz w:val="24"/>
          <w:szCs w:val="24"/>
        </w:rPr>
        <w:t>опазването на природата и развитието на биологичното разнообразие.</w:t>
      </w:r>
    </w:p>
    <w:p w:rsidR="00D4086A" w:rsidRDefault="00D5307E">
      <w:pPr>
        <w:spacing w:before="120" w:after="120" w:line="240" w:lineRule="auto"/>
        <w:jc w:val="both"/>
        <w:rPr>
          <w:rFonts w:ascii="Arial Narrow" w:eastAsia="Arial Narrow" w:hAnsi="Arial Narrow" w:cs="Arial Narrow"/>
          <w:noProof/>
          <w:color w:val="000000"/>
        </w:rPr>
      </w:pPr>
      <w:r>
        <w:rPr>
          <w:rFonts w:ascii="Times New Roman" w:hAnsi="Times New Roman"/>
          <w:noProof/>
          <w:sz w:val="24"/>
          <w:szCs w:val="24"/>
        </w:rPr>
        <w:t>Целта на инвестицията е да се гарантира дългосрочният устойчив принос на екосистемите за адаптиране към изменението на климата и смекчаване на последиците от него (смекчаване на наводненият</w:t>
      </w:r>
      <w:r>
        <w:rPr>
          <w:rFonts w:ascii="Times New Roman" w:hAnsi="Times New Roman"/>
          <w:noProof/>
          <w:sz w:val="24"/>
          <w:szCs w:val="24"/>
        </w:rPr>
        <w:t>а, предотвратяване на засушаването) чрез защита на екосистемите. Преобразуването на собствеността дава възможност за покриване на нови площи с най-висока степен на защита, което повишава устойчивостта на екосистемите. Ограничаването на дърводобива и развит</w:t>
      </w:r>
      <w:r>
        <w:rPr>
          <w:rFonts w:ascii="Times New Roman" w:hAnsi="Times New Roman"/>
          <w:noProof/>
          <w:sz w:val="24"/>
          <w:szCs w:val="24"/>
        </w:rPr>
        <w:t>ието на опазването на природата правят възможно предотвратяването на наводнения и суши, трансформирането на регионите от интензивно използване на природните ресурси в меки туризъм с по-висока добавена стойност, като същевременно се укрепват екосистемните у</w:t>
      </w:r>
      <w:r>
        <w:rPr>
          <w:rFonts w:ascii="Times New Roman" w:hAnsi="Times New Roman"/>
          <w:noProof/>
          <w:sz w:val="24"/>
          <w:szCs w:val="24"/>
        </w:rPr>
        <w:t>слуги. Обновените водни течения, включително влажните зони, гарантират задържането на водите в селските райони и постепенното им освобождаване. Те се превръщат във важни елементи на ландшафта в подкрепа на опазването на биологичното разнообразие и възстано</w:t>
      </w:r>
      <w:r>
        <w:rPr>
          <w:rFonts w:ascii="Times New Roman" w:hAnsi="Times New Roman"/>
          <w:noProof/>
          <w:sz w:val="24"/>
          <w:szCs w:val="24"/>
        </w:rPr>
        <w:t xml:space="preserve">вяването на местообитанията. </w:t>
      </w:r>
    </w:p>
    <w:p w:rsidR="00D4086A" w:rsidRDefault="00D5307E">
      <w:p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Изпълнението на инвестицията трябва да приключи до 30 юни 2026 г. </w:t>
      </w:r>
    </w:p>
    <w:p w:rsidR="00D4086A" w:rsidRDefault="00D4086A">
      <w:pPr>
        <w:spacing w:before="120" w:after="0" w:line="240" w:lineRule="auto"/>
        <w:jc w:val="both"/>
        <w:rPr>
          <w:rFonts w:ascii="Times New Roman" w:eastAsia="Times New Roman" w:hAnsi="Times New Roman"/>
          <w:noProof/>
          <w:sz w:val="24"/>
          <w:szCs w:val="24"/>
        </w:rPr>
        <w:sectPr w:rsidR="00D4086A">
          <w:headerReference w:type="even" r:id="rId66"/>
          <w:headerReference w:type="default" r:id="rId67"/>
          <w:footerReference w:type="even" r:id="rId68"/>
          <w:footerReference w:type="default" r:id="rId69"/>
          <w:headerReference w:type="first" r:id="rId70"/>
          <w:footerReference w:type="first" r:id="rId71"/>
          <w:pgSz w:w="11907" w:h="16839"/>
          <w:pgMar w:top="1134" w:right="1418" w:bottom="1134" w:left="1418" w:header="709" w:footer="709" w:gutter="0"/>
          <w:cols w:space="720"/>
          <w:docGrid w:linePitch="360"/>
        </w:sectPr>
      </w:pPr>
    </w:p>
    <w:p w:rsidR="00D4086A" w:rsidRDefault="00D5307E">
      <w:pPr>
        <w:framePr w:w="15588" w:wrap="auto" w:hAnchor="text"/>
        <w:spacing w:before="120" w:after="120" w:line="240" w:lineRule="auto"/>
        <w:ind w:left="850"/>
        <w:jc w:val="both"/>
        <w:rPr>
          <w:rFonts w:ascii="Times New Roman" w:hAnsi="Times New Roman"/>
          <w:noProof/>
          <w:sz w:val="24"/>
          <w:szCs w:val="24"/>
        </w:rPr>
      </w:pPr>
      <w:r>
        <w:rPr>
          <w:rFonts w:ascii="Times New Roman" w:hAnsi="Times New Roman"/>
          <w:b/>
          <w:bCs/>
          <w:noProof/>
          <w:sz w:val="24"/>
          <w:szCs w:val="24"/>
          <w:u w:val="single"/>
        </w:rPr>
        <w:t xml:space="preserve">A.2. </w:t>
      </w:r>
      <w:r>
        <w:rPr>
          <w:noProof/>
        </w:rPr>
        <w:tab/>
      </w:r>
      <w:r>
        <w:rPr>
          <w:rFonts w:ascii="Times New Roman" w:hAnsi="Times New Roman"/>
          <w:b/>
          <w:bCs/>
          <w:noProof/>
          <w:sz w:val="24"/>
          <w:szCs w:val="24"/>
          <w:u w:val="single"/>
        </w:rPr>
        <w:t xml:space="preserve">Ключови етапи, цели, показатели и график за мониторинг и изпълнение на безвъзмездната финансова </w:t>
      </w:r>
      <w:r>
        <w:rPr>
          <w:rFonts w:ascii="Times New Roman" w:hAnsi="Times New Roman"/>
          <w:b/>
          <w:bCs/>
          <w:noProof/>
          <w:sz w:val="24"/>
          <w:szCs w:val="24"/>
          <w:u w:val="single"/>
        </w:rPr>
        <w:t>подкрепа</w:t>
      </w:r>
    </w:p>
    <w:p w:rsidR="00D4086A" w:rsidRDefault="00D4086A">
      <w:pPr>
        <w:framePr w:w="15588" w:wrap="auto" w:hAnchor="text"/>
        <w:spacing w:before="120" w:after="120" w:line="240" w:lineRule="auto"/>
        <w:ind w:left="850"/>
        <w:jc w:val="both"/>
        <w:rPr>
          <w:rFonts w:ascii="Times New Roman" w:hAnsi="Times New Roman"/>
          <w:b/>
          <w:bCs/>
          <w:noProof/>
          <w:sz w:val="24"/>
          <w:szCs w:val="24"/>
          <w:u w:val="single"/>
        </w:rPr>
      </w:pPr>
    </w:p>
    <w:tbl>
      <w:tblPr>
        <w:tblW w:w="0" w:type="auto"/>
        <w:tblInd w:w="135" w:type="dxa"/>
        <w:tblLayout w:type="fixed"/>
        <w:tblLook w:val="04A0" w:firstRow="1" w:lastRow="0" w:firstColumn="1" w:lastColumn="0" w:noHBand="0" w:noVBand="1"/>
      </w:tblPr>
      <w:tblGrid>
        <w:gridCol w:w="824"/>
        <w:gridCol w:w="1381"/>
        <w:gridCol w:w="845"/>
        <w:gridCol w:w="1031"/>
        <w:gridCol w:w="1562"/>
        <w:gridCol w:w="1418"/>
        <w:gridCol w:w="1276"/>
        <w:gridCol w:w="1134"/>
        <w:gridCol w:w="992"/>
        <w:gridCol w:w="709"/>
        <w:gridCol w:w="3678"/>
      </w:tblGrid>
      <w:tr w:rsidR="00D4086A">
        <w:trPr>
          <w:trHeight w:val="690"/>
        </w:trPr>
        <w:tc>
          <w:tcPr>
            <w:tcW w:w="824"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381"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Свързана мярка (реформа или инвестиция)</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845"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Ключов етап / Цел</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031"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Наименование</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562"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w:t>
            </w:r>
            <w:r>
              <w:rPr>
                <w:rFonts w:ascii="Times New Roman" w:hAnsi="Times New Roman"/>
                <w:noProof/>
                <w:sz w:val="20"/>
                <w:szCs w:val="20"/>
              </w:rPr>
              <w:t xml:space="preserve">  </w:t>
            </w:r>
            <w:r>
              <w:rPr>
                <w:rFonts w:ascii="Times New Roman" w:hAnsi="Times New Roman"/>
                <w:b/>
                <w:bCs/>
                <w:noProof/>
                <w:sz w:val="20"/>
                <w:szCs w:val="20"/>
              </w:rPr>
              <w:t xml:space="preserve"> (за ключовите етапи)</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3828"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 (за целите)</w:t>
            </w:r>
          </w:p>
        </w:tc>
        <w:tc>
          <w:tcPr>
            <w:tcW w:w="1701" w:type="dxa"/>
            <w:gridSpan w:val="2"/>
            <w:tcBorders>
              <w:top w:val="single" w:sz="8" w:space="0" w:color="auto"/>
              <w:left w:val="nil"/>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Ориентировъчен график за приключване </w:t>
            </w:r>
          </w:p>
        </w:tc>
        <w:tc>
          <w:tcPr>
            <w:tcW w:w="3678" w:type="dxa"/>
            <w:vMerge w:val="restart"/>
            <w:tcBorders>
              <w:top w:val="single" w:sz="8" w:space="0" w:color="auto"/>
              <w:left w:val="nil"/>
              <w:right w:val="single" w:sz="8" w:space="0" w:color="auto"/>
            </w:tcBorders>
            <w:shd w:val="clear" w:color="auto" w:fill="BDD7EE"/>
            <w:vAlign w:val="center"/>
          </w:tcPr>
          <w:p w:rsidR="00D4086A" w:rsidRDefault="00D5307E">
            <w:pPr>
              <w:rPr>
                <w:rFonts w:ascii="Times New Roman" w:hAnsi="Times New Roman"/>
                <w:noProof/>
                <w:sz w:val="20"/>
                <w:szCs w:val="20"/>
              </w:rPr>
            </w:pPr>
            <w:r>
              <w:rPr>
                <w:rFonts w:ascii="Times New Roman" w:hAnsi="Times New Roman"/>
                <w:b/>
                <w:bCs/>
                <w:noProof/>
                <w:sz w:val="20"/>
                <w:szCs w:val="20"/>
              </w:rPr>
              <w:t xml:space="preserve">Описание и ясно определяне на всеки ключов </w:t>
            </w:r>
            <w:r>
              <w:rPr>
                <w:rFonts w:ascii="Times New Roman" w:hAnsi="Times New Roman"/>
                <w:b/>
                <w:bCs/>
                <w:noProof/>
                <w:sz w:val="20"/>
                <w:szCs w:val="20"/>
              </w:rPr>
              <w:t>етап и цел</w:t>
            </w:r>
          </w:p>
          <w:p w:rsidR="00D4086A" w:rsidRDefault="00D5307E">
            <w:pPr>
              <w:rPr>
                <w:rFonts w:ascii="Times New Roman" w:hAnsi="Times New Roman"/>
                <w:noProof/>
                <w:sz w:val="20"/>
                <w:szCs w:val="20"/>
              </w:rPr>
            </w:pPr>
            <w:r>
              <w:rPr>
                <w:rFonts w:ascii="Times New Roman" w:hAnsi="Times New Roman"/>
                <w:noProof/>
                <w:sz w:val="20"/>
                <w:szCs w:val="20"/>
              </w:rPr>
              <w:t xml:space="preserve"> </w:t>
            </w:r>
          </w:p>
        </w:tc>
      </w:tr>
      <w:tr w:rsidR="00D4086A">
        <w:trPr>
          <w:trHeight w:val="660"/>
        </w:trPr>
        <w:tc>
          <w:tcPr>
            <w:tcW w:w="824"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381"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845"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031"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562"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Мерна единица</w:t>
            </w:r>
          </w:p>
        </w:tc>
        <w:tc>
          <w:tcPr>
            <w:tcW w:w="1276" w:type="dxa"/>
            <w:tcBorders>
              <w:top w:val="nil"/>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Контекст</w:t>
            </w:r>
          </w:p>
        </w:tc>
        <w:tc>
          <w:tcPr>
            <w:tcW w:w="1134"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Цел</w:t>
            </w:r>
          </w:p>
        </w:tc>
        <w:tc>
          <w:tcPr>
            <w:tcW w:w="992"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Тримесечие</w:t>
            </w:r>
          </w:p>
        </w:tc>
        <w:tc>
          <w:tcPr>
            <w:tcW w:w="709"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Година</w:t>
            </w:r>
          </w:p>
        </w:tc>
        <w:tc>
          <w:tcPr>
            <w:tcW w:w="3678" w:type="dxa"/>
            <w:vMerge/>
            <w:tcBorders>
              <w:left w:val="single" w:sz="8" w:space="0" w:color="auto"/>
              <w:bottom w:val="single" w:sz="8" w:space="0" w:color="auto"/>
              <w:right w:val="single" w:sz="8" w:space="0" w:color="auto"/>
            </w:tcBorders>
            <w:shd w:val="clear" w:color="auto" w:fill="BDD7EE"/>
            <w:vAlign w:val="center"/>
          </w:tcPr>
          <w:p w:rsidR="00D4086A" w:rsidRDefault="00D4086A">
            <w:pPr>
              <w:rPr>
                <w:rFonts w:ascii="Times New Roman" w:hAnsi="Times New Roman"/>
                <w:noProof/>
                <w:sz w:val="20"/>
                <w:szCs w:val="20"/>
              </w:rPr>
            </w:pPr>
          </w:p>
        </w:tc>
      </w:tr>
      <w:tr w:rsidR="00D4086A">
        <w:trPr>
          <w:trHeight w:val="1395"/>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5 – Адаптиране към изменението на климата – реформа 1: Реформа на териториалното устройство</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реформата на териториалното устройство </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Закона за устройство на територията от парламента</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До</w:t>
            </w:r>
            <w:r>
              <w:rPr>
                <w:rFonts w:ascii="Times New Roman" w:hAnsi="Times New Roman"/>
                <w:noProof/>
                <w:color w:val="006100"/>
                <w:sz w:val="20"/>
                <w:szCs w:val="20"/>
              </w:rPr>
              <w:t xml:space="preserve"> 31 декември 2022 г. Министерството на околната среда изготвя закон, който след това ще бъде одобрен от Националния съвет на Словашката република. Актът се придружава до 31 декември 2022 г. от разработването на методика за оценка на стойността на ландшафта</w:t>
            </w:r>
            <w:r>
              <w:rPr>
                <w:rFonts w:ascii="Times New Roman" w:hAnsi="Times New Roman"/>
                <w:noProof/>
                <w:color w:val="006100"/>
                <w:sz w:val="20"/>
                <w:szCs w:val="20"/>
              </w:rPr>
              <w:t xml:space="preserve"> и екосистемите, която има за цел да гарантира, че съображенията, свързани с адаптирането към изменението на климата, са взети предвид при вземането на териториални решения и строителните производства, като се насърчава прилагането на природосъобразни мерк</w:t>
            </w:r>
            <w:r>
              <w:rPr>
                <w:rFonts w:ascii="Times New Roman" w:hAnsi="Times New Roman"/>
                <w:noProof/>
                <w:color w:val="006100"/>
                <w:sz w:val="20"/>
                <w:szCs w:val="20"/>
              </w:rPr>
              <w:t>и за предотвратяване на наводнения и мерки за предотвратяване на сушата и загубата на биологично разнообразие.</w:t>
            </w:r>
          </w:p>
        </w:tc>
      </w:tr>
      <w:tr w:rsidR="00D4086A">
        <w:trPr>
          <w:trHeight w:val="1905"/>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5 – Адаптиране спрямо изменението на климата – реформа 2: Реформиране на опазването на природата и управлението на водите в селските райони</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По-ефективно прилагане на мерките за опазване на природата в ландшафта в защитените зони и съживяване на водните течения</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Влизане в сила на изменения Закон за опазване на природата и ландшафта и на законодателството в областта на водите</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2023</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Министерството на околната среда подготвя изменение на Закона за опазване на природата, което влиза в сила през януари 2022 г. Това ще бъде последвано от разработване на предложение за нов модел за функциониране на защитените територии (до 31 дек</w:t>
            </w:r>
            <w:r>
              <w:rPr>
                <w:rFonts w:ascii="Times New Roman" w:hAnsi="Times New Roman"/>
                <w:noProof/>
                <w:color w:val="006100"/>
                <w:sz w:val="20"/>
                <w:szCs w:val="20"/>
              </w:rPr>
              <w:t>ември 2022 г.). Реформата на управлението на водите в страната ще проправи пътя за съживяване на водните течения, като по този начин ще се повиши защитата от наводнения в страната. Министерството на околната среда изготвя нова концепция за политиката за во</w:t>
            </w:r>
            <w:r>
              <w:rPr>
                <w:rFonts w:ascii="Times New Roman" w:hAnsi="Times New Roman"/>
                <w:noProof/>
                <w:color w:val="006100"/>
                <w:sz w:val="20"/>
                <w:szCs w:val="20"/>
              </w:rPr>
              <w:t>дите до 31 декември 2022 г. и изменя Закона за водите до 31 декември 2023 г., като установява технически стандарти, които дават възможност за съживяване на водните течения по начин, който позволява максимално задържане на вода в страната, забавяне на изтич</w:t>
            </w:r>
            <w:r>
              <w:rPr>
                <w:rFonts w:ascii="Times New Roman" w:hAnsi="Times New Roman"/>
                <w:noProof/>
                <w:color w:val="006100"/>
                <w:sz w:val="20"/>
                <w:szCs w:val="20"/>
              </w:rPr>
              <w:t>ането на вода и възстановяване на запасите от подпочвени води.</w:t>
            </w:r>
          </w:p>
        </w:tc>
      </w:tr>
      <w:tr w:rsidR="00D4086A">
        <w:trPr>
          <w:trHeight w:val="75"/>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3</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5 – Адаптиране към изменението на климата – инвестиции 1: Адаптиране на регионите към изменението на климата с акцент върху опазването на природата и развитието на биологичното разнообразие</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Рехабилитация на водни течения (в километри рехабилитирани водни течения)</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52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2024</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Km рехабилитирани водни течения. От общата цел за рехабилитация на 57 км водни течения се рехабилитират най-малко 52 км.</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Групата за съживяване изготвя приоритети и определя точни раздели за възстановяване на потоците. </w:t>
            </w:r>
            <w:r>
              <w:rPr>
                <w:rFonts w:ascii="Times New Roman" w:hAnsi="Times New Roman"/>
                <w:noProof/>
                <w:sz w:val="20"/>
                <w:szCs w:val="20"/>
              </w:rPr>
              <w:t>Въз основа на техническата документация заявителят представя проекти периодично, считано от 30 юни 2022 г. до 31 декември 2023 г.</w:t>
            </w:r>
          </w:p>
        </w:tc>
      </w:tr>
      <w:tr w:rsidR="00D4086A">
        <w:trPr>
          <w:trHeight w:val="75"/>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4</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5 – Адаптиране към </w:t>
            </w:r>
            <w:r>
              <w:rPr>
                <w:rFonts w:ascii="Times New Roman" w:hAnsi="Times New Roman"/>
                <w:noProof/>
                <w:color w:val="006100"/>
                <w:sz w:val="20"/>
                <w:szCs w:val="20"/>
              </w:rPr>
              <w:t>изменението на климата – инвестиции 1: Адаптиране на регионите към изменението на климата с акцент върху опазването на природата и развитието на биологичното разнообразие</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Рехабилитация на водни течения</w:t>
            </w:r>
          </w:p>
          <w:p w:rsidR="00D4086A" w:rsidRDefault="00D5307E">
            <w:pPr>
              <w:rPr>
                <w:rFonts w:ascii="Times New Roman" w:hAnsi="Times New Roman"/>
                <w:noProof/>
                <w:sz w:val="20"/>
                <w:szCs w:val="20"/>
              </w:rPr>
            </w:pPr>
            <w:r>
              <w:rPr>
                <w:rFonts w:ascii="Times New Roman" w:hAnsi="Times New Roman"/>
                <w:noProof/>
                <w:color w:val="006100"/>
                <w:sz w:val="20"/>
                <w:szCs w:val="20"/>
              </w:rPr>
              <w:t>(в километри рехабилитирани водни течения)</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Km </w:t>
            </w:r>
            <w:r>
              <w:rPr>
                <w:rFonts w:ascii="Times New Roman" w:hAnsi="Times New Roman"/>
                <w:noProof/>
                <w:color w:val="006100"/>
                <w:sz w:val="20"/>
                <w:szCs w:val="20"/>
              </w:rPr>
              <w:t>рехабилитирани водни течения</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52</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90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2026</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Km рехабилитирани водни течения. От общата цел за рехабилитация на 97 км водни течения се рехабилитират най-малко 90 км.</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Групата за съживяване изготвя приоритети и определя точни раздели за възстановяване на </w:t>
            </w:r>
            <w:r>
              <w:rPr>
                <w:rFonts w:ascii="Times New Roman" w:hAnsi="Times New Roman"/>
                <w:noProof/>
                <w:color w:val="006100"/>
                <w:sz w:val="20"/>
                <w:szCs w:val="20"/>
              </w:rPr>
              <w:t xml:space="preserve">потоците. Въз основа на техническата документация заявителят представя проекти въз основа на принципа „g“ от 30 юни 2023 г. до 31 декември 2025 г.   </w:t>
            </w:r>
          </w:p>
        </w:tc>
      </w:tr>
      <w:tr w:rsidR="00D4086A">
        <w:trPr>
          <w:trHeight w:val="1590"/>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5</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6 – Адаптиране към изменението на климата – инвестиции 1: Адаптиране на регионите към изменението на </w:t>
            </w:r>
            <w:r>
              <w:rPr>
                <w:rFonts w:ascii="Times New Roman" w:hAnsi="Times New Roman"/>
                <w:noProof/>
                <w:color w:val="006100"/>
                <w:sz w:val="20"/>
                <w:szCs w:val="20"/>
              </w:rPr>
              <w:t>климата с акцент върху опазването на природата и развитието на биологичното разнообразие</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Заселване на имоти с частни собственици на земя (в площи в хектари)</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14000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2023</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От общата цел е да се постигнат населени места за площ от 14750 хектара, като населените места са достигнати за най-малко 14000 ха.  </w:t>
            </w:r>
          </w:p>
          <w:p w:rsidR="00D4086A" w:rsidRDefault="00D5307E">
            <w:pPr>
              <w:rPr>
                <w:rFonts w:ascii="Times New Roman" w:hAnsi="Times New Roman"/>
                <w:noProof/>
                <w:sz w:val="20"/>
                <w:szCs w:val="20"/>
              </w:rPr>
            </w:pPr>
            <w:r>
              <w:rPr>
                <w:rFonts w:ascii="Times New Roman" w:hAnsi="Times New Roman"/>
                <w:noProof/>
                <w:color w:val="006100"/>
                <w:sz w:val="20"/>
                <w:szCs w:val="20"/>
              </w:rPr>
              <w:t>До 30 юни 2022 г. работна група към Министерството на околната среда и ŠOP SR изготвя методика за определяне на стойността</w:t>
            </w:r>
            <w:r>
              <w:rPr>
                <w:rFonts w:ascii="Times New Roman" w:hAnsi="Times New Roman"/>
                <w:noProof/>
                <w:color w:val="006100"/>
                <w:sz w:val="20"/>
                <w:szCs w:val="20"/>
              </w:rPr>
              <w:t xml:space="preserve"> и цената на земята. Поканите за закупуване на земя в защитени зони, предимно в национални паркове, се отправят въз основа на зоната/териториите, като се започне от 31 март 2023 г. и приключва до 30 юни 2023 г. </w:t>
            </w:r>
          </w:p>
        </w:tc>
      </w:tr>
      <w:tr w:rsidR="00D4086A">
        <w:trPr>
          <w:trHeight w:val="1260"/>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6</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6 – Адаптиране към изменението на климата</w:t>
            </w:r>
            <w:r>
              <w:rPr>
                <w:rFonts w:ascii="Times New Roman" w:hAnsi="Times New Roman"/>
                <w:noProof/>
                <w:color w:val="006100"/>
                <w:sz w:val="20"/>
                <w:szCs w:val="20"/>
              </w:rPr>
              <w:t xml:space="preserve"> – инвестиции 1: Адаптиране на регионите към изменението на климата с акцент върху опазването на природата и развитието на биологичното разнообразие</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Заселване на имоти с частни собственици на земя (в площи в хектари)</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14000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27000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2025</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От общата цел е да се постигнат населени места за площ от 29509 хектара, като населените места са достигнати за най-малко 27000 ха.  </w:t>
            </w:r>
          </w:p>
          <w:p w:rsidR="00D4086A" w:rsidRDefault="00D5307E">
            <w:pPr>
              <w:rPr>
                <w:rFonts w:ascii="Times New Roman" w:hAnsi="Times New Roman"/>
                <w:noProof/>
                <w:sz w:val="20"/>
                <w:szCs w:val="20"/>
              </w:rPr>
            </w:pPr>
            <w:r>
              <w:rPr>
                <w:rFonts w:ascii="Times New Roman" w:hAnsi="Times New Roman"/>
                <w:noProof/>
                <w:color w:val="006100"/>
                <w:sz w:val="20"/>
                <w:szCs w:val="20"/>
              </w:rPr>
              <w:t>До 30 септември 2022 г. работна група към Министерството на околната среда и ŠOP SR изготвя методика за определяне на стой</w:t>
            </w:r>
            <w:r>
              <w:rPr>
                <w:rFonts w:ascii="Times New Roman" w:hAnsi="Times New Roman"/>
                <w:noProof/>
                <w:color w:val="006100"/>
                <w:sz w:val="20"/>
                <w:szCs w:val="20"/>
              </w:rPr>
              <w:t>ността и цената на земята. Поканите за закупуване на земя в защитени зони, предимно в национални паркове, се отправят въз основа на зоната/териториите, като се започва от 30 юни 2022 г. и се приключва до 30 декември 2025 г.</w:t>
            </w:r>
          </w:p>
        </w:tc>
      </w:tr>
      <w:tr w:rsidR="00D4086A">
        <w:trPr>
          <w:trHeight w:val="1545"/>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7</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6 – Адаптиране към </w:t>
            </w:r>
            <w:r>
              <w:rPr>
                <w:rFonts w:ascii="Times New Roman" w:hAnsi="Times New Roman"/>
                <w:noProof/>
                <w:color w:val="006100"/>
                <w:sz w:val="20"/>
                <w:szCs w:val="20"/>
              </w:rPr>
              <w:t>изменението на климата – инвестиции 1: Адаптиране на регионите към изменението на климата с акцент върху опазването на природата и развитието на биологичното разнообразие</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Списък на избраните проекти за регионите Muránska Planina и Polonina</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Управителният съвет подбира проекти за два региона Muránska Planina и Polonina в съответствие с принципа на DNSH въз основа на открита дискусия със съответните местни участници.</w:t>
            </w:r>
          </w:p>
        </w:tc>
      </w:tr>
    </w:tbl>
    <w:p w:rsidR="00D4086A" w:rsidRDefault="00D4086A">
      <w:pPr>
        <w:framePr w:w="15588" w:wrap="auto" w:hAnchor="text"/>
        <w:spacing w:before="120" w:after="120" w:line="240" w:lineRule="auto"/>
        <w:jc w:val="both"/>
        <w:rPr>
          <w:rFonts w:ascii="Times New Roman" w:hAnsi="Times New Roman"/>
          <w:noProof/>
          <w:sz w:val="24"/>
          <w:szCs w:val="24"/>
        </w:rPr>
        <w:sectPr w:rsidR="00D4086A">
          <w:headerReference w:type="even" r:id="rId72"/>
          <w:headerReference w:type="default" r:id="rId73"/>
          <w:footerReference w:type="even" r:id="rId74"/>
          <w:footerReference w:type="default" r:id="rId75"/>
          <w:headerReference w:type="first" r:id="rId76"/>
          <w:footerReference w:type="first" r:id="rId77"/>
          <w:pgSz w:w="16839" w:h="11907" w:orient="landscape"/>
          <w:pgMar w:top="1418" w:right="1134" w:bottom="1418" w:left="851" w:header="709" w:footer="709" w:gutter="0"/>
          <w:cols w:space="720"/>
          <w:docGrid w:linePitch="360"/>
        </w:sectPr>
      </w:pPr>
    </w:p>
    <w:p w:rsidR="00D4086A" w:rsidRDefault="00D5307E">
      <w:pPr>
        <w:keepNext/>
        <w:tabs>
          <w:tab w:val="left" w:pos="993"/>
        </w:tabs>
        <w:spacing w:before="12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КОМПОНЕНТ 6: Достъпност, развитие и качество на приобщаващото образование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Целта на компонента е да се подобри достъпността и приобщаването на общото предучилищно и училищно образование в Словакия. Компонентът ще подобри достъпа до предучилищно образование</w:t>
      </w:r>
      <w:r>
        <w:rPr>
          <w:rFonts w:ascii="Times New Roman" w:hAnsi="Times New Roman"/>
          <w:noProof/>
          <w:sz w:val="24"/>
        </w:rPr>
        <w:t xml:space="preserve">, като гарантира, че децата на възраст 5 години са включени в предучилищната система, и като въведе законно право на предучилищно образование за 4- и 3-годишните. Компонентът е да се реформира системата за финансиране на предучилищното образование и да се </w:t>
      </w:r>
      <w:r>
        <w:rPr>
          <w:rFonts w:ascii="Times New Roman" w:hAnsi="Times New Roman"/>
          <w:noProof/>
          <w:sz w:val="24"/>
        </w:rPr>
        <w:t>въведе система от приобщаващи мерки за подкрепа на образованието. Компонентът може да допринесе за намаляване на преждевременното напускане на училище чрез насърчаване на училищната система за консултации и консултации в прогимназиалния етап на основното о</w:t>
      </w:r>
      <w:r>
        <w:rPr>
          <w:rFonts w:ascii="Times New Roman" w:hAnsi="Times New Roman"/>
          <w:noProof/>
          <w:sz w:val="24"/>
        </w:rPr>
        <w:t>бразование и за подобряване на приобщаването и на ромските деца чрез ограничаване на сегрегацията в училищата. Компонентът коригира недостатъците в образователните резултати, дължащи се на пандемията, и помага на децата със специални образователни потребно</w:t>
      </w:r>
      <w:r>
        <w:rPr>
          <w:rFonts w:ascii="Times New Roman" w:hAnsi="Times New Roman"/>
          <w:noProof/>
          <w:sz w:val="24"/>
        </w:rPr>
        <w:t>сти чрез по-целенасочени мерки за подкрепа.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w:t>
      </w:r>
      <w:r>
        <w:rPr>
          <w:rFonts w:ascii="Times New Roman" w:hAnsi="Times New Roman"/>
          <w:noProof/>
          <w:sz w:val="24"/>
          <w:szCs w:val="24"/>
        </w:rPr>
        <w:t xml:space="preserve">ване на последиците, определени в плана за възстановяване и устойчивост в съответствие с Техническите насоки на DNSH (2021/C58/01).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Компонентът допринася за изпълнението на специфичните за всяка държава препоръки, отправени към Словакия през последните д</w:t>
      </w:r>
      <w:r>
        <w:rPr>
          <w:rFonts w:ascii="Times New Roman" w:hAnsi="Times New Roman"/>
          <w:noProof/>
          <w:sz w:val="24"/>
        </w:rPr>
        <w:t xml:space="preserve">ве години, относно необходимостта от </w:t>
      </w:r>
      <w:r>
        <w:rPr>
          <w:rFonts w:ascii="Times New Roman" w:hAnsi="Times New Roman"/>
          <w:i/>
          <w:noProof/>
          <w:sz w:val="24"/>
        </w:rPr>
        <w:t>подобряване на качеството и приобщаващия характер на образованието на всички равнища и насърчаване на уменията</w:t>
      </w:r>
      <w:r>
        <w:rPr>
          <w:rFonts w:ascii="Times New Roman" w:hAnsi="Times New Roman"/>
          <w:noProof/>
          <w:sz w:val="24"/>
        </w:rPr>
        <w:t>.</w:t>
      </w:r>
      <w:r>
        <w:rPr>
          <w:rFonts w:ascii="Times New Roman" w:hAnsi="Times New Roman"/>
          <w:iCs/>
          <w:noProof/>
          <w:sz w:val="24"/>
        </w:rPr>
        <w:t xml:space="preserve"> </w:t>
      </w:r>
      <w:r>
        <w:rPr>
          <w:rFonts w:ascii="Times New Roman" w:hAnsi="Times New Roman"/>
          <w:i/>
          <w:iCs/>
          <w:noProof/>
          <w:sz w:val="24"/>
        </w:rPr>
        <w:t xml:space="preserve">Да подобри достъпа до финансово достъпни и качествени грижи за децата и дългосрочни грижи. Да насърчи интеграцията на групите в неравностойно положение, по-специално ромите. </w:t>
      </w:r>
      <w:r>
        <w:rPr>
          <w:rFonts w:ascii="Times New Roman" w:hAnsi="Times New Roman"/>
          <w:noProof/>
          <w:sz w:val="24"/>
        </w:rPr>
        <w:t>(Специфична за всяка държава препоръка № 2/2019).</w:t>
      </w:r>
    </w:p>
    <w:p w:rsidR="00D4086A" w:rsidRDefault="00D5307E">
      <w:pPr>
        <w:spacing w:before="120" w:after="120" w:line="240" w:lineRule="auto"/>
        <w:jc w:val="both"/>
        <w:rPr>
          <w:rFonts w:ascii="Times New Roman" w:hAnsi="Times New Roman"/>
          <w:b/>
          <w:i/>
          <w:noProof/>
          <w:sz w:val="24"/>
        </w:rPr>
      </w:pPr>
      <w:r>
        <w:rPr>
          <w:rFonts w:ascii="Times New Roman" w:hAnsi="Times New Roman"/>
          <w:b/>
          <w:noProof/>
          <w:sz w:val="24"/>
          <w:u w:val="single"/>
        </w:rPr>
        <w:t xml:space="preserve">A.1. </w:t>
      </w:r>
      <w:r>
        <w:rPr>
          <w:rFonts w:ascii="Times New Roman" w:hAnsi="Times New Roman"/>
          <w:b/>
          <w:noProof/>
          <w:sz w:val="24"/>
          <w:u w:val="single"/>
        </w:rPr>
        <w:tab/>
        <w:t>Описание на реформите и ин</w:t>
      </w:r>
      <w:r>
        <w:rPr>
          <w:rFonts w:ascii="Times New Roman" w:hAnsi="Times New Roman"/>
          <w:b/>
          <w:noProof/>
          <w:sz w:val="24"/>
          <w:u w:val="single"/>
        </w:rPr>
        <w:t>вестициите за безвъзмездна финансова подкрепа</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Реформа 1: Осигуряване на условия за прилагане на задължително предучилищно образование за деца на възраст над 5 години и въвеждане на законно право на място в детска градина или други доставчици на предучилищн</w:t>
      </w:r>
      <w:r>
        <w:rPr>
          <w:rFonts w:ascii="Times New Roman" w:hAnsi="Times New Roman"/>
          <w:b/>
          <w:noProof/>
          <w:sz w:val="24"/>
        </w:rPr>
        <w:t xml:space="preserve">о образование от 3-годишна възраст. </w:t>
      </w:r>
      <w:r>
        <w:rPr>
          <w:rFonts w:ascii="Times New Roman" w:hAnsi="Times New Roman"/>
          <w:noProof/>
          <w:sz w:val="24"/>
        </w:rPr>
        <w:t>С реформата се въвеждат измененията на съответните законодателни разпоредби, с които се въвежда законовото право децата на тригодишна възраст да бъдат приети в детска градина или в друго заведение, предоставящо предучили</w:t>
      </w:r>
      <w:r>
        <w:rPr>
          <w:rFonts w:ascii="Times New Roman" w:hAnsi="Times New Roman"/>
          <w:noProof/>
          <w:sz w:val="24"/>
        </w:rPr>
        <w:t xml:space="preserve">щно образование. Очаква се реформата да промени предписателното финансиране за детските градини въз основа на реалните разходи за персонал и оперативни разходи на съответното съоръжение. Преподавателският състав и специализираният персонал са задължени да </w:t>
      </w:r>
      <w:r>
        <w:rPr>
          <w:rFonts w:ascii="Times New Roman" w:hAnsi="Times New Roman"/>
          <w:noProof/>
          <w:sz w:val="24"/>
        </w:rPr>
        <w:t>повишават уменията си до висше образование в учебната програма за ранно и предучилищно образование. Реформата включва и мерки за увеличаване на капацитета на детските градини, така че всяко дете на възраст между три години и включено в задължителното образ</w:t>
      </w:r>
      <w:r>
        <w:rPr>
          <w:rFonts w:ascii="Times New Roman" w:hAnsi="Times New Roman"/>
          <w:noProof/>
          <w:sz w:val="24"/>
        </w:rPr>
        <w:t>ование да може да участва в предучилищно образование до 1 септември 2025 г. Целта е да се осигурят най-малко 12 352 места в съоръженията, като същевременно се постигат средно най-малко 30 % от икономиите на първична енергия в реновираните помещения.</w:t>
      </w:r>
    </w:p>
    <w:p w:rsidR="00D4086A" w:rsidRDefault="00D5307E">
      <w:pPr>
        <w:tabs>
          <w:tab w:val="left" w:pos="993"/>
        </w:tabs>
        <w:spacing w:before="120" w:after="120" w:line="240" w:lineRule="auto"/>
        <w:jc w:val="both"/>
        <w:rPr>
          <w:rFonts w:ascii="Times New Roman" w:hAnsi="Times New Roman"/>
          <w:noProof/>
          <w:sz w:val="24"/>
        </w:rPr>
      </w:pPr>
      <w:r>
        <w:rPr>
          <w:rFonts w:ascii="Times New Roman" w:hAnsi="Times New Roman"/>
          <w:noProof/>
          <w:sz w:val="24"/>
        </w:rPr>
        <w:t>Изпълн</w:t>
      </w:r>
      <w:r>
        <w:rPr>
          <w:rFonts w:ascii="Times New Roman" w:hAnsi="Times New Roman"/>
          <w:noProof/>
          <w:sz w:val="24"/>
        </w:rPr>
        <w:t>ението на реформата приключва до 31 декември 2025 г.</w:t>
      </w:r>
    </w:p>
    <w:p w:rsidR="00D4086A" w:rsidRDefault="00D5307E">
      <w:pPr>
        <w:tabs>
          <w:tab w:val="left" w:pos="993"/>
        </w:tabs>
        <w:spacing w:before="120" w:after="120" w:line="240" w:lineRule="auto"/>
        <w:jc w:val="both"/>
        <w:rPr>
          <w:rFonts w:ascii="Times New Roman" w:hAnsi="Times New Roman"/>
          <w:noProof/>
          <w:sz w:val="24"/>
        </w:rPr>
      </w:pPr>
      <w:r>
        <w:rPr>
          <w:rFonts w:ascii="Times New Roman" w:hAnsi="Times New Roman"/>
          <w:noProof/>
          <w:sz w:val="24"/>
        </w:rPr>
        <w:br w:type="page"/>
      </w:r>
      <w:r>
        <w:rPr>
          <w:rFonts w:ascii="Times New Roman" w:hAnsi="Times New Roman"/>
          <w:b/>
          <w:noProof/>
          <w:sz w:val="24"/>
        </w:rPr>
        <w:t xml:space="preserve">Реформа 2: Определянето на понятието „специални образователни потребности на децата и учениците“ и разработването на модел за допустими мерки за подкрепа в образованието, включително тяхната система за </w:t>
      </w:r>
      <w:r>
        <w:rPr>
          <w:rFonts w:ascii="Times New Roman" w:hAnsi="Times New Roman"/>
          <w:b/>
          <w:noProof/>
          <w:sz w:val="24"/>
        </w:rPr>
        <w:t>финансиране.</w:t>
      </w:r>
      <w:r>
        <w:rPr>
          <w:rFonts w:ascii="Times New Roman" w:hAnsi="Times New Roman"/>
          <w:i/>
          <w:noProof/>
          <w:sz w:val="24"/>
        </w:rPr>
        <w:t xml:space="preserve"> </w:t>
      </w:r>
      <w:r>
        <w:rPr>
          <w:rFonts w:ascii="Times New Roman" w:hAnsi="Times New Roman"/>
          <w:noProof/>
          <w:sz w:val="24"/>
        </w:rPr>
        <w:t>Реформата променя определението за специални образователни потребности на учениците чрез ново определение за дете или ученик, изправено пред пречки пред достъпа до образование, образование и обучение, които се нуждаят от осигуряване и прилаган</w:t>
      </w:r>
      <w:r>
        <w:rPr>
          <w:rFonts w:ascii="Times New Roman" w:hAnsi="Times New Roman"/>
          <w:noProof/>
          <w:sz w:val="24"/>
        </w:rPr>
        <w:t>е на мерки за подкрепа, за да реализират своя образователен потенциал. Създава се вертикален модел на подпомагане чрез въвеждане на нови допустими мерки за подпомагане за всички деца. За да се осъществи реформата, на учителите се предоставят учебни и метод</w:t>
      </w:r>
      <w:r>
        <w:rPr>
          <w:rFonts w:ascii="Times New Roman" w:hAnsi="Times New Roman"/>
          <w:noProof/>
          <w:sz w:val="24"/>
        </w:rPr>
        <w:t>ологични материали чрез програми за допълнително обучение. 10 000 учители и специализиран персонал ще участват в обучения и други информационни дейности в рамките на тази реформа.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31 декември 2025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Реформа 3: Реформ</w:t>
      </w:r>
      <w:r>
        <w:rPr>
          <w:rFonts w:ascii="Times New Roman" w:hAnsi="Times New Roman"/>
          <w:b/>
          <w:noProof/>
          <w:sz w:val="24"/>
        </w:rPr>
        <w:t xml:space="preserve">иране на системата за консултиране и превенция и осигуряване на системно събиране на данни в областта на насърчаването на психичното здраве за деца, ученици и студенти. </w:t>
      </w:r>
      <w:r>
        <w:rPr>
          <w:rFonts w:ascii="Times New Roman" w:hAnsi="Times New Roman"/>
          <w:noProof/>
          <w:sz w:val="24"/>
        </w:rPr>
        <w:t>Целта на реформата е да се преместят новосъздадените центрове за консултации и превенци</w:t>
      </w:r>
      <w:r>
        <w:rPr>
          <w:rFonts w:ascii="Times New Roman" w:hAnsi="Times New Roman"/>
          <w:noProof/>
          <w:sz w:val="24"/>
        </w:rPr>
        <w:t>я (CPP), така че те да работят по-близо до училищата. Чрез изменение на съответните правни актове тези центрове предоставят професионални дейности, без да определят неблагоприятното здравословно състояние, какъвто е случаят понастоящем, което води до дискр</w:t>
      </w:r>
      <w:r>
        <w:rPr>
          <w:rFonts w:ascii="Times New Roman" w:hAnsi="Times New Roman"/>
          <w:noProof/>
          <w:sz w:val="24"/>
        </w:rPr>
        <w:t>иминация. Промяната в системата за консултации се придружава от допълнителни мерки за подкрепа, като например: промяна във финансирането въз основа на професионалните дейности.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31 март 2023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 xml:space="preserve">Реформа 4: Прилагане на </w:t>
      </w:r>
      <w:r>
        <w:rPr>
          <w:rFonts w:ascii="Times New Roman" w:hAnsi="Times New Roman"/>
          <w:b/>
          <w:noProof/>
          <w:sz w:val="24"/>
        </w:rPr>
        <w:t xml:space="preserve">инструменти за предотвратяване на преждевременното напускане на училище и адаптиране на програмата за обучение от тип F. </w:t>
      </w:r>
      <w:r>
        <w:rPr>
          <w:rFonts w:ascii="Times New Roman" w:hAnsi="Times New Roman"/>
          <w:noProof/>
          <w:sz w:val="24"/>
        </w:rPr>
        <w:t>Реформата се състои в промени в съответните законодателни разпоредби, насочени към увеличаване на възможността младите хора, без да зав</w:t>
      </w:r>
      <w:r>
        <w:rPr>
          <w:rFonts w:ascii="Times New Roman" w:hAnsi="Times New Roman"/>
          <w:noProof/>
          <w:sz w:val="24"/>
        </w:rPr>
        <w:t>ършват прогимназиално образование, да постигнат по-висока степен на образование, като предвидят възможността за завършване на прогимназиален етап на средното образование в средните професионални училища (NSOV) в комбинирана програма от две и три години. За</w:t>
      </w:r>
      <w:r>
        <w:rPr>
          <w:rFonts w:ascii="Times New Roman" w:hAnsi="Times New Roman"/>
          <w:noProof/>
          <w:sz w:val="24"/>
        </w:rPr>
        <w:t>конодателните изменения също така оптимизират програмите за обучение от тип F, като разширяват обхвата на задължението за определяне на плановете за ефективност на средното образование, така че да обхванат учебните дисциплини от прогимназиалния етап на сре</w:t>
      </w:r>
      <w:r>
        <w:rPr>
          <w:rFonts w:ascii="Times New Roman" w:hAnsi="Times New Roman"/>
          <w:noProof/>
          <w:sz w:val="24"/>
        </w:rPr>
        <w:t>дното образование. След това, въз основа на предложението за пазара на труда, съдържанието на програмите за обучение от тип F се коригира. Очаква се най-малко 30 % от прогимназиалните професионални училища (NSOV) да се приведат в съответствие с предложение</w:t>
      </w:r>
      <w:r>
        <w:rPr>
          <w:rFonts w:ascii="Times New Roman" w:hAnsi="Times New Roman"/>
          <w:noProof/>
          <w:sz w:val="24"/>
        </w:rPr>
        <w:t>то на пазара на труда до 30 юни 2025 г.</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Очаква се реформата да започне до 31 март 2023 г. и да приключи до 30 юни 2025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Реформа 5: Насърчаване на премахването на сегрегацията в училищата</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Основната цел на реформата е да се въведе правно определение за се</w:t>
      </w:r>
      <w:r>
        <w:rPr>
          <w:rFonts w:ascii="Times New Roman" w:hAnsi="Times New Roman"/>
          <w:noProof/>
          <w:sz w:val="24"/>
        </w:rPr>
        <w:t>грегация, което се очаква да се прилага във всяко училище в Словакия. Премахването на сегрегацията в училищата се осъществява чрез разработване на методологични насоки за различните участници в образованието (като творци, училища и училищни съоръжения, дир</w:t>
      </w:r>
      <w:r>
        <w:rPr>
          <w:rFonts w:ascii="Times New Roman" w:hAnsi="Times New Roman"/>
          <w:noProof/>
          <w:sz w:val="24"/>
        </w:rPr>
        <w:t xml:space="preserve">ектори и учители) за предотвратяване и премахване на сегрегираното образование. Приетата методика се прилага във всяко училище.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31 декември 2025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Реформа 6:</w:t>
      </w:r>
      <w:r>
        <w:rPr>
          <w:rFonts w:ascii="Times New Roman" w:hAnsi="Times New Roman"/>
          <w:b/>
          <w:i/>
          <w:noProof/>
          <w:sz w:val="24"/>
        </w:rPr>
        <w:t xml:space="preserve"> </w:t>
      </w:r>
      <w:r>
        <w:rPr>
          <w:rFonts w:ascii="Times New Roman" w:hAnsi="Times New Roman"/>
          <w:b/>
          <w:noProof/>
          <w:sz w:val="24"/>
        </w:rPr>
        <w:t>Компенсаторни мерки за смекчаване на въздействието на пан</w:t>
      </w:r>
      <w:r>
        <w:rPr>
          <w:rFonts w:ascii="Times New Roman" w:hAnsi="Times New Roman"/>
          <w:b/>
          <w:noProof/>
          <w:sz w:val="24"/>
        </w:rPr>
        <w:t xml:space="preserve">демията върху образованието за учениците в началните и средните училища. </w:t>
      </w:r>
      <w:r>
        <w:rPr>
          <w:rFonts w:ascii="Times New Roman" w:hAnsi="Times New Roman"/>
          <w:noProof/>
          <w:sz w:val="24"/>
        </w:rPr>
        <w:t xml:space="preserve">С реформата се създава програма за обучение главно за ученици, изложени на риск от неуспех на училищните изпити поради ограничените възможности за участие в образованието по време на </w:t>
      </w:r>
      <w:r>
        <w:rPr>
          <w:rFonts w:ascii="Times New Roman" w:hAnsi="Times New Roman"/>
          <w:noProof/>
          <w:sz w:val="24"/>
        </w:rPr>
        <w:t xml:space="preserve">пандемията. Тя се съсредоточава по-специално върху теми от така наречените „основни образователни области“. Училището осигурява подбора на ученици, изложени на риск от неуспех в училище, както и комуникацията със законните представители на учениците.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За д</w:t>
      </w:r>
      <w:r>
        <w:rPr>
          <w:rFonts w:ascii="Times New Roman" w:hAnsi="Times New Roman"/>
          <w:noProof/>
          <w:sz w:val="24"/>
        </w:rPr>
        <w:t>а се справи с проблема с липсата на изчерпателни данни за обучението от разстояние, Министерството на образованието отправя покана за провеждане на задълбочени педагогически изследвания за анализ на въздействието на пандемията върху образованието и последи</w:t>
      </w:r>
      <w:r>
        <w:rPr>
          <w:rFonts w:ascii="Times New Roman" w:hAnsi="Times New Roman"/>
          <w:noProof/>
          <w:sz w:val="24"/>
        </w:rPr>
        <w:t>ците от нея за образователните политики.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Очаква се реформата да започне до 30 септември 2021 г. и да приключи до 31 декември 2024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 xml:space="preserve">Инвестиция 1: Премахване на бариерите в училищните сгради. </w:t>
      </w:r>
      <w:r>
        <w:rPr>
          <w:rFonts w:ascii="Times New Roman" w:hAnsi="Times New Roman"/>
          <w:noProof/>
          <w:sz w:val="24"/>
        </w:rPr>
        <w:t>Целта е да се премахнат физическите, информационните и технологи</w:t>
      </w:r>
      <w:r>
        <w:rPr>
          <w:rFonts w:ascii="Times New Roman" w:hAnsi="Times New Roman"/>
          <w:noProof/>
          <w:sz w:val="24"/>
        </w:rPr>
        <w:t>чните бариери в училището в 252 големи средни училища, за да се даде възможност на децата в неравностойно положение да се обучават в приятна среда. Инвестицията се предхожда от: 1) комплексен анализ, за да се картографират нуждите от отстраняване и предост</w:t>
      </w:r>
      <w:r>
        <w:rPr>
          <w:rFonts w:ascii="Times New Roman" w:hAnsi="Times New Roman"/>
          <w:noProof/>
          <w:sz w:val="24"/>
        </w:rPr>
        <w:t xml:space="preserve">авяне на ръководството. В наръчника се определят стандарти за премахване на бариерите, за да се отговори на реалните нужди на децата, учениците и студентите с неблагоприятни последици за здравето и да се спазват принципите на универсалния дизайн.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Очаква с</w:t>
      </w:r>
      <w:r>
        <w:rPr>
          <w:rFonts w:ascii="Times New Roman" w:hAnsi="Times New Roman"/>
          <w:noProof/>
          <w:sz w:val="24"/>
        </w:rPr>
        <w:t>е изпълнението на инвестицията да започне до 31 март 2022 г. и да приключи до 30 юни 2025 г.</w:t>
      </w:r>
    </w:p>
    <w:p w:rsidR="00D4086A" w:rsidRDefault="00D4086A">
      <w:pPr>
        <w:tabs>
          <w:tab w:val="left" w:pos="993"/>
        </w:tabs>
        <w:spacing w:before="120" w:after="120" w:line="240" w:lineRule="auto"/>
        <w:ind w:hanging="142"/>
        <w:jc w:val="both"/>
        <w:rPr>
          <w:rFonts w:ascii="Times New Roman" w:hAnsi="Times New Roman"/>
          <w:noProof/>
          <w:sz w:val="24"/>
        </w:rPr>
      </w:pPr>
    </w:p>
    <w:p w:rsidR="00D4086A" w:rsidRDefault="00D4086A">
      <w:pPr>
        <w:tabs>
          <w:tab w:val="left" w:pos="993"/>
        </w:tabs>
        <w:spacing w:before="120" w:after="120" w:line="240" w:lineRule="auto"/>
        <w:ind w:left="426" w:right="-143" w:hanging="142"/>
        <w:jc w:val="both"/>
        <w:rPr>
          <w:rFonts w:ascii="Times New Roman" w:hAnsi="Times New Roman"/>
          <w:noProof/>
          <w:sz w:val="24"/>
        </w:rPr>
      </w:pPr>
    </w:p>
    <w:p w:rsidR="00D4086A" w:rsidRDefault="00D4086A">
      <w:pPr>
        <w:tabs>
          <w:tab w:val="left" w:pos="993"/>
        </w:tabs>
        <w:spacing w:before="120" w:after="120" w:line="240" w:lineRule="auto"/>
        <w:jc w:val="both"/>
        <w:rPr>
          <w:rFonts w:ascii="Times New Roman" w:hAnsi="Times New Roman"/>
          <w:b/>
          <w:noProof/>
          <w:sz w:val="24"/>
          <w:u w:val="single"/>
        </w:rPr>
        <w:sectPr w:rsidR="00D4086A">
          <w:headerReference w:type="even" r:id="rId78"/>
          <w:headerReference w:type="default" r:id="rId79"/>
          <w:footerReference w:type="even" r:id="rId80"/>
          <w:footerReference w:type="default" r:id="rId81"/>
          <w:headerReference w:type="first" r:id="rId82"/>
          <w:footerReference w:type="first" r:id="rId83"/>
          <w:pgSz w:w="11907" w:h="16839"/>
          <w:pgMar w:top="1134" w:right="1418" w:bottom="1134" w:left="1418" w:header="709" w:footer="709" w:gutter="0"/>
          <w:cols w:space="720"/>
          <w:docGrid w:linePitch="360"/>
        </w:sectPr>
      </w:pPr>
    </w:p>
    <w:p w:rsidR="00D4086A" w:rsidRDefault="00D5307E">
      <w:pPr>
        <w:tabs>
          <w:tab w:val="left" w:pos="993"/>
        </w:tabs>
        <w:spacing w:before="120" w:after="120" w:line="240" w:lineRule="auto"/>
        <w:ind w:right="-285" w:hanging="142"/>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 xml:space="preserve">Ключови етапи, цели, показатели и изпълнение на графика за мониторинг за безвъзмездната финансова </w:t>
      </w:r>
      <w:r>
        <w:rPr>
          <w:rFonts w:ascii="Times New Roman" w:hAnsi="Times New Roman"/>
          <w:b/>
          <w:noProof/>
          <w:sz w:val="24"/>
          <w:u w:val="single"/>
        </w:rPr>
        <w:t>подкрепа</w:t>
      </w:r>
    </w:p>
    <w:p w:rsidR="00D4086A" w:rsidRDefault="00D4086A">
      <w:pPr>
        <w:tabs>
          <w:tab w:val="left" w:pos="993"/>
        </w:tabs>
        <w:spacing w:before="120" w:after="120" w:line="240" w:lineRule="auto"/>
        <w:jc w:val="both"/>
        <w:rPr>
          <w:rFonts w:ascii="Times New Roman" w:hAnsi="Times New Roman"/>
          <w:b/>
          <w:noProof/>
          <w:sz w:val="24"/>
          <w:szCs w:val="24"/>
          <w:u w:val="single"/>
        </w:rPr>
      </w:pPr>
    </w:p>
    <w:tbl>
      <w:tblPr>
        <w:tblW w:w="14567" w:type="dxa"/>
        <w:tblLayout w:type="fixed"/>
        <w:tblLook w:val="04A0" w:firstRow="1" w:lastRow="0" w:firstColumn="1" w:lastColumn="0" w:noHBand="0" w:noVBand="1"/>
      </w:tblPr>
      <w:tblGrid>
        <w:gridCol w:w="650"/>
        <w:gridCol w:w="1540"/>
        <w:gridCol w:w="1179"/>
        <w:gridCol w:w="1265"/>
        <w:gridCol w:w="861"/>
        <w:gridCol w:w="1417"/>
        <w:gridCol w:w="1276"/>
        <w:gridCol w:w="851"/>
        <w:gridCol w:w="992"/>
        <w:gridCol w:w="709"/>
        <w:gridCol w:w="3811"/>
        <w:gridCol w:w="16"/>
      </w:tblGrid>
      <w:tr w:rsidR="00D4086A">
        <w:trPr>
          <w:gridAfter w:val="1"/>
          <w:wAfter w:w="16" w:type="dxa"/>
          <w:trHeight w:val="765"/>
        </w:trPr>
        <w:tc>
          <w:tcPr>
            <w:tcW w:w="650"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540"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Свързана мярка (реформа или инвестиция)</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179"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Ключов етап / Цел</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265"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Наименование</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861"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w:t>
            </w:r>
            <w:r>
              <w:rPr>
                <w:rFonts w:ascii="Times New Roman" w:hAnsi="Times New Roman"/>
                <w:noProof/>
                <w:sz w:val="20"/>
                <w:szCs w:val="20"/>
              </w:rPr>
              <w:t xml:space="preserve">  </w:t>
            </w:r>
            <w:r>
              <w:rPr>
                <w:rFonts w:ascii="Times New Roman" w:hAnsi="Times New Roman"/>
                <w:b/>
                <w:bCs/>
                <w:noProof/>
                <w:sz w:val="20"/>
                <w:szCs w:val="20"/>
              </w:rPr>
              <w:t xml:space="preserve"> (за ключовите етапи)</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3544"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w:t>
            </w:r>
            <w:r>
              <w:rPr>
                <w:rFonts w:ascii="Times New Roman" w:hAnsi="Times New Roman"/>
                <w:noProof/>
                <w:sz w:val="20"/>
                <w:szCs w:val="20"/>
              </w:rPr>
              <w:t xml:space="preserve"> </w:t>
            </w:r>
            <w:r>
              <w:rPr>
                <w:rFonts w:ascii="Times New Roman" w:hAnsi="Times New Roman"/>
                <w:b/>
                <w:bCs/>
                <w:noProof/>
                <w:sz w:val="20"/>
                <w:szCs w:val="20"/>
              </w:rPr>
              <w:t>(за целите)</w:t>
            </w:r>
          </w:p>
        </w:tc>
        <w:tc>
          <w:tcPr>
            <w:tcW w:w="1701" w:type="dxa"/>
            <w:gridSpan w:val="2"/>
            <w:tcBorders>
              <w:top w:val="single" w:sz="8" w:space="0" w:color="auto"/>
              <w:left w:val="nil"/>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Ориентировъчен график за приключване </w:t>
            </w:r>
          </w:p>
        </w:tc>
        <w:tc>
          <w:tcPr>
            <w:tcW w:w="3811" w:type="dxa"/>
            <w:vMerge w:val="restart"/>
            <w:tcBorders>
              <w:top w:val="single" w:sz="8" w:space="0" w:color="auto"/>
              <w:left w:val="nil"/>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Описание и ясно определяне на всеки ключов </w:t>
            </w:r>
            <w:r>
              <w:rPr>
                <w:rFonts w:ascii="Times New Roman" w:hAnsi="Times New Roman"/>
                <w:b/>
                <w:bCs/>
                <w:noProof/>
                <w:sz w:val="20"/>
                <w:szCs w:val="20"/>
              </w:rPr>
              <w:t>етап и цел</w:t>
            </w:r>
          </w:p>
          <w:p w:rsidR="00D4086A" w:rsidRDefault="00D5307E">
            <w:pPr>
              <w:rPr>
                <w:rFonts w:ascii="Times New Roman" w:hAnsi="Times New Roman"/>
                <w:noProof/>
                <w:sz w:val="20"/>
                <w:szCs w:val="20"/>
              </w:rPr>
            </w:pPr>
            <w:r>
              <w:rPr>
                <w:rFonts w:ascii="Times New Roman" w:hAnsi="Times New Roman"/>
                <w:noProof/>
                <w:sz w:val="20"/>
                <w:szCs w:val="20"/>
              </w:rPr>
              <w:t xml:space="preserve"> </w:t>
            </w:r>
          </w:p>
        </w:tc>
      </w:tr>
      <w:tr w:rsidR="00D4086A">
        <w:trPr>
          <w:gridAfter w:val="1"/>
          <w:wAfter w:w="16" w:type="dxa"/>
          <w:trHeight w:val="705"/>
        </w:trPr>
        <w:tc>
          <w:tcPr>
            <w:tcW w:w="650"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540"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179"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265"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861"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417"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Мерна единица</w:t>
            </w:r>
          </w:p>
        </w:tc>
        <w:tc>
          <w:tcPr>
            <w:tcW w:w="1276" w:type="dxa"/>
            <w:tcBorders>
              <w:top w:val="nil"/>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Контекст</w:t>
            </w:r>
          </w:p>
        </w:tc>
        <w:tc>
          <w:tcPr>
            <w:tcW w:w="851"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Цел</w:t>
            </w:r>
          </w:p>
        </w:tc>
        <w:tc>
          <w:tcPr>
            <w:tcW w:w="992"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Тримесечие</w:t>
            </w:r>
          </w:p>
        </w:tc>
        <w:tc>
          <w:tcPr>
            <w:tcW w:w="709"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Година</w:t>
            </w:r>
          </w:p>
        </w:tc>
        <w:tc>
          <w:tcPr>
            <w:tcW w:w="3811" w:type="dxa"/>
            <w:vMerge/>
            <w:tcBorders>
              <w:left w:val="single" w:sz="8" w:space="0" w:color="auto"/>
              <w:bottom w:val="single" w:sz="8" w:space="0" w:color="auto"/>
              <w:right w:val="single" w:sz="8" w:space="0" w:color="auto"/>
            </w:tcBorders>
            <w:shd w:val="clear" w:color="auto" w:fill="BDD7EE"/>
            <w:vAlign w:val="center"/>
          </w:tcPr>
          <w:p w:rsidR="00D4086A" w:rsidRDefault="00D4086A">
            <w:pPr>
              <w:rPr>
                <w:rFonts w:ascii="Times New Roman" w:hAnsi="Times New Roman"/>
                <w:noProof/>
                <w:sz w:val="20"/>
                <w:szCs w:val="20"/>
                <w:lang w:val="en-US"/>
              </w:rPr>
            </w:pPr>
          </w:p>
        </w:tc>
      </w:tr>
      <w:tr w:rsidR="00D4086A">
        <w:trPr>
          <w:gridAfter w:val="1"/>
          <w:wAfter w:w="16" w:type="dxa"/>
          <w:trHeight w:val="196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6 – Достъпност, развитие и качество на приобщаващото образование – Реформа 1:1. Осигуряване на условия за прилагане на задължително предучилищно образование за деца на петгодишна възраст и въвеждане на законно право на място </w:t>
            </w:r>
            <w:r>
              <w:rPr>
                <w:rFonts w:ascii="Times New Roman" w:hAnsi="Times New Roman"/>
                <w:noProof/>
                <w:color w:val="006100"/>
                <w:sz w:val="20"/>
                <w:szCs w:val="20"/>
              </w:rPr>
              <w:t>в детска градина или други доставчици на предучилищно образование след навършване на тригодишна възраст</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Въвеждане на правни промени в задължителното предучилищно образование за деца на петгодишна възраст и въвеждане на законно право на място </w:t>
            </w:r>
            <w:r>
              <w:rPr>
                <w:rFonts w:ascii="Times New Roman" w:hAnsi="Times New Roman"/>
                <w:noProof/>
                <w:color w:val="006100"/>
                <w:sz w:val="20"/>
                <w:szCs w:val="20"/>
              </w:rPr>
              <w:t>в детска градина или други доставчици на предучилищно образование след навършване на тригодишна възраст.</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Приемане от парламента на Закон № 597/2003, Закон № 596/2003, Закон № 245/2008, Закон № 138/2019, изменение на правителствено правило № 668/2004 Сб., п</w:t>
            </w:r>
            <w:r>
              <w:rPr>
                <w:rFonts w:ascii="Times New Roman" w:hAnsi="Times New Roman"/>
                <w:noProof/>
                <w:color w:val="006100"/>
                <w:sz w:val="20"/>
                <w:szCs w:val="20"/>
              </w:rPr>
              <w:t>равителствено постановление № 630/2008 Сб., изменение на Указ № 1/2020.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Съответните разпоредби на Закон № 597/2003 относно финансирането на началните училища, средните училища и училищните съоръжения, Закон № 596/2003 за държавната администра</w:t>
            </w:r>
            <w:r>
              <w:rPr>
                <w:rFonts w:ascii="Times New Roman" w:hAnsi="Times New Roman"/>
                <w:noProof/>
                <w:color w:val="006100"/>
                <w:sz w:val="20"/>
                <w:szCs w:val="20"/>
              </w:rPr>
              <w:t>ция в областта на образованието и училищното самоуправление и новата оценка на формулата в Правителствена наредба № 668/2004 се изменят, включително изменение на Наредба № 630/2008 Сб. Създава се диференцирана и прозрачна система за финансиране на предучил</w:t>
            </w:r>
            <w:r>
              <w:rPr>
                <w:rFonts w:ascii="Times New Roman" w:hAnsi="Times New Roman"/>
                <w:noProof/>
                <w:color w:val="006100"/>
                <w:sz w:val="20"/>
                <w:szCs w:val="20"/>
              </w:rPr>
              <w:t>ищното образование, за да се гарантира стабилност, устойчивост и заделяне на средства, предназначени за образование. Ефективността на законодателните промени, въведени към 1.1.2023 г. Закон № 245/2008, въвежда универсално законно право на място в детска гр</w:t>
            </w:r>
            <w:r>
              <w:rPr>
                <w:rFonts w:ascii="Times New Roman" w:hAnsi="Times New Roman"/>
                <w:noProof/>
                <w:color w:val="006100"/>
                <w:sz w:val="20"/>
                <w:szCs w:val="20"/>
              </w:rPr>
              <w:t>адина или в други институции за предучилищно образование за деца на възраст над четири години и впоследствие на възраст от три години.</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Законодателството се приема до 31 декември 2022 г., считано от 1.1.2024 г. и 1.1.2025 г., и осигурява достатъчно места в </w:t>
            </w:r>
            <w:r>
              <w:rPr>
                <w:rFonts w:ascii="Times New Roman" w:hAnsi="Times New Roman"/>
                <w:noProof/>
                <w:color w:val="006100"/>
                <w:sz w:val="20"/>
                <w:szCs w:val="20"/>
              </w:rPr>
              <w:t xml:space="preserve">детските градини или в други институции за предучилищно образование за всички деца на възраст от 4 години (считано от 9/2024 г.) и след това от тригодишна възраст (считано от 9/2025 г.). </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С изменението на Закон № 138/2019 относно педагогическите и професио</w:t>
            </w:r>
            <w:r>
              <w:rPr>
                <w:rFonts w:ascii="Times New Roman" w:hAnsi="Times New Roman"/>
                <w:noProof/>
                <w:color w:val="006100"/>
                <w:sz w:val="20"/>
                <w:szCs w:val="20"/>
              </w:rPr>
              <w:t>налните служители и изменението на Постановление № 1/2020 Сб. относно изискванията за квалификация на преподавателския и специализирания персонал се въвежда условието педагогическият персонал в детските градини или други доставчици на предучилищно образова</w:t>
            </w:r>
            <w:r>
              <w:rPr>
                <w:rFonts w:ascii="Times New Roman" w:hAnsi="Times New Roman"/>
                <w:noProof/>
                <w:color w:val="006100"/>
                <w:sz w:val="20"/>
                <w:szCs w:val="20"/>
              </w:rPr>
              <w:t xml:space="preserve">ние като учител да има висше образование в преподавателската програма за ранно и предучилищно образование. </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Изменението се приема най-късно до 31 декември 2022 г., считано от 1.1.2029 г. Учителите с педагогически опит в детската градина от 10 или повече го</w:t>
            </w:r>
            <w:r>
              <w:rPr>
                <w:rFonts w:ascii="Times New Roman" w:hAnsi="Times New Roman"/>
                <w:noProof/>
                <w:color w:val="006100"/>
                <w:sz w:val="20"/>
                <w:szCs w:val="20"/>
              </w:rPr>
              <w:t>дини се признават за отговарящи на определено изискване за квалификация. За учители с по-малко от 10 години трудов стаж, включително завършващи пълен курс на средното професионално образование, се определя условие за включване в съответния университетски к</w:t>
            </w:r>
            <w:r>
              <w:rPr>
                <w:rFonts w:ascii="Times New Roman" w:hAnsi="Times New Roman"/>
                <w:noProof/>
                <w:color w:val="006100"/>
                <w:sz w:val="20"/>
                <w:szCs w:val="20"/>
              </w:rPr>
              <w:t>урс до 1.1.2029 г.</w:t>
            </w:r>
          </w:p>
        </w:tc>
      </w:tr>
      <w:tr w:rsidR="00D4086A">
        <w:trPr>
          <w:gridAfter w:val="1"/>
          <w:wAfter w:w="16" w:type="dxa"/>
          <w:trHeight w:val="45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6 – Достъпност, развитие и качество на приобщаващото образование – реформа 1:1. Осигуряване на условия за прилагане на задължително предучилищно образование за деца на петгодишна възраст и въвеждане на законно право на място в детска </w:t>
            </w:r>
            <w:r>
              <w:rPr>
                <w:rFonts w:ascii="Times New Roman" w:hAnsi="Times New Roman"/>
                <w:noProof/>
                <w:color w:val="006100"/>
                <w:sz w:val="20"/>
                <w:szCs w:val="20"/>
              </w:rPr>
              <w:t>градина или други доставчици на предучилищно образование след навършване на тригодишна възраст</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Дял на записаните ученици в предучилищните училища за деца на петгодишна възраст</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88</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95</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Т3</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За деца на възраст 5 години предучилищното образование е </w:t>
            </w:r>
            <w:r>
              <w:rPr>
                <w:rFonts w:ascii="Times New Roman" w:hAnsi="Times New Roman"/>
                <w:noProof/>
                <w:color w:val="006100"/>
                <w:sz w:val="20"/>
                <w:szCs w:val="20"/>
              </w:rPr>
              <w:t>задължително. Съгласно изменението на Закона за училищата те получават предучилищно образование: i) в детска градина/специална детска градина, включена в словашката мрежа от училища и училища, ii) в индивидуално образование, например по искане на законен п</w:t>
            </w:r>
            <w:r>
              <w:rPr>
                <w:rFonts w:ascii="Times New Roman" w:hAnsi="Times New Roman"/>
                <w:noProof/>
                <w:color w:val="006100"/>
                <w:sz w:val="20"/>
                <w:szCs w:val="20"/>
              </w:rPr>
              <w:t>редставител вкъщи, или iii) при създаване на регистриран доставчик на предучилищно образование.</w:t>
            </w:r>
          </w:p>
        </w:tc>
      </w:tr>
      <w:tr w:rsidR="00D4086A">
        <w:trPr>
          <w:gridAfter w:val="1"/>
          <w:wAfter w:w="16" w:type="dxa"/>
          <w:trHeight w:val="7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3</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6 – Достъпност, развитие и качество на приобщаващото образование – реформа 1:1. Осигуряване на условия за прилагане на задължително предучилищно образование </w:t>
            </w:r>
            <w:r>
              <w:rPr>
                <w:rFonts w:ascii="Times New Roman" w:hAnsi="Times New Roman"/>
                <w:noProof/>
                <w:color w:val="006100"/>
                <w:sz w:val="20"/>
                <w:szCs w:val="20"/>
              </w:rPr>
              <w:t>за деца на възраст над 5 години и въвеждане на законно право на място в детска градина или други доставчици на предучилищно образование от 3-годишна възраст</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Брой новоизградени мощности</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12 352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2025</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Завършването на капацитета на детските градини създава условия за предявяване на право на предучилищно образование за деца на възраст от четири години и след това от тригодишна възраст. Целта (12 352) е очакваният брой новопостроени съоръжения.  </w:t>
            </w:r>
          </w:p>
          <w:p w:rsidR="00D4086A" w:rsidRDefault="00D5307E">
            <w:pPr>
              <w:rPr>
                <w:rFonts w:ascii="Times New Roman" w:hAnsi="Times New Roman"/>
                <w:noProof/>
                <w:sz w:val="20"/>
                <w:szCs w:val="20"/>
              </w:rPr>
            </w:pPr>
            <w:r>
              <w:rPr>
                <w:rFonts w:ascii="Times New Roman" w:hAnsi="Times New Roman"/>
                <w:noProof/>
                <w:color w:val="006100"/>
                <w:sz w:val="20"/>
                <w:szCs w:val="20"/>
              </w:rPr>
              <w:t>Сградите,</w:t>
            </w:r>
            <w:r>
              <w:rPr>
                <w:rFonts w:ascii="Times New Roman" w:hAnsi="Times New Roman"/>
                <w:noProof/>
                <w:color w:val="006100"/>
                <w:sz w:val="20"/>
                <w:szCs w:val="20"/>
              </w:rPr>
              <w:t xml:space="preserve"> подложени на реновиране, допринасят за екологичния преход чрез постигане на най-малко 30 % от икономиите на първична енергия.</w:t>
            </w:r>
          </w:p>
        </w:tc>
      </w:tr>
      <w:tr w:rsidR="00D4086A">
        <w:trPr>
          <w:gridAfter w:val="1"/>
          <w:wAfter w:w="16" w:type="dxa"/>
          <w:trHeight w:val="112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4</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6 – Достъпност, развитие и качество на приобщаващото образование – Реформа 2:Определяне на понятието за специални </w:t>
            </w:r>
            <w:r>
              <w:rPr>
                <w:rFonts w:ascii="Times New Roman" w:hAnsi="Times New Roman"/>
                <w:noProof/>
                <w:color w:val="006100"/>
                <w:sz w:val="20"/>
                <w:szCs w:val="20"/>
              </w:rPr>
              <w:t>образователни потребности на децата и учениците и разработване на модел за допустими мерки за подкрепа в образованието и образованието, включително тяхната система за финансиране</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Приемане на закон за предефиниране на понятието „специални </w:t>
            </w:r>
            <w:r>
              <w:rPr>
                <w:rFonts w:ascii="Times New Roman" w:hAnsi="Times New Roman"/>
                <w:noProof/>
                <w:color w:val="006100"/>
                <w:sz w:val="20"/>
                <w:szCs w:val="20"/>
              </w:rPr>
              <w:t>образователни потребности“ и изготвяне на придружаващи методологични материали за преподавателския състав, специализирания персонал и училищните ръководители.</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Приемане от парламента на изменението на Закон № 245/2008 Сб., Закон № 597/2003 Сб.;</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Изменение на</w:t>
            </w:r>
            <w:r>
              <w:rPr>
                <w:rFonts w:ascii="Times New Roman" w:hAnsi="Times New Roman"/>
                <w:noProof/>
                <w:color w:val="006100"/>
                <w:sz w:val="20"/>
                <w:szCs w:val="20"/>
              </w:rPr>
              <w:t xml:space="preserve"> Наредба № 630/2008 на правителството и приемане от правителството на методологичен материал за вертикалния модел на мерките за подпомагане, дидактически и методологичен материал за преподаване на словашки като втори език и въвеждане на подкрепа за деца с </w:t>
            </w:r>
            <w:r>
              <w:rPr>
                <w:rFonts w:ascii="Times New Roman" w:hAnsi="Times New Roman"/>
                <w:noProof/>
                <w:color w:val="006100"/>
                <w:sz w:val="20"/>
                <w:szCs w:val="20"/>
              </w:rPr>
              <w:t>различни майчини езици в образованието</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Изменението на Закон № 245/2008 относно образованието (заедно с отделен нов указ) и изменението на Закон № 597/2003 относно финансирането на началните училища, средните училища и образователните институц</w:t>
            </w:r>
            <w:r>
              <w:rPr>
                <w:rFonts w:ascii="Times New Roman" w:hAnsi="Times New Roman"/>
                <w:noProof/>
                <w:color w:val="006100"/>
                <w:sz w:val="20"/>
                <w:szCs w:val="20"/>
              </w:rPr>
              <w:t xml:space="preserve">ии определят децата и учениците, които срещат пречки пред достъпа до образование, и правото им на подкрепа за образование чрез специфични мерки за подкрепа. </w:t>
            </w:r>
          </w:p>
          <w:p w:rsidR="00D4086A" w:rsidRDefault="00D4086A">
            <w:pPr>
              <w:jc w:val="both"/>
              <w:rPr>
                <w:rFonts w:ascii="Times New Roman" w:hAnsi="Times New Roman"/>
                <w:noProof/>
                <w:color w:val="006100"/>
                <w:sz w:val="20"/>
                <w:szCs w:val="20"/>
              </w:rPr>
            </w:pPr>
          </w:p>
          <w:p w:rsidR="00D4086A" w:rsidRDefault="00D5307E">
            <w:pPr>
              <w:jc w:val="both"/>
              <w:rPr>
                <w:rFonts w:ascii="Times New Roman" w:hAnsi="Times New Roman"/>
                <w:noProof/>
                <w:color w:val="006100"/>
                <w:sz w:val="20"/>
                <w:szCs w:val="20"/>
              </w:rPr>
            </w:pPr>
            <w:r>
              <w:rPr>
                <w:rFonts w:ascii="Times New Roman" w:hAnsi="Times New Roman"/>
                <w:noProof/>
                <w:color w:val="006100"/>
                <w:sz w:val="20"/>
                <w:szCs w:val="20"/>
              </w:rPr>
              <w:t xml:space="preserve">Наредба № 630/2008 на правителството на Словашката република се адаптира, като се вземат предвид </w:t>
            </w:r>
            <w:r>
              <w:rPr>
                <w:rFonts w:ascii="Times New Roman" w:hAnsi="Times New Roman"/>
                <w:noProof/>
                <w:color w:val="006100"/>
                <w:sz w:val="20"/>
                <w:szCs w:val="20"/>
              </w:rPr>
              <w:t xml:space="preserve">различните особености при изчисляването на нормативното участие посредством коефициенти. </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Реформата изисква изготвянето на придружаващи методологични материали. В същото време се разработват методологични листове за учители и работни листове за учениците, </w:t>
            </w:r>
            <w:r>
              <w:rPr>
                <w:rFonts w:ascii="Times New Roman" w:hAnsi="Times New Roman"/>
                <w:noProof/>
                <w:color w:val="006100"/>
                <w:sz w:val="20"/>
                <w:szCs w:val="20"/>
              </w:rPr>
              <w:t>насочени към развиване на езиковите компетентности на децата и учениците с различен майчин език от езика на преподаване на училището, за различните нива на езикови компетентности и различните възрастови групи.</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Методологичните и дидактическите материали се </w:t>
            </w:r>
            <w:r>
              <w:rPr>
                <w:rFonts w:ascii="Times New Roman" w:hAnsi="Times New Roman"/>
                <w:noProof/>
                <w:color w:val="006100"/>
                <w:sz w:val="20"/>
                <w:szCs w:val="20"/>
              </w:rPr>
              <w:t>публикуват на отделен уеб портал и са свободно достъпни за всички съответни участници в образованието.</w:t>
            </w:r>
          </w:p>
        </w:tc>
      </w:tr>
      <w:tr w:rsidR="00D4086A">
        <w:trPr>
          <w:gridAfter w:val="1"/>
          <w:wAfter w:w="16" w:type="dxa"/>
          <w:trHeight w:val="112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5</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6 – Достъпност, развитие и качество на приобщаващото образование – Реформа 2:Определяне на понятието за специални образователни потребности на децата </w:t>
            </w:r>
            <w:r>
              <w:rPr>
                <w:rFonts w:ascii="Times New Roman" w:hAnsi="Times New Roman"/>
                <w:noProof/>
                <w:color w:val="006100"/>
                <w:sz w:val="20"/>
                <w:szCs w:val="20"/>
              </w:rPr>
              <w:t>и учениците и разработване на модел за допустими мерки за подкрепа в образованието и образованието, включително тяхната система за финансиране</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Ключов етап</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color w:val="006100"/>
                <w:sz w:val="20"/>
                <w:szCs w:val="20"/>
              </w:rPr>
            </w:pPr>
            <w:r>
              <w:rPr>
                <w:rFonts w:ascii="Times New Roman" w:hAnsi="Times New Roman"/>
                <w:noProof/>
                <w:color w:val="006100"/>
                <w:sz w:val="20"/>
                <w:szCs w:val="20"/>
              </w:rPr>
              <w:t>Влизане в сила на ново определение на понятието „специални образователни потребности“</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Влизане в сила </w:t>
            </w:r>
            <w:r>
              <w:rPr>
                <w:rFonts w:ascii="Times New Roman" w:hAnsi="Times New Roman"/>
                <w:noProof/>
                <w:color w:val="006100"/>
                <w:sz w:val="20"/>
                <w:szCs w:val="20"/>
              </w:rPr>
              <w:t>на изменението на Закон № 245/2008 Сб., Закон № 597/2003 Сб.;</w:t>
            </w:r>
          </w:p>
          <w:p w:rsidR="00D4086A" w:rsidRDefault="00D4086A">
            <w:pPr>
              <w:jc w:val="both"/>
              <w:rPr>
                <w:rFonts w:ascii="Times New Roman" w:hAnsi="Times New Roman"/>
                <w:noProof/>
                <w:color w:val="006100"/>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Т1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2023</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Изменението на Закон № 245/2008 относно образованието (заедно с отделен нов указ) определя децата и учениците, които срещат пречки пред достъпа до образование, и правото им на под</w:t>
            </w:r>
            <w:r>
              <w:rPr>
                <w:rFonts w:ascii="Times New Roman" w:hAnsi="Times New Roman"/>
                <w:noProof/>
                <w:color w:val="006100"/>
                <w:sz w:val="20"/>
                <w:szCs w:val="20"/>
              </w:rPr>
              <w:t>крепа за образование чрез специфични мерки за подпомагане, влиза в сила до 31 март 2023 г.</w:t>
            </w:r>
          </w:p>
          <w:p w:rsidR="00D4086A" w:rsidRDefault="00D4086A">
            <w:pPr>
              <w:jc w:val="both"/>
              <w:rPr>
                <w:rFonts w:ascii="Times New Roman" w:hAnsi="Times New Roman"/>
                <w:noProof/>
                <w:color w:val="006100"/>
                <w:sz w:val="20"/>
                <w:szCs w:val="20"/>
              </w:rPr>
            </w:pPr>
          </w:p>
        </w:tc>
      </w:tr>
      <w:tr w:rsidR="00D4086A">
        <w:trPr>
          <w:gridAfter w:val="1"/>
          <w:wAfter w:w="16" w:type="dxa"/>
          <w:trHeight w:val="7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6</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6 – Достъпност, развитие и качество на приобщаващото образование – Реформа 2:Определяне на понятието за специални образователни потребности на децата и учениците</w:t>
            </w:r>
            <w:r>
              <w:rPr>
                <w:rFonts w:ascii="Times New Roman" w:hAnsi="Times New Roman"/>
                <w:noProof/>
                <w:color w:val="006100"/>
                <w:sz w:val="20"/>
                <w:szCs w:val="20"/>
              </w:rPr>
              <w:t xml:space="preserve"> и разработване на модел за допустими мерки за подкрепа в образованието и образованието, включително тяхната система за финансиране</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Брой обучени учители и специализиран персонал</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Брой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10000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2025</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10000 учители и специализиран персонал, обучени по програми за професионално развитие, допълнително обучение и информационни дейности, които имат за цел представянето на нов модел на допустими мерки за подкрепа на образованието, диагностицирането на нивото</w:t>
            </w:r>
            <w:r>
              <w:rPr>
                <w:rFonts w:ascii="Times New Roman" w:hAnsi="Times New Roman"/>
                <w:noProof/>
                <w:color w:val="006100"/>
                <w:sz w:val="20"/>
                <w:szCs w:val="20"/>
              </w:rPr>
              <w:t xml:space="preserve"> на езиковите умения на децата и учениците и осигуряването на подкрепа за деца и ученици с езикови бариери при достъпа до образование. </w:t>
            </w:r>
          </w:p>
        </w:tc>
      </w:tr>
      <w:tr w:rsidR="00D4086A">
        <w:trPr>
          <w:gridAfter w:val="1"/>
          <w:wAfter w:w="16" w:type="dxa"/>
          <w:trHeight w:val="7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7</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6 – Достъпност, развитие и качество на приобщаващото образование – Реформа 3: Реформа на системата за консултиране и </w:t>
            </w:r>
            <w:r>
              <w:rPr>
                <w:rFonts w:ascii="Times New Roman" w:hAnsi="Times New Roman"/>
                <w:noProof/>
                <w:color w:val="006100"/>
                <w:sz w:val="20"/>
                <w:szCs w:val="20"/>
              </w:rPr>
              <w:t>превенция и осигуряване на системно събиране на данни в областта на насърчаването на психичното здраве за деца, ученици и студенти</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Влизане в сила на законодателството, с което се създава всеобхватна система за консултации</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Влизане в сила на </w:t>
            </w:r>
            <w:r>
              <w:rPr>
                <w:rFonts w:ascii="Times New Roman" w:hAnsi="Times New Roman"/>
                <w:noProof/>
                <w:color w:val="006100"/>
                <w:sz w:val="20"/>
                <w:szCs w:val="20"/>
              </w:rPr>
              <w:t>изменението на Закон № 245/2008 Сб. и отделни укази, вероятно изменение и правителствено постановление № 630/2008 Сб.</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2023</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Изменението на Закон № 245/2008 относно образованието и обучението (заедно с отделен нов декрет) заменя настоящото понятие з</w:t>
            </w:r>
            <w:r>
              <w:rPr>
                <w:rFonts w:ascii="Times New Roman" w:hAnsi="Times New Roman"/>
                <w:noProof/>
                <w:color w:val="006100"/>
                <w:sz w:val="20"/>
                <w:szCs w:val="20"/>
              </w:rPr>
              <w:t>а система за консултации с взаимосвързана система, съсредоточена върху достъпността, сложността и съответствието със съдържанието и стандартите за изпълнение.</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Една всеобхватна система за консултиране и превенция се състои от новосъздадените центрове за кон</w:t>
            </w:r>
            <w:r>
              <w:rPr>
                <w:rFonts w:ascii="Times New Roman" w:hAnsi="Times New Roman"/>
                <w:noProof/>
                <w:color w:val="006100"/>
                <w:sz w:val="20"/>
                <w:szCs w:val="20"/>
              </w:rPr>
              <w:t>султации и превенция (CPP), които предоставят професионални дейности, без да определят фокуса върху целевите групи в зависимост от неблагоприятното здравословно състояние, какъвто е случаят понастоящем, т.е. възможността за посещение в центъра за консултац</w:t>
            </w:r>
            <w:r>
              <w:rPr>
                <w:rFonts w:ascii="Times New Roman" w:hAnsi="Times New Roman"/>
                <w:noProof/>
                <w:color w:val="006100"/>
                <w:sz w:val="20"/>
                <w:szCs w:val="20"/>
              </w:rPr>
              <w:t>ии и превенция не се определя въз основа на неблагоприятното здравословно състояние на детето. Професионалните дейности се предоставят в тясно сътрудничество между екипите за подкрепа в училищата и училищата, включително мултидисциплинарен екип.</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Това създа</w:t>
            </w:r>
            <w:r>
              <w:rPr>
                <w:rFonts w:ascii="Times New Roman" w:hAnsi="Times New Roman"/>
                <w:noProof/>
                <w:color w:val="006100"/>
                <w:sz w:val="20"/>
                <w:szCs w:val="20"/>
              </w:rPr>
              <w:t>ва условия за интензивна, навременна и висококачествена подкрепа, помощ и намеса за деца, ученици, студенти, законни представители, институционални представители и други партньори. Промяната във финансирането се състои в определяне на вноската въз основа н</w:t>
            </w:r>
            <w:r>
              <w:rPr>
                <w:rFonts w:ascii="Times New Roman" w:hAnsi="Times New Roman"/>
                <w:noProof/>
                <w:color w:val="006100"/>
                <w:sz w:val="20"/>
                <w:szCs w:val="20"/>
              </w:rPr>
              <w:t>а извършените професионални дейности. В контекста на промяната във финансирането може да се наложи изменение и на Наредба № 630/2008 на правителството за подробно разпределение на средствата от държавния бюджет за училищата и учебните заведения.</w:t>
            </w:r>
          </w:p>
        </w:tc>
      </w:tr>
      <w:tr w:rsidR="00D4086A">
        <w:trPr>
          <w:gridAfter w:val="1"/>
          <w:wAfter w:w="16" w:type="dxa"/>
          <w:trHeight w:val="396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8</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6 – </w:t>
            </w:r>
            <w:r>
              <w:rPr>
                <w:rFonts w:ascii="Times New Roman" w:hAnsi="Times New Roman"/>
                <w:noProof/>
                <w:color w:val="006100"/>
                <w:sz w:val="20"/>
                <w:szCs w:val="20"/>
              </w:rPr>
              <w:t>Достъпност, развитие и качество на приобщаващото образование – реформа 4:Прилагане на инструменти за предотвратяване на преждевременното напускане на училище и адаптиране на програмите за обучение от тип F</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Влизане в сила на законодателни измене</w:t>
            </w:r>
            <w:r>
              <w:rPr>
                <w:rFonts w:ascii="Times New Roman" w:hAnsi="Times New Roman"/>
                <w:noProof/>
                <w:color w:val="006100"/>
                <w:sz w:val="20"/>
                <w:szCs w:val="20"/>
              </w:rPr>
              <w:t>ния, целящи:• Разширяване на възможността за придобиване на прогимназиален етап на основното професионално образование (ПОО) – оптимизиране на програмите NSOV в отговор на нуждите на пазара на труда и предлагане на програми NSOV във връзка с образователнит</w:t>
            </w:r>
            <w:r>
              <w:rPr>
                <w:rFonts w:ascii="Times New Roman" w:hAnsi="Times New Roman"/>
                <w:noProof/>
                <w:color w:val="006100"/>
                <w:sz w:val="20"/>
                <w:szCs w:val="20"/>
              </w:rPr>
              <w:t>е потребности на целевата група ученици</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Влизане в сила на изменението на Закон № 245/2008, Закон № 61/2015 и изменение на Указ № 292/2019.Z. z.</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2023</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 изменението на Закон № 245/2008 за образованието и обучението (Закон за училищата) се предвижда възможност за завършване на прогимназиален етап на основното професионално образование (NSOV) в комбинирана програма от две и три години (в зависимост от годи</w:t>
            </w:r>
            <w:r>
              <w:rPr>
                <w:rFonts w:ascii="Times New Roman" w:hAnsi="Times New Roman"/>
                <w:noProof/>
                <w:color w:val="006100"/>
                <w:sz w:val="20"/>
                <w:szCs w:val="20"/>
              </w:rPr>
              <w:t>ната, в която ученикът е завършил началното училище) чрез изпит по комитология. Целта е да се премахнат т.нар. „задни цели“ в рамките на образователната система и да се даде възможност на учениците от НСОВ да завършат средното образование като част от една</w:t>
            </w:r>
            <w:r>
              <w:rPr>
                <w:rFonts w:ascii="Times New Roman" w:hAnsi="Times New Roman"/>
                <w:noProof/>
                <w:color w:val="006100"/>
                <w:sz w:val="20"/>
                <w:szCs w:val="20"/>
              </w:rPr>
              <w:t xml:space="preserve"> по-ефикасна програма. Системата обхваща в по-голяма степен уязвимите групи. Предложението за образование се адаптира към нуждите на пазара на труда. </w:t>
            </w:r>
          </w:p>
          <w:p w:rsidR="00D4086A" w:rsidRDefault="00D5307E">
            <w:pPr>
              <w:rPr>
                <w:rFonts w:ascii="Times New Roman" w:hAnsi="Times New Roman"/>
                <w:noProof/>
                <w:sz w:val="20"/>
                <w:szCs w:val="20"/>
              </w:rPr>
            </w:pPr>
            <w:r>
              <w:rPr>
                <w:rFonts w:ascii="Times New Roman" w:hAnsi="Times New Roman"/>
                <w:noProof/>
                <w:color w:val="006100"/>
                <w:sz w:val="20"/>
                <w:szCs w:val="20"/>
              </w:rPr>
              <w:t>Изменението на Закон № 61/2015 за професионалното образование и обучение разширява обхвата на задължениет</w:t>
            </w:r>
            <w:r>
              <w:rPr>
                <w:rFonts w:ascii="Times New Roman" w:hAnsi="Times New Roman"/>
                <w:noProof/>
                <w:color w:val="006100"/>
                <w:sz w:val="20"/>
                <w:szCs w:val="20"/>
              </w:rPr>
              <w:t xml:space="preserve">о за определяне на плановете за ефективност на средното образование, така че да обхване и прогимназиалния етап на средното образование. </w:t>
            </w:r>
          </w:p>
          <w:p w:rsidR="00D4086A" w:rsidRDefault="00D5307E">
            <w:pPr>
              <w:rPr>
                <w:rFonts w:ascii="Times New Roman" w:hAnsi="Times New Roman"/>
                <w:noProof/>
                <w:sz w:val="20"/>
                <w:szCs w:val="20"/>
              </w:rPr>
            </w:pPr>
            <w:r>
              <w:rPr>
                <w:rFonts w:ascii="Times New Roman" w:hAnsi="Times New Roman"/>
                <w:noProof/>
                <w:color w:val="006100"/>
                <w:sz w:val="20"/>
                <w:szCs w:val="20"/>
              </w:rPr>
              <w:t>Изменя се Указ № 292/2019, с който се създава система за планиране на действието на програмата за изпитване от тип F чр</w:t>
            </w:r>
            <w:r>
              <w:rPr>
                <w:rFonts w:ascii="Times New Roman" w:hAnsi="Times New Roman"/>
                <w:noProof/>
                <w:color w:val="006100"/>
                <w:sz w:val="20"/>
                <w:szCs w:val="20"/>
              </w:rPr>
              <w:t>ез определяне на специфични критерии. Те отчитат особеностите на програмата за обучение от тип F, като например критерии на училищно равнище (ползи, посещаване, процент на завършване на началното училище) и на равнище профсъюзи – резултати на пазара на тру</w:t>
            </w:r>
            <w:r>
              <w:rPr>
                <w:rFonts w:ascii="Times New Roman" w:hAnsi="Times New Roman"/>
                <w:noProof/>
                <w:color w:val="006100"/>
                <w:sz w:val="20"/>
                <w:szCs w:val="20"/>
              </w:rPr>
              <w:t xml:space="preserve">да на „Fgraduate“. </w:t>
            </w:r>
          </w:p>
        </w:tc>
      </w:tr>
      <w:tr w:rsidR="00D4086A">
        <w:trPr>
          <w:gridAfter w:val="1"/>
          <w:wAfter w:w="16" w:type="dxa"/>
          <w:trHeight w:val="153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9</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6 – Достъпност, развитие и качество на приобщаващото образование – реформа 4:Прилагане на инструменти за предотвратяване на преждевременното напускане на училище и адаптиране на програмите за обучение от тип F</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Дял на програмите за прогимназиално професионално образование (NSOV), оптимизирани в отговор на нуждите на пазара на труда </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 xml:space="preserve">30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2025</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Процесът на оптимизиране се основава на резултатите от процеса на планиране на ефективността на програмата за изпитване от тип F, който функционира при специален режим в сравнение с класическия план за ефективност. </w:t>
            </w:r>
          </w:p>
          <w:p w:rsidR="00D4086A" w:rsidRDefault="00D5307E">
            <w:pPr>
              <w:rPr>
                <w:rFonts w:ascii="Times New Roman" w:hAnsi="Times New Roman"/>
                <w:noProof/>
                <w:sz w:val="20"/>
                <w:szCs w:val="20"/>
              </w:rPr>
            </w:pPr>
            <w:r>
              <w:rPr>
                <w:rFonts w:ascii="Times New Roman" w:hAnsi="Times New Roman"/>
                <w:noProof/>
                <w:color w:val="006100"/>
                <w:sz w:val="20"/>
                <w:szCs w:val="20"/>
              </w:rPr>
              <w:t>След това въз основа на предложението за</w:t>
            </w:r>
            <w:r>
              <w:rPr>
                <w:rFonts w:ascii="Times New Roman" w:hAnsi="Times New Roman"/>
                <w:noProof/>
                <w:color w:val="006100"/>
                <w:sz w:val="20"/>
                <w:szCs w:val="20"/>
              </w:rPr>
              <w:t xml:space="preserve"> пазара на труда съдържанието на програмата за обучение от тип F се коригира или оценява и евентуално се отстранява от образователната система.</w:t>
            </w:r>
          </w:p>
        </w:tc>
      </w:tr>
      <w:tr w:rsidR="00D4086A">
        <w:trPr>
          <w:trHeight w:val="7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10</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6 – Достъпност, развитие и качество на приобщаващото образование – реформа 5: подпомагане на премахването на</w:t>
            </w:r>
            <w:r>
              <w:rPr>
                <w:rFonts w:ascii="Times New Roman" w:hAnsi="Times New Roman"/>
                <w:noProof/>
                <w:color w:val="006100"/>
                <w:sz w:val="20"/>
                <w:szCs w:val="20"/>
              </w:rPr>
              <w:t xml:space="preserve"> сегрегацията в училищата</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Приемане на законодателни изменения, с които се въвежда определението за сегрегация в училищата в законодателството и разработването на методологични материали за прилагане на десегрегацията</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 Приемане от парламента на изменение на Закон № 245/2008 или на Закон № 365/2004 и създаване и одобряване от Министерството на образованието на методологически материали</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Т3</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2023</w:t>
            </w:r>
          </w:p>
        </w:tc>
        <w:tc>
          <w:tcPr>
            <w:tcW w:w="3827"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Измененията на законодателството се отнасят до Закона за борба с дискриминацията (№ 365/2004 Сб.) или Закона за училищата (№ 245/2008 Сб.) и до друго законодателство, свързано с финансирането и управлението на училищата. Определението за отделяне ясно опре</w:t>
            </w:r>
            <w:r>
              <w:rPr>
                <w:rFonts w:ascii="Times New Roman" w:hAnsi="Times New Roman"/>
                <w:noProof/>
                <w:color w:val="006100"/>
                <w:sz w:val="20"/>
                <w:szCs w:val="20"/>
              </w:rPr>
              <w:t xml:space="preserve">деля кои действия и бездействия се считат за разделяне, за да се избегнат различни тълкувания. </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Методологичните материали предоставят насоки за предотвратяване и премахване на сегрегираното образование на практика за различните участници в образованието (к</w:t>
            </w:r>
            <w:r>
              <w:rPr>
                <w:rFonts w:ascii="Times New Roman" w:hAnsi="Times New Roman"/>
                <w:noProof/>
                <w:color w:val="006100"/>
                <w:sz w:val="20"/>
                <w:szCs w:val="20"/>
              </w:rPr>
              <w:t>ато творци, училища и училищни съоръжения, директори и учители).</w:t>
            </w:r>
          </w:p>
        </w:tc>
      </w:tr>
      <w:tr w:rsidR="00D4086A">
        <w:trPr>
          <w:trHeight w:val="7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11</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6 – Достъпност, развитие и качество на приобщаващото образование – реформа 5: подпомагане на премахването на сегрегацията в училищата</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Ключов етап</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color w:val="006100"/>
                <w:sz w:val="20"/>
                <w:szCs w:val="20"/>
              </w:rPr>
            </w:pPr>
            <w:r>
              <w:rPr>
                <w:rFonts w:ascii="Times New Roman" w:hAnsi="Times New Roman"/>
                <w:noProof/>
                <w:color w:val="006100"/>
                <w:sz w:val="20"/>
                <w:szCs w:val="20"/>
              </w:rPr>
              <w:t xml:space="preserve">Влизане в сила на законодателното определение за сегрегация в училищата </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color w:val="006100"/>
                <w:sz w:val="20"/>
                <w:szCs w:val="20"/>
              </w:rPr>
            </w:pPr>
            <w:r>
              <w:rPr>
                <w:rFonts w:ascii="Times New Roman" w:hAnsi="Times New Roman"/>
                <w:noProof/>
                <w:color w:val="006100"/>
                <w:sz w:val="20"/>
                <w:szCs w:val="20"/>
              </w:rPr>
              <w:t xml:space="preserve"> Влизане в сила на изменение на Закон № 245/2008 или на Закон № 365/2004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Т3</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2025</w:t>
            </w:r>
          </w:p>
        </w:tc>
        <w:tc>
          <w:tcPr>
            <w:tcW w:w="3827"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Законът влиза в сила на 1.9.2025 г. </w:t>
            </w:r>
          </w:p>
          <w:p w:rsidR="00D4086A" w:rsidRDefault="00D4086A">
            <w:pPr>
              <w:jc w:val="both"/>
              <w:rPr>
                <w:rFonts w:ascii="Times New Roman" w:hAnsi="Times New Roman"/>
                <w:noProof/>
                <w:color w:val="006100"/>
                <w:sz w:val="20"/>
                <w:szCs w:val="20"/>
              </w:rPr>
            </w:pPr>
          </w:p>
        </w:tc>
      </w:tr>
      <w:tr w:rsidR="00D4086A">
        <w:trPr>
          <w:gridAfter w:val="1"/>
          <w:wAfter w:w="16" w:type="dxa"/>
          <w:trHeight w:val="724"/>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12</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6 – Достъпност, развитие и качество на приобщаващото </w:t>
            </w:r>
            <w:r>
              <w:rPr>
                <w:rFonts w:ascii="Times New Roman" w:hAnsi="Times New Roman"/>
                <w:noProof/>
                <w:color w:val="006100"/>
                <w:sz w:val="20"/>
                <w:szCs w:val="20"/>
              </w:rPr>
              <w:t>образование – реформа 5: подпомагане на премахването на сегрегацията в училищата</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Процент на училищата, прилагащи стандарти за премахване на сегрегацията, произтичащи от приетата методология</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 </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100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2025</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Методиката се основава на одобрения </w:t>
            </w:r>
            <w:r>
              <w:rPr>
                <w:rFonts w:ascii="Times New Roman" w:hAnsi="Times New Roman"/>
                <w:noProof/>
                <w:color w:val="006100"/>
                <w:sz w:val="20"/>
                <w:szCs w:val="20"/>
              </w:rPr>
              <w:t>закон, влязъл в сила до третото тримесечие на 2025 г.</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 </w:t>
            </w:r>
          </w:p>
        </w:tc>
      </w:tr>
      <w:tr w:rsidR="00D4086A">
        <w:trPr>
          <w:gridAfter w:val="1"/>
          <w:wAfter w:w="16" w:type="dxa"/>
          <w:trHeight w:val="12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13</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6 – Достъпност, развитие и качество на приобщаващото образование – Реформа 6: Компенсаторни мерки за смекчаване на въздействието на пандемията върху образованието за учениците в началните и </w:t>
            </w:r>
            <w:r>
              <w:rPr>
                <w:rFonts w:ascii="Times New Roman" w:hAnsi="Times New Roman"/>
                <w:noProof/>
                <w:color w:val="006100"/>
                <w:sz w:val="20"/>
                <w:szCs w:val="20"/>
              </w:rPr>
              <w:t>средните училища</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Брой ученици, участващи в програми за обучение</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12000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12000 ученици, участващи в програми за обучение. Като приоритет, схемата за обучение е насочена към учениците, които не са били в състояние да участват пълноценно в образованието през периода на прекъсване на посещаването на училище през учебните години 20</w:t>
            </w:r>
            <w:r>
              <w:rPr>
                <w:rFonts w:ascii="Times New Roman" w:hAnsi="Times New Roman"/>
                <w:noProof/>
                <w:color w:val="006100"/>
                <w:sz w:val="20"/>
                <w:szCs w:val="20"/>
              </w:rPr>
              <w:t>19/2020 и 2020/2021 и следователно са пряко изложени на риск от неуспех в училище. Обучението се провежда в индивидуална или групова форма (в малки групи до петима ученици) следобед. Тя се съсредоточава по-специално върху теми от така наречените „основни о</w:t>
            </w:r>
            <w:r>
              <w:rPr>
                <w:rFonts w:ascii="Times New Roman" w:hAnsi="Times New Roman"/>
                <w:noProof/>
                <w:color w:val="006100"/>
                <w:sz w:val="20"/>
                <w:szCs w:val="20"/>
              </w:rPr>
              <w:t xml:space="preserve">бразователни области“. </w:t>
            </w:r>
          </w:p>
        </w:tc>
      </w:tr>
      <w:tr w:rsidR="00D4086A">
        <w:trPr>
          <w:gridAfter w:val="1"/>
          <w:wAfter w:w="16" w:type="dxa"/>
          <w:trHeight w:val="111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14</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6 – Достъпност, развитие и качество на приобщаващото образование – инвестиции 1:</w:t>
            </w:r>
            <w:r>
              <w:rPr>
                <w:rFonts w:ascii="Times New Roman" w:hAnsi="Times New Roman"/>
                <w:noProof/>
                <w:sz w:val="20"/>
                <w:szCs w:val="20"/>
              </w:rPr>
              <w:t xml:space="preserve"> </w:t>
            </w:r>
            <w:r>
              <w:rPr>
                <w:rFonts w:ascii="Times New Roman" w:hAnsi="Times New Roman"/>
                <w:noProof/>
                <w:color w:val="006100"/>
                <w:sz w:val="20"/>
                <w:szCs w:val="20"/>
              </w:rPr>
              <w:t>Премахване на бариерите в училищните сгради</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Въвеждане на определение за стандарт за премахване на бариерите, създаване на наръчник за </w:t>
            </w:r>
            <w:r>
              <w:rPr>
                <w:rFonts w:ascii="Times New Roman" w:hAnsi="Times New Roman"/>
                <w:noProof/>
                <w:color w:val="006100"/>
                <w:sz w:val="20"/>
                <w:szCs w:val="20"/>
              </w:rPr>
              <w:t>премахване на бариерите и очертаване на потребностите на училищата на всички равнища на образованието</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Одобряване от Министерството на образованието на стандартите за премахване на бариерите, наръчник за премахване на бариерите и публикуване на резултатите </w:t>
            </w:r>
            <w:r>
              <w:rPr>
                <w:rFonts w:ascii="Times New Roman" w:hAnsi="Times New Roman"/>
                <w:noProof/>
                <w:color w:val="006100"/>
                <w:sz w:val="20"/>
                <w:szCs w:val="20"/>
              </w:rPr>
              <w:t>от картографирането на нуждите на уебсайта на МОС</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В наръчника се определят стандарти за премахване на бариерите, за да се отговори на реалните нужди на децата, учениците и студентите в неравностойно положение по отношение на здравето и да се </w:t>
            </w:r>
            <w:r>
              <w:rPr>
                <w:rFonts w:ascii="Times New Roman" w:hAnsi="Times New Roman"/>
                <w:noProof/>
                <w:color w:val="006100"/>
                <w:sz w:val="20"/>
                <w:szCs w:val="20"/>
              </w:rPr>
              <w:t>спазват принципите на универсалния дизайн. Тя се основава на цялостен подход, който гарантира пълно участие в училищния живот (т.е. определяне на стандарти, които създават приобщаващо пространство в цялото училище и не се съсредоточават само върху премахва</w:t>
            </w:r>
            <w:r>
              <w:rPr>
                <w:rFonts w:ascii="Times New Roman" w:hAnsi="Times New Roman"/>
                <w:noProof/>
                <w:color w:val="006100"/>
                <w:sz w:val="20"/>
                <w:szCs w:val="20"/>
              </w:rPr>
              <w:t>нето на най-големите бариери, например при навлизането в училище). В допълнение към пространствените стандарти (напр. технически спецификации за строителните работи), ръководството също така определя стандарти за премахване на бариери в училищните сгради (</w:t>
            </w:r>
            <w:r>
              <w:rPr>
                <w:rFonts w:ascii="Times New Roman" w:hAnsi="Times New Roman"/>
                <w:noProof/>
                <w:color w:val="006100"/>
                <w:sz w:val="20"/>
                <w:szCs w:val="20"/>
              </w:rPr>
              <w:t xml:space="preserve">като например сътрудничеството на училището с експерти и общността). </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 Министерството на образованието заедно с Института за изследване на приобщаващото образование в Бърно изготвят анализ на актуалното състояние на премахването на бариерите в училищата въ</w:t>
            </w:r>
            <w:r>
              <w:rPr>
                <w:rFonts w:ascii="Times New Roman" w:hAnsi="Times New Roman"/>
                <w:noProof/>
                <w:color w:val="006100"/>
                <w:sz w:val="20"/>
                <w:szCs w:val="20"/>
              </w:rPr>
              <w:t xml:space="preserve">в връзка с установените стандарти и въз основа на тях дават приоритет на отделните училища за премахване на бариерите. </w:t>
            </w:r>
          </w:p>
        </w:tc>
      </w:tr>
      <w:tr w:rsidR="00D4086A">
        <w:trPr>
          <w:gridAfter w:val="1"/>
          <w:wAfter w:w="16" w:type="dxa"/>
          <w:trHeight w:val="90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15</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6 – Достъпност, развитие и качество на приобщаващото образование – инвестиции 1:Премахване на бариерите в училищните сгради </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Премахване на архитектурните бариери в по-големите средни училища</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252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2025</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Количественият показател определя броя на изключените по-големи средни училища. </w:t>
            </w:r>
          </w:p>
        </w:tc>
      </w:tr>
    </w:tbl>
    <w:p w:rsidR="00D4086A" w:rsidRDefault="00D5307E">
      <w:pPr>
        <w:spacing w:before="120" w:after="120" w:line="240" w:lineRule="auto"/>
        <w:jc w:val="both"/>
        <w:rPr>
          <w:noProof/>
        </w:rPr>
      </w:pPr>
      <w:r>
        <w:rPr>
          <w:rFonts w:ascii="Times New Roman" w:hAnsi="Times New Roman"/>
          <w:noProof/>
          <w:sz w:val="24"/>
          <w:szCs w:val="24"/>
        </w:rPr>
        <w:fldChar w:fldCharType="begin"/>
      </w:r>
      <w:r>
        <w:rPr>
          <w:rFonts w:ascii="Times New Roman" w:hAnsi="Times New Roman"/>
          <w:noProof/>
          <w:sz w:val="24"/>
          <w:szCs w:val="24"/>
        </w:rPr>
        <w:instrText xml:space="preserve"> LINK Excel.Sheet.12 "\\\\NET1.cec.eu.int\\homes\\085\\garcpbl\\Desktop\\CID - Components.xlsx" "T1 Míľniky a ciele (6)!R3C1:R17C11" \a \f 4 \h  \* MERGEFORMAT </w:instrText>
      </w:r>
      <w:r>
        <w:rPr>
          <w:rFonts w:ascii="Times New Roman" w:hAnsi="Times New Roman"/>
          <w:noProof/>
          <w:sz w:val="24"/>
          <w:szCs w:val="24"/>
        </w:rPr>
        <w:fldChar w:fldCharType="separate"/>
      </w:r>
    </w:p>
    <w:p w:rsidR="00D4086A" w:rsidRDefault="00D5307E">
      <w:pPr>
        <w:jc w:val="both"/>
        <w:rPr>
          <w:rFonts w:ascii="Times New Roman" w:hAnsi="Times New Roman"/>
          <w:noProof/>
          <w:sz w:val="24"/>
        </w:rPr>
        <w:sectPr w:rsidR="00D4086A">
          <w:headerReference w:type="even" r:id="rId84"/>
          <w:headerReference w:type="default" r:id="rId85"/>
          <w:footerReference w:type="even" r:id="rId86"/>
          <w:footerReference w:type="default" r:id="rId87"/>
          <w:headerReference w:type="first" r:id="rId88"/>
          <w:footerReference w:type="first" r:id="rId89"/>
          <w:pgSz w:w="16839" w:h="11907" w:orient="landscape"/>
          <w:pgMar w:top="284" w:right="1134" w:bottom="1418" w:left="1134" w:header="709" w:footer="709" w:gutter="0"/>
          <w:cols w:space="720"/>
          <w:docGrid w:linePitch="360"/>
        </w:sectPr>
      </w:pPr>
      <w:r>
        <w:rPr>
          <w:rFonts w:ascii="Times New Roman" w:hAnsi="Times New Roman"/>
          <w:noProof/>
          <w:sz w:val="24"/>
        </w:rPr>
        <w:fldChar w:fldCharType="end"/>
      </w:r>
    </w:p>
    <w:p w:rsidR="00D4086A" w:rsidRDefault="00D5307E">
      <w:pPr>
        <w:keepNext/>
        <w:spacing w:before="360" w:after="120" w:line="240" w:lineRule="auto"/>
        <w:ind w:firstLine="1"/>
        <w:jc w:val="both"/>
        <w:outlineLvl w:val="0"/>
        <w:rPr>
          <w:rFonts w:ascii="Times New Roman" w:hAnsi="Times New Roman"/>
          <w:b/>
          <w:smallCaps/>
          <w:noProof/>
          <w:sz w:val="24"/>
        </w:rPr>
      </w:pPr>
      <w:r>
        <w:rPr>
          <w:rFonts w:ascii="Times New Roman" w:hAnsi="Times New Roman"/>
          <w:b/>
          <w:smallCaps/>
          <w:noProof/>
          <w:sz w:val="24"/>
        </w:rPr>
        <w:t>КОМПОНЕНТ 7: ОБРАЗОВАНИЕ ЗА ХХI ВЕК</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Този компонент на словашкия план за възстановяване и устойчивост въвежда реформа на учебните програми на началните и прогимназиалните училища, като създава ново учебно съдържание, организирано в многогодишни цикли. Целта е да се развият критичното мислене </w:t>
      </w:r>
      <w:r>
        <w:rPr>
          <w:rFonts w:ascii="Times New Roman" w:hAnsi="Times New Roman"/>
          <w:noProof/>
          <w:sz w:val="24"/>
        </w:rPr>
        <w:t>и социалните умения на учениците като способност за решаване на проблеми, работа с информация, работа в екип, дискурсиране и задаване на въпроси, поемане на инициатива и поемане на отговорност, създаване и изпълнение на лични проекти. Това изисква предоста</w:t>
      </w:r>
      <w:r>
        <w:rPr>
          <w:rFonts w:ascii="Times New Roman" w:hAnsi="Times New Roman"/>
          <w:noProof/>
          <w:sz w:val="24"/>
        </w:rPr>
        <w:t>вянето на учебници, необходими за обновяване на настоящите наличности, и промяна в уменията на учителите за прилагане на тези промени в ежедневната практика. Същевременно компонентът повишава качеството на уменията на преподавателския и професионалния перс</w:t>
      </w:r>
      <w:r>
        <w:rPr>
          <w:rFonts w:ascii="Times New Roman" w:hAnsi="Times New Roman"/>
          <w:noProof/>
          <w:sz w:val="24"/>
        </w:rPr>
        <w:t>онал и ги мотивира за професионално развитие през целия живот. Акцентът е поставен и върху приобщаващото образование и придобиването на цифрови умения.</w:t>
      </w:r>
      <w:r>
        <w:rPr>
          <w:noProof/>
        </w:rPr>
        <w:t xml:space="preserve">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Компонентът включва две реформи и две инвестиции.</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Очаква се, че нито една мярка в този компонент не вре</w:t>
      </w:r>
      <w:r>
        <w:rPr>
          <w:rFonts w:ascii="Times New Roman" w:hAnsi="Times New Roman"/>
          <w:noProof/>
          <w:sz w:val="24"/>
          <w:szCs w:val="24"/>
        </w:rPr>
        <w:t>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w:t>
      </w:r>
      <w:r>
        <w:rPr>
          <w:rFonts w:ascii="Times New Roman" w:hAnsi="Times New Roman"/>
          <w:noProof/>
          <w:sz w:val="24"/>
          <w:szCs w:val="24"/>
        </w:rPr>
        <w:t xml:space="preserve">ките насоки на DNSH (2021/C58/01).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Компонентът допринася за изпълнението на специфичната за Словакия препоръка относно необходимостта от </w:t>
      </w:r>
      <w:r>
        <w:rPr>
          <w:rFonts w:ascii="Times New Roman" w:hAnsi="Times New Roman"/>
          <w:i/>
          <w:noProof/>
          <w:sz w:val="24"/>
        </w:rPr>
        <w:t>укрепване на цифровите умения и гарантиране на равен достъп до качествено образование</w:t>
      </w:r>
      <w:r>
        <w:rPr>
          <w:rFonts w:ascii="Times New Roman" w:hAnsi="Times New Roman"/>
          <w:noProof/>
          <w:sz w:val="24"/>
        </w:rPr>
        <w:t>. (Специфична за всяка държава п</w:t>
      </w:r>
      <w:r>
        <w:rPr>
          <w:rFonts w:ascii="Times New Roman" w:hAnsi="Times New Roman"/>
          <w:noProof/>
          <w:sz w:val="24"/>
        </w:rPr>
        <w:t xml:space="preserve">репоръка № 2/2020). </w:t>
      </w:r>
      <w:r>
        <w:rPr>
          <w:rFonts w:ascii="Times New Roman" w:hAnsi="Times New Roman"/>
          <w:i/>
          <w:iCs/>
          <w:noProof/>
          <w:sz w:val="24"/>
        </w:rPr>
        <w:t>Подобряване на качеството и приобщаващия характер на образованието на всички равнища и насърчаване на уменията</w:t>
      </w:r>
      <w:r>
        <w:rPr>
          <w:rFonts w:ascii="Times New Roman" w:hAnsi="Times New Roman"/>
          <w:noProof/>
          <w:sz w:val="24"/>
        </w:rPr>
        <w:t xml:space="preserve"> (Специфична за всяка държава препоръка 2/2019).</w:t>
      </w:r>
    </w:p>
    <w:p w:rsidR="00D4086A" w:rsidRDefault="00D4086A">
      <w:pPr>
        <w:spacing w:before="120" w:after="120" w:line="240" w:lineRule="auto"/>
        <w:jc w:val="both"/>
        <w:rPr>
          <w:rFonts w:ascii="Times New Roman" w:hAnsi="Times New Roman"/>
          <w:noProof/>
          <w:sz w:val="24"/>
        </w:rPr>
      </w:pPr>
    </w:p>
    <w:p w:rsidR="00D4086A" w:rsidRDefault="00D5307E">
      <w:pPr>
        <w:spacing w:before="120" w:after="120" w:line="240" w:lineRule="auto"/>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Описание на реформите и инвестициите за безвъзмездна финансова подкреп</w:t>
      </w:r>
      <w:r>
        <w:rPr>
          <w:rFonts w:ascii="Times New Roman" w:hAnsi="Times New Roman"/>
          <w:b/>
          <w:noProof/>
          <w:sz w:val="24"/>
          <w:u w:val="single"/>
        </w:rPr>
        <w:t>а</w:t>
      </w:r>
    </w:p>
    <w:p w:rsidR="00D4086A" w:rsidRDefault="00D5307E">
      <w:pPr>
        <w:spacing w:before="120" w:after="120" w:line="240" w:lineRule="auto"/>
        <w:jc w:val="both"/>
        <w:rPr>
          <w:rFonts w:ascii="Times New Roman" w:hAnsi="Times New Roman"/>
          <w:noProof/>
          <w:sz w:val="24"/>
        </w:rPr>
      </w:pPr>
      <w:r>
        <w:rPr>
          <w:rFonts w:ascii="Times New Roman" w:hAnsi="Times New Roman"/>
          <w:b/>
          <w:iCs/>
          <w:noProof/>
          <w:sz w:val="24"/>
        </w:rPr>
        <w:t xml:space="preserve">Реформа 1: Реформа на съдържанието и формата на образованието (реформа на учебниците и учебниците). </w:t>
      </w:r>
      <w:r>
        <w:rPr>
          <w:rFonts w:ascii="Times New Roman" w:hAnsi="Times New Roman"/>
          <w:noProof/>
          <w:sz w:val="24"/>
        </w:rPr>
        <w:t>Целта на реформата е да се създадат нови учебни програми. Вместо да предоставят подготвена информация, учителите създават ситуации, в които учениците мога</w:t>
      </w:r>
      <w:r>
        <w:rPr>
          <w:rFonts w:ascii="Times New Roman" w:hAnsi="Times New Roman"/>
          <w:noProof/>
          <w:sz w:val="24"/>
        </w:rPr>
        <w:t>т да тълкуват информацията в съответствие с реалния живот. Реформата започва с въвеждането на учебните програми в началното и прогимназиалното образование (на доброволни начала) от учебната 2023 г. и завършва със задължение за приемане на новата учебна про</w:t>
      </w:r>
      <w:r>
        <w:rPr>
          <w:rFonts w:ascii="Times New Roman" w:hAnsi="Times New Roman"/>
          <w:noProof/>
          <w:sz w:val="24"/>
        </w:rPr>
        <w:t xml:space="preserve">грама във всички начални училища през 2026 г.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ще бъде подкрепено чрез създаването на 40 регионални центъра, които подпомагат училищата в дейностите по наставничество, консултиране и консултации. Центровете могат да включват учите</w:t>
      </w:r>
      <w:r>
        <w:rPr>
          <w:rFonts w:ascii="Times New Roman" w:hAnsi="Times New Roman"/>
          <w:noProof/>
          <w:sz w:val="24"/>
        </w:rPr>
        <w:t>ли, училищни директори, специалисти в областта на образованието за възрастни, експерти от третия сектор и експерти от факултети, подготвящи учители в региона.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Реформата изисква предоставянето на нови учебници.</w:t>
      </w:r>
      <w:r>
        <w:rPr>
          <w:noProof/>
        </w:rPr>
        <w:t xml:space="preserve"> </w:t>
      </w:r>
      <w:r>
        <w:rPr>
          <w:rFonts w:ascii="Times New Roman" w:hAnsi="Times New Roman"/>
          <w:noProof/>
          <w:sz w:val="24"/>
        </w:rPr>
        <w:t>Подготовката на учебниците се подпомага от раб</w:t>
      </w:r>
      <w:r>
        <w:rPr>
          <w:rFonts w:ascii="Times New Roman" w:hAnsi="Times New Roman"/>
          <w:noProof/>
          <w:sz w:val="24"/>
        </w:rPr>
        <w:t>отата на експертите. Одобряването на учебниците въз основа на професионалното и образователното качество се осигурява чрез единна клауза, предоставена от Министерството на образованието. Въвеждат се строги и прозрачни критерии за партньорска проверка. Учил</w:t>
      </w:r>
      <w:r>
        <w:rPr>
          <w:rFonts w:ascii="Times New Roman" w:hAnsi="Times New Roman"/>
          <w:noProof/>
          <w:sz w:val="24"/>
        </w:rPr>
        <w:t xml:space="preserve">ищата получават надбавка за закупуване на учебници в съответствие със своите предпочитания и изисквания от списъка с учебници, одобрен от министерството.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Реформата предвижда създаването на платформа за електронни тестове e-Test 2.0, която да направи цифро</w:t>
      </w:r>
      <w:r>
        <w:rPr>
          <w:rFonts w:ascii="Times New Roman" w:hAnsi="Times New Roman"/>
          <w:noProof/>
          <w:sz w:val="24"/>
        </w:rPr>
        <w:t>визацията на образователния процес по-ефективна и по този начин да даде възможност за централно тестване на учениците. Измеримият ефект от тази реформа може да бъде окончателният преглед на гимназиалния етап на средното образование, извършван онлайн във вс</w:t>
      </w:r>
      <w:r>
        <w:rPr>
          <w:rFonts w:ascii="Times New Roman" w:hAnsi="Times New Roman"/>
          <w:noProof/>
          <w:sz w:val="24"/>
        </w:rPr>
        <w:t xml:space="preserve">яко училище до 31 декември 2025 г. </w:t>
      </w:r>
    </w:p>
    <w:p w:rsidR="00D4086A" w:rsidRDefault="00D5307E">
      <w:pPr>
        <w:pBdr>
          <w:top w:val="nil"/>
          <w:left w:val="nil"/>
          <w:bottom w:val="nil"/>
          <w:right w:val="nil"/>
          <w:between w:val="nil"/>
        </w:pBdr>
        <w:tabs>
          <w:tab w:val="left" w:pos="993"/>
        </w:tabs>
        <w:spacing w:before="120" w:after="0" w:line="240" w:lineRule="auto"/>
        <w:jc w:val="both"/>
        <w:rPr>
          <w:rFonts w:ascii="Times New Roman" w:hAnsi="Times New Roman"/>
          <w:noProof/>
          <w:sz w:val="24"/>
        </w:rPr>
      </w:pPr>
      <w:r>
        <w:rPr>
          <w:rFonts w:ascii="Times New Roman" w:hAnsi="Times New Roman"/>
          <w:noProof/>
          <w:sz w:val="24"/>
        </w:rPr>
        <w:t>Последният етап от тази реформа трябва да приключи до 31 декември 2025 г.</w:t>
      </w:r>
    </w:p>
    <w:p w:rsidR="00D4086A" w:rsidRDefault="00D5307E">
      <w:pPr>
        <w:spacing w:before="120" w:after="120" w:line="240" w:lineRule="auto"/>
        <w:jc w:val="both"/>
        <w:rPr>
          <w:rFonts w:ascii="Times New Roman" w:hAnsi="Times New Roman"/>
          <w:noProof/>
          <w:sz w:val="24"/>
        </w:rPr>
      </w:pPr>
      <w:r>
        <w:rPr>
          <w:rFonts w:ascii="Times New Roman" w:hAnsi="Times New Roman"/>
          <w:b/>
          <w:iCs/>
          <w:noProof/>
          <w:sz w:val="24"/>
        </w:rPr>
        <w:t>Реформа 2: Подготовка и развитие на учителите за ново съдържание и форми на преподаване (промяна във висшето образование) и укрепване на професион</w:t>
      </w:r>
      <w:r>
        <w:rPr>
          <w:rFonts w:ascii="Times New Roman" w:hAnsi="Times New Roman"/>
          <w:b/>
          <w:iCs/>
          <w:noProof/>
          <w:sz w:val="24"/>
        </w:rPr>
        <w:t xml:space="preserve">алното развитие на учителите. </w:t>
      </w:r>
      <w:r>
        <w:rPr>
          <w:rFonts w:ascii="Times New Roman" w:hAnsi="Times New Roman"/>
          <w:noProof/>
          <w:sz w:val="24"/>
        </w:rPr>
        <w:t>Целта на тази реформа е да се повиши качеството на уменията на преподавателския и професионалния персонал и те да бъдат мотивирани за професионално развитие през целия живот. Въвежда се финансова помощ за повишаване на уменият</w:t>
      </w:r>
      <w:r>
        <w:rPr>
          <w:rFonts w:ascii="Times New Roman" w:hAnsi="Times New Roman"/>
          <w:noProof/>
          <w:sz w:val="24"/>
        </w:rPr>
        <w:t>а на учителя. Акцентът се поставя върху новите учебни програми, приобщаващото образование и придобиването на цифрови умения. До края на 2023 г. най-малко 60 % от учителите в основното и прогимназиалното образование трябва да бъдат обучени. Съответните зако</w:t>
      </w:r>
      <w:r>
        <w:rPr>
          <w:rFonts w:ascii="Times New Roman" w:hAnsi="Times New Roman"/>
          <w:noProof/>
          <w:sz w:val="24"/>
        </w:rPr>
        <w:t xml:space="preserve">нодателни изменения уреждат компетентностите и спектъра от доставчици на услуги в областта на преподаването.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31 декември 2025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 xml:space="preserve">Инвестиция 1: Цифрова инфраструктура в училищата. </w:t>
      </w:r>
      <w:r>
        <w:rPr>
          <w:rFonts w:ascii="Times New Roman" w:hAnsi="Times New Roman"/>
          <w:noProof/>
          <w:sz w:val="24"/>
        </w:rPr>
        <w:t xml:space="preserve">Целта на тази инвестиция е да се </w:t>
      </w:r>
      <w:r>
        <w:rPr>
          <w:rFonts w:ascii="Times New Roman" w:hAnsi="Times New Roman"/>
          <w:noProof/>
          <w:sz w:val="24"/>
        </w:rPr>
        <w:t>увеличи процентът на училищата с пълно цифрово навлизане от 30 % на най-малко 90 % (съгласно определени стандарти за ИКТ, изградени върху „високо оборудвана и свързана класна стая“ (HECC). За да се гарантира прозрачност и икономическа ефективност при закуп</w:t>
      </w:r>
      <w:r>
        <w:rPr>
          <w:rFonts w:ascii="Times New Roman" w:hAnsi="Times New Roman"/>
          <w:noProof/>
          <w:sz w:val="24"/>
        </w:rPr>
        <w:t>уването на цифрово оборудване за училищата, обществените поръчки се координират централно.</w:t>
      </w:r>
      <w:r>
        <w:rPr>
          <w:noProof/>
        </w:rPr>
        <w:t xml:space="preserve"> </w:t>
      </w:r>
      <w:r>
        <w:rPr>
          <w:rFonts w:ascii="Times New Roman" w:hAnsi="Times New Roman"/>
          <w:noProof/>
          <w:sz w:val="24"/>
        </w:rPr>
        <w:t>Инвестицията предвижда максимално увеличаване на жизнения цикъл на цифровото оборудване, за да се намалят отрицателните въздействия върху околната среда. Инвестициит</w:t>
      </w:r>
      <w:r>
        <w:rPr>
          <w:rFonts w:ascii="Times New Roman" w:hAnsi="Times New Roman"/>
          <w:noProof/>
          <w:sz w:val="24"/>
        </w:rPr>
        <w:t xml:space="preserve">е са разделени на следните основни области: </w:t>
      </w:r>
    </w:p>
    <w:p w:rsidR="00D4086A" w:rsidRDefault="00D5307E">
      <w:pPr>
        <w:numPr>
          <w:ilvl w:val="0"/>
          <w:numId w:val="26"/>
        </w:numPr>
        <w:spacing w:before="120" w:after="120" w:line="240" w:lineRule="auto"/>
        <w:contextualSpacing/>
        <w:jc w:val="both"/>
        <w:rPr>
          <w:rFonts w:ascii="Times New Roman" w:hAnsi="Times New Roman"/>
          <w:noProof/>
          <w:sz w:val="24"/>
        </w:rPr>
      </w:pPr>
      <w:r>
        <w:rPr>
          <w:rFonts w:ascii="Times New Roman" w:hAnsi="Times New Roman"/>
          <w:noProof/>
          <w:sz w:val="24"/>
        </w:rPr>
        <w:t xml:space="preserve">включване: инвестицията покрива софтуера или хардуера на компенсаторните помощи за ученици в неравностойно положение. </w:t>
      </w:r>
    </w:p>
    <w:p w:rsidR="00D4086A" w:rsidRDefault="00D5307E">
      <w:pPr>
        <w:numPr>
          <w:ilvl w:val="0"/>
          <w:numId w:val="26"/>
        </w:numPr>
        <w:spacing w:before="120" w:after="120" w:line="240" w:lineRule="auto"/>
        <w:contextualSpacing/>
        <w:jc w:val="both"/>
        <w:rPr>
          <w:rFonts w:ascii="Times New Roman" w:hAnsi="Times New Roman"/>
          <w:noProof/>
          <w:sz w:val="24"/>
        </w:rPr>
      </w:pPr>
      <w:r>
        <w:rPr>
          <w:rFonts w:ascii="Times New Roman" w:hAnsi="Times New Roman"/>
          <w:noProof/>
          <w:sz w:val="24"/>
        </w:rPr>
        <w:t xml:space="preserve">умения за цифровата трансформация: Инвестицията покрива една класна стая в областта на </w:t>
      </w:r>
      <w:r>
        <w:rPr>
          <w:rFonts w:ascii="Times New Roman" w:hAnsi="Times New Roman"/>
          <w:noProof/>
          <w:sz w:val="24"/>
        </w:rPr>
        <w:t>информационните технологии, пропорционално на 300 студенти.</w:t>
      </w:r>
    </w:p>
    <w:p w:rsidR="00D4086A" w:rsidRDefault="00D4086A">
      <w:pPr>
        <w:spacing w:before="120" w:after="120" w:line="240" w:lineRule="auto"/>
        <w:ind w:left="720"/>
        <w:contextualSpacing/>
        <w:jc w:val="both"/>
        <w:rPr>
          <w:rFonts w:ascii="Times New Roman" w:hAnsi="Times New Roman"/>
          <w:noProof/>
          <w:sz w:val="24"/>
        </w:rPr>
      </w:pP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31 декември 2024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 xml:space="preserve">Инвестиция 2: Завършване на училищната инфраструктура. </w:t>
      </w:r>
      <w:r>
        <w:rPr>
          <w:rFonts w:ascii="Times New Roman" w:hAnsi="Times New Roman"/>
          <w:noProof/>
          <w:sz w:val="24"/>
        </w:rPr>
        <w:t>Първата част от инвестицията има за цел да премахне всички училища на</w:t>
      </w:r>
      <w:r>
        <w:rPr>
          <w:rFonts w:ascii="Times New Roman" w:hAnsi="Times New Roman"/>
          <w:noProof/>
          <w:sz w:val="24"/>
        </w:rPr>
        <w:t xml:space="preserve"> две смени в Словакия, които могат да допринесат за по-добрата интеграция на учениците в неравностойно положение. Инвестициите могат да бъдат под формата на разширяване на съществуващия капацитет, реновиране и изграждане на нова сграда в 49 училища, в коит</w:t>
      </w:r>
      <w:r>
        <w:rPr>
          <w:rFonts w:ascii="Times New Roman" w:hAnsi="Times New Roman"/>
          <w:noProof/>
          <w:sz w:val="24"/>
        </w:rPr>
        <w:t xml:space="preserve">о понастоящем има занятия на две смени. Реновирането на сгради подлежи на постигане средно на най-малко 30 % от икономиите на първична енергия.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Втората част от инвестициите е насочена към училища, в които са записани деца в неравностойно социално положени</w:t>
      </w:r>
      <w:r>
        <w:rPr>
          <w:rFonts w:ascii="Times New Roman" w:hAnsi="Times New Roman"/>
          <w:noProof/>
          <w:sz w:val="24"/>
        </w:rPr>
        <w:t xml:space="preserve">е, където се създават нови библиотеки или се реновират съществуващите библиотеки и те се превръщат в модерни образователни центрове в училищата. Училищните библиотеки осигуряват пространство за преподаване на предмети, научни изследвания и групова работа, </w:t>
      </w:r>
      <w:r>
        <w:rPr>
          <w:rFonts w:ascii="Times New Roman" w:hAnsi="Times New Roman"/>
          <w:noProof/>
          <w:sz w:val="24"/>
        </w:rPr>
        <w:t xml:space="preserve">писане на дома, изпълнение на проекти или прекарване на свободното време.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30 юни 2026 г.</w:t>
      </w:r>
    </w:p>
    <w:p w:rsidR="00D4086A" w:rsidRDefault="00D4086A">
      <w:pPr>
        <w:spacing w:before="120" w:after="120" w:line="240" w:lineRule="auto"/>
        <w:jc w:val="both"/>
        <w:rPr>
          <w:rFonts w:ascii="Times New Roman" w:hAnsi="Times New Roman"/>
          <w:b/>
          <w:noProof/>
          <w:sz w:val="24"/>
          <w:u w:val="single"/>
        </w:rPr>
      </w:pPr>
    </w:p>
    <w:p w:rsidR="00D4086A" w:rsidRDefault="00D4086A">
      <w:pPr>
        <w:spacing w:before="120" w:after="120" w:line="240" w:lineRule="auto"/>
        <w:jc w:val="both"/>
        <w:rPr>
          <w:rFonts w:ascii="Times New Roman" w:hAnsi="Times New Roman"/>
          <w:b/>
          <w:noProof/>
          <w:sz w:val="24"/>
          <w:u w:val="single"/>
        </w:rPr>
        <w:sectPr w:rsidR="00D4086A">
          <w:headerReference w:type="even" r:id="rId90"/>
          <w:headerReference w:type="default" r:id="rId91"/>
          <w:footerReference w:type="even" r:id="rId92"/>
          <w:footerReference w:type="default" r:id="rId93"/>
          <w:headerReference w:type="first" r:id="rId94"/>
          <w:footerReference w:type="first" r:id="rId95"/>
          <w:pgSz w:w="11907" w:h="16839"/>
          <w:pgMar w:top="1134" w:right="1418" w:bottom="1134" w:left="1418" w:header="709" w:footer="709" w:gutter="0"/>
          <w:cols w:space="720"/>
          <w:docGrid w:linePitch="360"/>
        </w:sectPr>
      </w:pPr>
    </w:p>
    <w:p w:rsidR="00D4086A" w:rsidRDefault="00D5307E">
      <w:pPr>
        <w:spacing w:before="120" w:after="120" w:line="240" w:lineRule="auto"/>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Ключови етапи, цели, показатели и график за мониторин</w:t>
      </w:r>
      <w:r>
        <w:rPr>
          <w:rFonts w:ascii="Times New Roman" w:hAnsi="Times New Roman"/>
          <w:b/>
          <w:noProof/>
          <w:sz w:val="24"/>
          <w:u w:val="single"/>
        </w:rPr>
        <w:t>г и изпълнение на безвъзмездната финансова подкрепа</w:t>
      </w:r>
    </w:p>
    <w:p w:rsidR="00D4086A" w:rsidRDefault="00D4086A">
      <w:pPr>
        <w:spacing w:before="120" w:after="120" w:line="240" w:lineRule="auto"/>
        <w:jc w:val="both"/>
        <w:rPr>
          <w:rFonts w:ascii="Times New Roman" w:hAnsi="Times New Roman"/>
          <w:b/>
          <w:noProof/>
          <w:sz w:val="24"/>
          <w:u w:val="single"/>
        </w:rPr>
      </w:pPr>
    </w:p>
    <w:tbl>
      <w:tblPr>
        <w:tblW w:w="16019" w:type="dxa"/>
        <w:tblInd w:w="-562" w:type="dxa"/>
        <w:tblLayout w:type="fixed"/>
        <w:tblCellMar>
          <w:left w:w="0" w:type="dxa"/>
          <w:right w:w="0" w:type="dxa"/>
        </w:tblCellMar>
        <w:tblLook w:val="04A0" w:firstRow="1" w:lastRow="0" w:firstColumn="1" w:lastColumn="0" w:noHBand="0" w:noVBand="1"/>
      </w:tblPr>
      <w:tblGrid>
        <w:gridCol w:w="993"/>
        <w:gridCol w:w="1446"/>
        <w:gridCol w:w="1247"/>
        <w:gridCol w:w="2268"/>
        <w:gridCol w:w="1701"/>
        <w:gridCol w:w="709"/>
        <w:gridCol w:w="850"/>
        <w:gridCol w:w="567"/>
        <w:gridCol w:w="992"/>
        <w:gridCol w:w="852"/>
        <w:gridCol w:w="4394"/>
      </w:tblGrid>
      <w:tr w:rsidR="00D4086A">
        <w:trPr>
          <w:trHeight w:val="693"/>
        </w:trPr>
        <w:tc>
          <w:tcPr>
            <w:tcW w:w="993" w:type="dxa"/>
            <w:vMerge w:val="restart"/>
            <w:tcBorders>
              <w:top w:val="single" w:sz="4" w:space="0" w:color="auto"/>
              <w:left w:val="single" w:sz="4" w:space="0" w:color="auto"/>
              <w:right w:val="single" w:sz="4" w:space="0" w:color="auto"/>
            </w:tcBorders>
            <w:shd w:val="clear" w:color="auto" w:fill="BDD7EE"/>
            <w:vAlign w:val="center"/>
            <w:hideMark/>
          </w:tcPr>
          <w:p w:rsidR="00D4086A" w:rsidRDefault="00D5307E">
            <w:pPr>
              <w:spacing w:after="0" w:line="240" w:lineRule="auto"/>
              <w:jc w:val="center"/>
              <w:rPr>
                <w:rFonts w:ascii="Times New Roman" w:hAnsi="Times New Roman"/>
                <w:b/>
                <w:noProof/>
                <w:sz w:val="20"/>
                <w:szCs w:val="20"/>
              </w:rPr>
            </w:pPr>
            <w:r>
              <w:rPr>
                <w:rFonts w:ascii="Times New Roman" w:hAnsi="Times New Roman"/>
                <w:b/>
                <w:bCs/>
                <w:noProof/>
                <w:sz w:val="20"/>
                <w:szCs w:val="20"/>
              </w:rPr>
              <w:t>№</w:t>
            </w:r>
          </w:p>
          <w:p w:rsidR="00D4086A" w:rsidRDefault="00D5307E">
            <w:pPr>
              <w:spacing w:before="120" w:after="120" w:line="240" w:lineRule="auto"/>
              <w:jc w:val="center"/>
              <w:rPr>
                <w:rFonts w:ascii="Times New Roman" w:hAnsi="Times New Roman"/>
                <w:b/>
                <w:noProof/>
                <w:sz w:val="20"/>
                <w:szCs w:val="20"/>
              </w:rPr>
            </w:pPr>
            <w:r>
              <w:rPr>
                <w:rFonts w:ascii="Times New Roman" w:hAnsi="Times New Roman"/>
                <w:b/>
                <w:bCs/>
                <w:noProof/>
                <w:sz w:val="20"/>
                <w:szCs w:val="20"/>
              </w:rPr>
              <w:t> </w:t>
            </w:r>
          </w:p>
        </w:tc>
        <w:tc>
          <w:tcPr>
            <w:tcW w:w="1446" w:type="dxa"/>
            <w:vMerge w:val="restart"/>
            <w:tcBorders>
              <w:top w:val="single" w:sz="4" w:space="0" w:color="auto"/>
              <w:left w:val="nil"/>
              <w:right w:val="single" w:sz="4" w:space="0" w:color="auto"/>
            </w:tcBorders>
            <w:shd w:val="clear" w:color="auto" w:fill="BDD7EE"/>
            <w:vAlign w:val="center"/>
            <w:hideMark/>
          </w:tcPr>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Свързана мярка (реформа или инвестиция)</w:t>
            </w:r>
          </w:p>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 </w:t>
            </w:r>
          </w:p>
        </w:tc>
        <w:tc>
          <w:tcPr>
            <w:tcW w:w="1247" w:type="dxa"/>
            <w:vMerge w:val="restart"/>
            <w:tcBorders>
              <w:top w:val="single" w:sz="4" w:space="0" w:color="auto"/>
              <w:left w:val="nil"/>
              <w:right w:val="single" w:sz="4" w:space="0" w:color="auto"/>
            </w:tcBorders>
            <w:shd w:val="clear" w:color="auto" w:fill="BDD7EE"/>
            <w:vAlign w:val="center"/>
            <w:hideMark/>
          </w:tcPr>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Ключов етап / Цел</w:t>
            </w:r>
          </w:p>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 </w:t>
            </w:r>
          </w:p>
        </w:tc>
        <w:tc>
          <w:tcPr>
            <w:tcW w:w="2268" w:type="dxa"/>
            <w:vMerge w:val="restart"/>
            <w:tcBorders>
              <w:top w:val="single" w:sz="4" w:space="0" w:color="auto"/>
              <w:left w:val="nil"/>
              <w:right w:val="single" w:sz="4" w:space="0" w:color="auto"/>
            </w:tcBorders>
            <w:shd w:val="clear" w:color="auto" w:fill="BDD7EE"/>
            <w:vAlign w:val="center"/>
            <w:hideMark/>
          </w:tcPr>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Наименование</w:t>
            </w:r>
          </w:p>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 </w:t>
            </w:r>
          </w:p>
        </w:tc>
        <w:tc>
          <w:tcPr>
            <w:tcW w:w="1701" w:type="dxa"/>
            <w:vMerge w:val="restart"/>
            <w:tcBorders>
              <w:top w:val="single" w:sz="4" w:space="0" w:color="auto"/>
              <w:left w:val="nil"/>
              <w:right w:val="single" w:sz="4" w:space="0" w:color="auto"/>
            </w:tcBorders>
            <w:shd w:val="clear" w:color="auto" w:fill="BDD7EE"/>
            <w:vAlign w:val="center"/>
            <w:hideMark/>
          </w:tcPr>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Качествени показатели (за ключовите етапи)</w:t>
            </w:r>
          </w:p>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 </w:t>
            </w:r>
          </w:p>
        </w:tc>
        <w:tc>
          <w:tcPr>
            <w:tcW w:w="2126" w:type="dxa"/>
            <w:gridSpan w:val="3"/>
            <w:tcBorders>
              <w:top w:val="single" w:sz="4" w:space="0" w:color="auto"/>
              <w:left w:val="nil"/>
              <w:bottom w:val="single" w:sz="4" w:space="0" w:color="auto"/>
              <w:right w:val="single" w:sz="4" w:space="0" w:color="000000"/>
            </w:tcBorders>
            <w:shd w:val="clear" w:color="auto" w:fill="BDD7EE"/>
            <w:vAlign w:val="center"/>
            <w:hideMark/>
          </w:tcPr>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Качествени показатели (за целите)</w:t>
            </w:r>
          </w:p>
        </w:tc>
        <w:tc>
          <w:tcPr>
            <w:tcW w:w="1844" w:type="dxa"/>
            <w:gridSpan w:val="2"/>
            <w:tcBorders>
              <w:top w:val="single" w:sz="4" w:space="0" w:color="auto"/>
              <w:left w:val="nil"/>
              <w:bottom w:val="single" w:sz="4" w:space="0" w:color="auto"/>
              <w:right w:val="single" w:sz="4" w:space="0" w:color="000000"/>
            </w:tcBorders>
            <w:shd w:val="clear" w:color="auto" w:fill="BDD7EE"/>
            <w:vAlign w:val="center"/>
            <w:hideMark/>
          </w:tcPr>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 xml:space="preserve">Ориентировъчен график за приключване </w:t>
            </w:r>
          </w:p>
        </w:tc>
        <w:tc>
          <w:tcPr>
            <w:tcW w:w="4394" w:type="dxa"/>
            <w:vMerge w:val="restart"/>
            <w:tcBorders>
              <w:top w:val="single" w:sz="4" w:space="0" w:color="auto"/>
              <w:left w:val="nil"/>
              <w:right w:val="single" w:sz="4" w:space="0" w:color="auto"/>
            </w:tcBorders>
            <w:shd w:val="clear" w:color="auto" w:fill="BDD7EE"/>
            <w:vAlign w:val="center"/>
            <w:hideMark/>
          </w:tcPr>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Описание и ясно определяне на всеки ключов етап и цел</w:t>
            </w:r>
          </w:p>
          <w:p w:rsidR="00D4086A" w:rsidRDefault="00D5307E">
            <w:pPr>
              <w:spacing w:before="120" w:after="120" w:line="240" w:lineRule="auto"/>
              <w:rPr>
                <w:rFonts w:ascii="Times New Roman" w:hAnsi="Times New Roman"/>
                <w:b/>
                <w:bCs/>
                <w:noProof/>
                <w:sz w:val="20"/>
                <w:szCs w:val="20"/>
              </w:rPr>
            </w:pPr>
            <w:r>
              <w:rPr>
                <w:rFonts w:ascii="Times New Roman" w:hAnsi="Times New Roman"/>
                <w:noProof/>
                <w:sz w:val="20"/>
                <w:szCs w:val="20"/>
              </w:rPr>
              <w:t> </w:t>
            </w:r>
          </w:p>
        </w:tc>
      </w:tr>
      <w:tr w:rsidR="00D4086A">
        <w:trPr>
          <w:trHeight w:val="420"/>
        </w:trPr>
        <w:tc>
          <w:tcPr>
            <w:tcW w:w="993" w:type="dxa"/>
            <w:vMerge/>
            <w:tcBorders>
              <w:left w:val="single" w:sz="4" w:space="0" w:color="auto"/>
              <w:bottom w:val="single" w:sz="4" w:space="0" w:color="auto"/>
              <w:right w:val="single" w:sz="4" w:space="0" w:color="auto"/>
            </w:tcBorders>
            <w:shd w:val="clear" w:color="auto" w:fill="BDD7EE"/>
            <w:vAlign w:val="center"/>
            <w:hideMark/>
          </w:tcPr>
          <w:p w:rsidR="00D4086A" w:rsidRDefault="00D4086A">
            <w:pPr>
              <w:spacing w:before="120" w:after="120" w:line="240" w:lineRule="auto"/>
              <w:jc w:val="center"/>
              <w:rPr>
                <w:rFonts w:ascii="Times New Roman" w:hAnsi="Times New Roman"/>
                <w:b/>
                <w:bCs/>
                <w:noProof/>
                <w:sz w:val="20"/>
                <w:szCs w:val="20"/>
              </w:rPr>
            </w:pPr>
          </w:p>
        </w:tc>
        <w:tc>
          <w:tcPr>
            <w:tcW w:w="1446" w:type="dxa"/>
            <w:vMerge/>
            <w:tcBorders>
              <w:left w:val="nil"/>
              <w:bottom w:val="single" w:sz="4" w:space="0" w:color="auto"/>
              <w:right w:val="single" w:sz="4" w:space="0" w:color="auto"/>
            </w:tcBorders>
            <w:shd w:val="clear" w:color="auto" w:fill="BDD7EE"/>
            <w:vAlign w:val="center"/>
            <w:hideMark/>
          </w:tcPr>
          <w:p w:rsidR="00D4086A" w:rsidRDefault="00D4086A">
            <w:pPr>
              <w:spacing w:before="120" w:after="120" w:line="240" w:lineRule="auto"/>
              <w:jc w:val="center"/>
              <w:rPr>
                <w:rFonts w:ascii="Times New Roman" w:hAnsi="Times New Roman"/>
                <w:b/>
                <w:bCs/>
                <w:noProof/>
                <w:sz w:val="20"/>
                <w:szCs w:val="20"/>
              </w:rPr>
            </w:pPr>
          </w:p>
        </w:tc>
        <w:tc>
          <w:tcPr>
            <w:tcW w:w="1247" w:type="dxa"/>
            <w:vMerge/>
            <w:tcBorders>
              <w:left w:val="nil"/>
              <w:bottom w:val="single" w:sz="4" w:space="0" w:color="auto"/>
              <w:right w:val="single" w:sz="4" w:space="0" w:color="auto"/>
            </w:tcBorders>
            <w:shd w:val="clear" w:color="auto" w:fill="BDD7EE"/>
            <w:vAlign w:val="center"/>
            <w:hideMark/>
          </w:tcPr>
          <w:p w:rsidR="00D4086A" w:rsidRDefault="00D4086A">
            <w:pPr>
              <w:spacing w:before="120" w:after="120" w:line="240" w:lineRule="auto"/>
              <w:jc w:val="center"/>
              <w:rPr>
                <w:rFonts w:ascii="Times New Roman" w:hAnsi="Times New Roman"/>
                <w:b/>
                <w:bCs/>
                <w:noProof/>
                <w:sz w:val="20"/>
                <w:szCs w:val="20"/>
              </w:rPr>
            </w:pPr>
          </w:p>
        </w:tc>
        <w:tc>
          <w:tcPr>
            <w:tcW w:w="2268" w:type="dxa"/>
            <w:vMerge/>
            <w:tcBorders>
              <w:left w:val="nil"/>
              <w:bottom w:val="single" w:sz="4" w:space="0" w:color="auto"/>
              <w:right w:val="single" w:sz="4" w:space="0" w:color="auto"/>
            </w:tcBorders>
            <w:shd w:val="clear" w:color="auto" w:fill="BDD7EE"/>
            <w:vAlign w:val="center"/>
            <w:hideMark/>
          </w:tcPr>
          <w:p w:rsidR="00D4086A" w:rsidRDefault="00D4086A">
            <w:pPr>
              <w:spacing w:before="120" w:after="120" w:line="240" w:lineRule="auto"/>
              <w:jc w:val="center"/>
              <w:rPr>
                <w:rFonts w:ascii="Times New Roman" w:hAnsi="Times New Roman"/>
                <w:b/>
                <w:bCs/>
                <w:noProof/>
                <w:sz w:val="20"/>
                <w:szCs w:val="20"/>
              </w:rPr>
            </w:pPr>
          </w:p>
        </w:tc>
        <w:tc>
          <w:tcPr>
            <w:tcW w:w="1701" w:type="dxa"/>
            <w:vMerge/>
            <w:tcBorders>
              <w:left w:val="nil"/>
              <w:bottom w:val="single" w:sz="4" w:space="0" w:color="auto"/>
              <w:right w:val="single" w:sz="4" w:space="0" w:color="auto"/>
            </w:tcBorders>
            <w:shd w:val="clear" w:color="auto" w:fill="BDD7EE"/>
            <w:vAlign w:val="center"/>
            <w:hideMark/>
          </w:tcPr>
          <w:p w:rsidR="00D4086A" w:rsidRDefault="00D4086A">
            <w:pPr>
              <w:spacing w:before="120" w:after="120" w:line="240" w:lineRule="auto"/>
              <w:jc w:val="center"/>
              <w:rPr>
                <w:rFonts w:ascii="Times New Roman" w:hAnsi="Times New Roman"/>
                <w:b/>
                <w:bCs/>
                <w:noProof/>
                <w:sz w:val="20"/>
                <w:szCs w:val="20"/>
              </w:rPr>
            </w:pPr>
          </w:p>
        </w:tc>
        <w:tc>
          <w:tcPr>
            <w:tcW w:w="709" w:type="dxa"/>
            <w:tcBorders>
              <w:top w:val="nil"/>
              <w:left w:val="nil"/>
              <w:bottom w:val="single" w:sz="4" w:space="0" w:color="auto"/>
              <w:right w:val="single" w:sz="4" w:space="0" w:color="auto"/>
            </w:tcBorders>
            <w:shd w:val="clear" w:color="auto" w:fill="BDD7EE"/>
            <w:vAlign w:val="center"/>
            <w:hideMark/>
          </w:tcPr>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мерна единица</w:t>
            </w:r>
          </w:p>
        </w:tc>
        <w:tc>
          <w:tcPr>
            <w:tcW w:w="850" w:type="dxa"/>
            <w:tcBorders>
              <w:top w:val="nil"/>
              <w:left w:val="nil"/>
              <w:bottom w:val="single" w:sz="4" w:space="0" w:color="auto"/>
              <w:right w:val="single" w:sz="4" w:space="0" w:color="auto"/>
            </w:tcBorders>
            <w:shd w:val="clear" w:color="auto" w:fill="BDD7EE"/>
            <w:vAlign w:val="center"/>
            <w:hideMark/>
          </w:tcPr>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Базова линия</w:t>
            </w:r>
          </w:p>
        </w:tc>
        <w:tc>
          <w:tcPr>
            <w:tcW w:w="567" w:type="dxa"/>
            <w:tcBorders>
              <w:top w:val="nil"/>
              <w:left w:val="nil"/>
              <w:bottom w:val="single" w:sz="4" w:space="0" w:color="auto"/>
              <w:right w:val="single" w:sz="4" w:space="0" w:color="auto"/>
            </w:tcBorders>
            <w:shd w:val="clear" w:color="auto" w:fill="BDD7EE"/>
            <w:vAlign w:val="center"/>
            <w:hideMark/>
          </w:tcPr>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Цел</w:t>
            </w:r>
          </w:p>
        </w:tc>
        <w:tc>
          <w:tcPr>
            <w:tcW w:w="992" w:type="dxa"/>
            <w:tcBorders>
              <w:top w:val="nil"/>
              <w:left w:val="nil"/>
              <w:bottom w:val="single" w:sz="4" w:space="0" w:color="auto"/>
              <w:right w:val="single" w:sz="4" w:space="0" w:color="auto"/>
            </w:tcBorders>
            <w:shd w:val="clear" w:color="auto" w:fill="BDD7EE"/>
            <w:vAlign w:val="center"/>
            <w:hideMark/>
          </w:tcPr>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Тримесечие</w:t>
            </w:r>
          </w:p>
        </w:tc>
        <w:tc>
          <w:tcPr>
            <w:tcW w:w="852" w:type="dxa"/>
            <w:tcBorders>
              <w:top w:val="nil"/>
              <w:left w:val="nil"/>
              <w:bottom w:val="single" w:sz="4" w:space="0" w:color="auto"/>
              <w:right w:val="single" w:sz="4" w:space="0" w:color="auto"/>
            </w:tcBorders>
            <w:shd w:val="clear" w:color="auto" w:fill="BDD7EE"/>
            <w:vAlign w:val="center"/>
            <w:hideMark/>
          </w:tcPr>
          <w:p w:rsidR="00D4086A" w:rsidRDefault="00D5307E">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Година</w:t>
            </w:r>
          </w:p>
        </w:tc>
        <w:tc>
          <w:tcPr>
            <w:tcW w:w="4394" w:type="dxa"/>
            <w:vMerge/>
            <w:tcBorders>
              <w:left w:val="nil"/>
              <w:bottom w:val="single" w:sz="4" w:space="0" w:color="auto"/>
              <w:right w:val="single" w:sz="4" w:space="0" w:color="auto"/>
            </w:tcBorders>
            <w:shd w:val="clear" w:color="auto" w:fill="BDD7EE"/>
            <w:vAlign w:val="center"/>
            <w:hideMark/>
          </w:tcPr>
          <w:p w:rsidR="00D4086A" w:rsidRDefault="00D4086A">
            <w:pPr>
              <w:spacing w:before="120" w:after="120" w:line="240" w:lineRule="auto"/>
              <w:rPr>
                <w:rFonts w:ascii="Times New Roman" w:hAnsi="Times New Roman"/>
                <w:noProof/>
                <w:sz w:val="20"/>
                <w:szCs w:val="20"/>
              </w:rPr>
            </w:pPr>
          </w:p>
        </w:tc>
      </w:tr>
      <w:tr w:rsidR="00D4086A">
        <w:trPr>
          <w:trHeight w:val="972"/>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1</w:t>
            </w:r>
          </w:p>
        </w:tc>
        <w:tc>
          <w:tcPr>
            <w:tcW w:w="1446"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Образование за XXI век – реформа 1: съдържание на образованието и реформа на формата – реформа на учебниците и учебниците</w:t>
            </w:r>
          </w:p>
        </w:tc>
        <w:tc>
          <w:tcPr>
            <w:tcW w:w="124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Ключов етап</w:t>
            </w:r>
          </w:p>
        </w:tc>
        <w:tc>
          <w:tcPr>
            <w:tcW w:w="2268"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Одобряване на окончателната версия на новата учебна програма за всички основни и прогимназиални училища, организирана в рамките на многогодишните образователни цикли</w:t>
            </w:r>
          </w:p>
        </w:tc>
        <w:tc>
          <w:tcPr>
            <w:tcW w:w="1701" w:type="dxa"/>
            <w:tcBorders>
              <w:top w:val="nil"/>
              <w:left w:val="nil"/>
              <w:bottom w:val="single" w:sz="4" w:space="0" w:color="auto"/>
              <w:right w:val="single" w:sz="4" w:space="0" w:color="auto"/>
            </w:tcBorders>
            <w:shd w:val="clear" w:color="auto" w:fill="C6EFCE"/>
            <w:vAlign w:val="center"/>
            <w:hideMark/>
          </w:tcPr>
          <w:p w:rsidR="00D4086A" w:rsidRDefault="00D4086A">
            <w:pPr>
              <w:spacing w:before="120" w:after="120" w:line="240" w:lineRule="auto"/>
              <w:jc w:val="both"/>
              <w:rPr>
                <w:rFonts w:ascii="Times New Roman" w:hAnsi="Times New Roman"/>
                <w:noProof/>
                <w:color w:val="006100"/>
                <w:sz w:val="20"/>
                <w:szCs w:val="20"/>
              </w:rPr>
            </w:pPr>
          </w:p>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Одобряване на новата държавна програма за начално и прогимназиално образование от министъ</w:t>
            </w:r>
            <w:r>
              <w:rPr>
                <w:rFonts w:ascii="Times New Roman" w:hAnsi="Times New Roman"/>
                <w:noProof/>
                <w:color w:val="006100"/>
                <w:sz w:val="20"/>
                <w:szCs w:val="20"/>
              </w:rPr>
              <w:t xml:space="preserve">ра на образованието. </w:t>
            </w:r>
          </w:p>
        </w:tc>
        <w:tc>
          <w:tcPr>
            <w:tcW w:w="70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85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56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Т1</w:t>
            </w:r>
          </w:p>
        </w:tc>
        <w:tc>
          <w:tcPr>
            <w:tcW w:w="85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2023</w:t>
            </w:r>
          </w:p>
        </w:tc>
        <w:tc>
          <w:tcPr>
            <w:tcW w:w="4394"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В рамките на циклите се прилага интегрирана учебна програма за началните и прогимназиалните училища. В циклите се определят основни учебни цели за областите, а не за подробно съдържание, като по този начин се създава гъв</w:t>
            </w:r>
            <w:r>
              <w:rPr>
                <w:rFonts w:ascii="Times New Roman" w:hAnsi="Times New Roman"/>
                <w:noProof/>
                <w:color w:val="006100"/>
                <w:sz w:val="20"/>
                <w:szCs w:val="20"/>
              </w:rPr>
              <w:t>кавост при разработването на учебни програми на училищно равнище. Етапът на изпълнение започва от септември 2023 г. със задължение за прехвърляне на всички начални училища в нова учебна програма до 09/2026 г.</w:t>
            </w:r>
          </w:p>
          <w:p w:rsidR="00D4086A" w:rsidRDefault="00D4086A">
            <w:pPr>
              <w:spacing w:before="120" w:after="120" w:line="240" w:lineRule="auto"/>
              <w:rPr>
                <w:rFonts w:ascii="Times New Roman" w:hAnsi="Times New Roman"/>
                <w:noProof/>
                <w:color w:val="006100"/>
                <w:sz w:val="20"/>
                <w:szCs w:val="20"/>
              </w:rPr>
            </w:pPr>
          </w:p>
          <w:p w:rsidR="00D4086A" w:rsidRDefault="00D4086A">
            <w:pPr>
              <w:spacing w:before="120" w:after="120" w:line="240" w:lineRule="auto"/>
              <w:rPr>
                <w:rFonts w:ascii="Times New Roman" w:hAnsi="Times New Roman"/>
                <w:noProof/>
                <w:color w:val="006100"/>
                <w:sz w:val="20"/>
                <w:szCs w:val="20"/>
              </w:rPr>
            </w:pPr>
          </w:p>
        </w:tc>
      </w:tr>
      <w:tr w:rsidR="00D4086A">
        <w:trPr>
          <w:trHeight w:val="1811"/>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w:t>
            </w:r>
          </w:p>
        </w:tc>
        <w:tc>
          <w:tcPr>
            <w:tcW w:w="1446"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7 – Образование за XXI век – реформа 1: </w:t>
            </w:r>
            <w:r>
              <w:rPr>
                <w:rFonts w:ascii="Times New Roman" w:hAnsi="Times New Roman"/>
                <w:noProof/>
                <w:color w:val="006100"/>
                <w:sz w:val="20"/>
                <w:szCs w:val="20"/>
              </w:rPr>
              <w:t>съдържание на образованието и реформа на формата – реформа на учебниците и учебниците</w:t>
            </w:r>
          </w:p>
        </w:tc>
        <w:tc>
          <w:tcPr>
            <w:tcW w:w="124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Цел</w:t>
            </w:r>
          </w:p>
        </w:tc>
        <w:tc>
          <w:tcPr>
            <w:tcW w:w="2268"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Създаване на мрежа от регионални центрове за подкрепа</w:t>
            </w:r>
          </w:p>
        </w:tc>
        <w:tc>
          <w:tcPr>
            <w:tcW w:w="1701"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Брой</w:t>
            </w:r>
          </w:p>
        </w:tc>
        <w:tc>
          <w:tcPr>
            <w:tcW w:w="85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0</w:t>
            </w:r>
          </w:p>
        </w:tc>
        <w:tc>
          <w:tcPr>
            <w:tcW w:w="56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40</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Т3</w:t>
            </w:r>
          </w:p>
        </w:tc>
        <w:tc>
          <w:tcPr>
            <w:tcW w:w="85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2024</w:t>
            </w:r>
          </w:p>
        </w:tc>
        <w:tc>
          <w:tcPr>
            <w:tcW w:w="4394"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Регионалните центрове за управление на учебните програми и подкрепа за училищата за въвеждане</w:t>
            </w:r>
            <w:r>
              <w:rPr>
                <w:rFonts w:ascii="Times New Roman" w:hAnsi="Times New Roman"/>
                <w:noProof/>
                <w:color w:val="006100"/>
                <w:sz w:val="20"/>
                <w:szCs w:val="20"/>
              </w:rPr>
              <w:t xml:space="preserve"> на промени се разработват на регионално равнище чрез дейности за наставничество, консултиране и консултации. Общо 40 центъра (един център за две области) с екип от учители, училищни директори, други специалисти в областта на образованието за младежи и въз</w:t>
            </w:r>
            <w:r>
              <w:rPr>
                <w:rFonts w:ascii="Times New Roman" w:hAnsi="Times New Roman"/>
                <w:noProof/>
                <w:color w:val="006100"/>
                <w:sz w:val="20"/>
                <w:szCs w:val="20"/>
              </w:rPr>
              <w:t>растни, експерти от третия сектор и експерти от факултети, подготвящи учители в региона.</w:t>
            </w:r>
          </w:p>
        </w:tc>
      </w:tr>
      <w:tr w:rsidR="00D4086A">
        <w:trPr>
          <w:trHeight w:val="1349"/>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3</w:t>
            </w:r>
          </w:p>
        </w:tc>
        <w:tc>
          <w:tcPr>
            <w:tcW w:w="1446"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Образование за XXI век – реформа 1: съдържание на образованието и реформа на формата – реформа на учебниците и учебниците</w:t>
            </w:r>
          </w:p>
        </w:tc>
        <w:tc>
          <w:tcPr>
            <w:tcW w:w="124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Цел</w:t>
            </w:r>
          </w:p>
        </w:tc>
        <w:tc>
          <w:tcPr>
            <w:tcW w:w="2268"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Начални училища, които прилагат новата учебна програма (в проценти) </w:t>
            </w:r>
          </w:p>
        </w:tc>
        <w:tc>
          <w:tcPr>
            <w:tcW w:w="1701"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w:t>
            </w:r>
          </w:p>
        </w:tc>
        <w:tc>
          <w:tcPr>
            <w:tcW w:w="85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0</w:t>
            </w:r>
          </w:p>
        </w:tc>
        <w:tc>
          <w:tcPr>
            <w:tcW w:w="56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30</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Т4</w:t>
            </w:r>
          </w:p>
        </w:tc>
        <w:tc>
          <w:tcPr>
            <w:tcW w:w="85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2025</w:t>
            </w:r>
          </w:p>
        </w:tc>
        <w:tc>
          <w:tcPr>
            <w:tcW w:w="4394"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Най-малко 30 % от обществените начални училища, които прилагат новата учебна програма</w:t>
            </w:r>
          </w:p>
        </w:tc>
      </w:tr>
      <w:tr w:rsidR="00D4086A">
        <w:trPr>
          <w:trHeight w:val="900"/>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4</w:t>
            </w:r>
          </w:p>
        </w:tc>
        <w:tc>
          <w:tcPr>
            <w:tcW w:w="1446"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7 – Образование за XXI век – реформа 1: съдържание на образованието и реформа на </w:t>
            </w:r>
            <w:r>
              <w:rPr>
                <w:rFonts w:ascii="Times New Roman" w:hAnsi="Times New Roman"/>
                <w:noProof/>
                <w:color w:val="006100"/>
                <w:sz w:val="20"/>
                <w:szCs w:val="20"/>
              </w:rPr>
              <w:t>формата – реформа на учебниците и учебниците</w:t>
            </w:r>
          </w:p>
        </w:tc>
        <w:tc>
          <w:tcPr>
            <w:tcW w:w="124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Цел</w:t>
            </w:r>
          </w:p>
        </w:tc>
        <w:tc>
          <w:tcPr>
            <w:tcW w:w="2268"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Въвеждане на онлайн матура (окончателен изпит за завършили гимназиален етап на средното образование)</w:t>
            </w:r>
          </w:p>
        </w:tc>
        <w:tc>
          <w:tcPr>
            <w:tcW w:w="1701"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w:t>
            </w:r>
          </w:p>
        </w:tc>
        <w:tc>
          <w:tcPr>
            <w:tcW w:w="85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23</w:t>
            </w:r>
          </w:p>
        </w:tc>
        <w:tc>
          <w:tcPr>
            <w:tcW w:w="56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100</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Т4</w:t>
            </w:r>
          </w:p>
        </w:tc>
        <w:tc>
          <w:tcPr>
            <w:tcW w:w="85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2025</w:t>
            </w:r>
          </w:p>
        </w:tc>
        <w:tc>
          <w:tcPr>
            <w:tcW w:w="4394"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Дял на матурата (окончателен изпит за завършили гимназиален етап на средното образование</w:t>
            </w:r>
            <w:r>
              <w:rPr>
                <w:rFonts w:ascii="Times New Roman" w:hAnsi="Times New Roman"/>
                <w:noProof/>
                <w:color w:val="006100"/>
                <w:sz w:val="20"/>
                <w:szCs w:val="20"/>
              </w:rPr>
              <w:t>) в интернет.</w:t>
            </w:r>
          </w:p>
        </w:tc>
      </w:tr>
      <w:tr w:rsidR="00D4086A">
        <w:trPr>
          <w:trHeight w:val="2253"/>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5</w:t>
            </w:r>
          </w:p>
        </w:tc>
        <w:tc>
          <w:tcPr>
            <w:tcW w:w="1446"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Образование за XXI век – реформа 2: Подготовка и развитие на учителите за ново съдържание и форма на преподаване</w:t>
            </w:r>
          </w:p>
        </w:tc>
        <w:tc>
          <w:tcPr>
            <w:tcW w:w="124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Ключов етап</w:t>
            </w:r>
          </w:p>
        </w:tc>
        <w:tc>
          <w:tcPr>
            <w:tcW w:w="2268"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Влизане в сила на законодателните промени за повишаване на качеството на уменията на преподавателския и </w:t>
            </w:r>
            <w:r>
              <w:rPr>
                <w:rFonts w:ascii="Times New Roman" w:hAnsi="Times New Roman"/>
                <w:noProof/>
                <w:color w:val="006100"/>
                <w:sz w:val="20"/>
                <w:szCs w:val="20"/>
              </w:rPr>
              <w:t>професионалния персонал и за мотивирането им за професионално развитие през целия живот</w:t>
            </w:r>
          </w:p>
        </w:tc>
        <w:tc>
          <w:tcPr>
            <w:tcW w:w="1701"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Влизане в сила на измененията на Закон № 138/2019 относно педагогическите и професионалните служители, Закон № 597/2003 Coll., Закон № 131/2002 за висшето образование, </w:t>
            </w:r>
          </w:p>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и Указ № 244/2019 и Указ № 1/2020 на Министерството на образованието, науката, научните изследвания и спорта на Словашката република относно системата на студентските съюзи.  </w:t>
            </w:r>
          </w:p>
        </w:tc>
        <w:tc>
          <w:tcPr>
            <w:tcW w:w="70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85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56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Т1</w:t>
            </w:r>
          </w:p>
        </w:tc>
        <w:tc>
          <w:tcPr>
            <w:tcW w:w="85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2023</w:t>
            </w:r>
          </w:p>
        </w:tc>
        <w:tc>
          <w:tcPr>
            <w:tcW w:w="4394"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Законодателните промени водят до: </w:t>
            </w:r>
          </w:p>
          <w:p w:rsidR="00D4086A" w:rsidRDefault="00D5307E">
            <w:pPr>
              <w:numPr>
                <w:ilvl w:val="0"/>
                <w:numId w:val="23"/>
              </w:numPr>
              <w:spacing w:before="120" w:after="160" w:line="259" w:lineRule="auto"/>
              <w:contextualSpacing/>
              <w:jc w:val="both"/>
              <w:rPr>
                <w:rFonts w:ascii="Times New Roman" w:hAnsi="Times New Roman"/>
                <w:noProof/>
                <w:color w:val="006100"/>
                <w:sz w:val="20"/>
                <w:szCs w:val="20"/>
              </w:rPr>
            </w:pPr>
            <w:r>
              <w:rPr>
                <w:rFonts w:ascii="Times New Roman" w:hAnsi="Times New Roman"/>
                <w:noProof/>
                <w:color w:val="006100"/>
                <w:sz w:val="20"/>
                <w:szCs w:val="20"/>
              </w:rPr>
              <w:t>Въвеждане на новите учебни про</w:t>
            </w:r>
            <w:r>
              <w:rPr>
                <w:rFonts w:ascii="Times New Roman" w:hAnsi="Times New Roman"/>
                <w:noProof/>
                <w:color w:val="006100"/>
                <w:sz w:val="20"/>
                <w:szCs w:val="20"/>
              </w:rPr>
              <w:t xml:space="preserve">грами за подготовка на бъдещите учители, </w:t>
            </w:r>
          </w:p>
          <w:p w:rsidR="00D4086A" w:rsidRDefault="00D5307E">
            <w:pPr>
              <w:numPr>
                <w:ilvl w:val="0"/>
                <w:numId w:val="23"/>
              </w:numPr>
              <w:spacing w:before="120" w:after="160" w:line="259" w:lineRule="auto"/>
              <w:contextualSpacing/>
              <w:jc w:val="both"/>
              <w:rPr>
                <w:rFonts w:ascii="Times New Roman" w:hAnsi="Times New Roman"/>
                <w:noProof/>
                <w:color w:val="006100"/>
                <w:sz w:val="20"/>
                <w:szCs w:val="20"/>
              </w:rPr>
            </w:pPr>
            <w:r>
              <w:rPr>
                <w:rFonts w:ascii="Times New Roman" w:hAnsi="Times New Roman"/>
                <w:noProof/>
                <w:color w:val="006100"/>
                <w:sz w:val="20"/>
                <w:szCs w:val="20"/>
              </w:rPr>
              <w:t>програма за отпускане на безвъзмездни средства за университетите в подкрепа на появата на нови учебни програми. Това включва финансиране за промени в програмите, които подкрепят въвеждането на приобщаващо образован</w:t>
            </w:r>
            <w:r>
              <w:rPr>
                <w:rFonts w:ascii="Times New Roman" w:hAnsi="Times New Roman"/>
                <w:noProof/>
                <w:color w:val="006100"/>
                <w:sz w:val="20"/>
                <w:szCs w:val="20"/>
              </w:rPr>
              <w:t>ие, образованието на ученици с различен майчин език и развитието на цифрови компетентности сред учениците, обучаващи се.</w:t>
            </w:r>
          </w:p>
          <w:p w:rsidR="00D4086A" w:rsidRDefault="00D5307E">
            <w:pPr>
              <w:numPr>
                <w:ilvl w:val="0"/>
                <w:numId w:val="23"/>
              </w:numPr>
              <w:spacing w:before="120" w:after="160" w:line="259" w:lineRule="auto"/>
              <w:contextualSpacing/>
              <w:jc w:val="both"/>
              <w:rPr>
                <w:rFonts w:ascii="Times New Roman" w:hAnsi="Times New Roman"/>
                <w:noProof/>
                <w:color w:val="006100"/>
                <w:sz w:val="20"/>
                <w:szCs w:val="20"/>
              </w:rPr>
            </w:pPr>
            <w:r>
              <w:rPr>
                <w:rFonts w:ascii="Times New Roman" w:hAnsi="Times New Roman"/>
                <w:noProof/>
                <w:color w:val="006100"/>
                <w:sz w:val="20"/>
                <w:szCs w:val="20"/>
              </w:rPr>
              <w:t>Помощ за мотивиране на преподавателския и професионалния персонал да се стремят към професионално развитие през целия живот;</w:t>
            </w:r>
          </w:p>
          <w:p w:rsidR="00D4086A" w:rsidRDefault="00D5307E">
            <w:pPr>
              <w:numPr>
                <w:ilvl w:val="0"/>
                <w:numId w:val="23"/>
              </w:numPr>
              <w:spacing w:before="120" w:after="160" w:line="259" w:lineRule="auto"/>
              <w:contextualSpacing/>
              <w:jc w:val="both"/>
              <w:rPr>
                <w:rFonts w:ascii="Times New Roman" w:hAnsi="Times New Roman"/>
                <w:noProof/>
                <w:color w:val="006100"/>
                <w:sz w:val="20"/>
                <w:szCs w:val="20"/>
              </w:rPr>
            </w:pPr>
            <w:r>
              <w:rPr>
                <w:rFonts w:ascii="Times New Roman" w:hAnsi="Times New Roman"/>
                <w:noProof/>
                <w:color w:val="006100"/>
                <w:sz w:val="20"/>
                <w:szCs w:val="20"/>
              </w:rPr>
              <w:t xml:space="preserve"> Регулиран</w:t>
            </w:r>
            <w:r>
              <w:rPr>
                <w:rFonts w:ascii="Times New Roman" w:hAnsi="Times New Roman"/>
                <w:noProof/>
                <w:color w:val="006100"/>
                <w:sz w:val="20"/>
                <w:szCs w:val="20"/>
              </w:rPr>
              <w:t>е на компетентностите и обхвата на доставчиците на атестация, функционално и професионално образование в сектора на образованието.</w:t>
            </w:r>
          </w:p>
          <w:p w:rsidR="00D4086A" w:rsidRDefault="00D5307E">
            <w:pPr>
              <w:numPr>
                <w:ilvl w:val="0"/>
                <w:numId w:val="23"/>
              </w:numPr>
              <w:spacing w:before="120" w:after="160" w:line="259" w:lineRule="auto"/>
              <w:contextualSpacing/>
              <w:jc w:val="both"/>
              <w:rPr>
                <w:rFonts w:ascii="Times New Roman" w:hAnsi="Times New Roman"/>
                <w:noProof/>
                <w:color w:val="006100"/>
                <w:sz w:val="20"/>
                <w:szCs w:val="20"/>
              </w:rPr>
            </w:pPr>
            <w:r>
              <w:rPr>
                <w:rFonts w:ascii="Times New Roman" w:hAnsi="Times New Roman"/>
                <w:noProof/>
                <w:color w:val="006100"/>
                <w:sz w:val="20"/>
                <w:szCs w:val="20"/>
              </w:rPr>
              <w:t xml:space="preserve">нов модел за акредитация на програми за професионално обучение за развитие. </w:t>
            </w:r>
          </w:p>
          <w:p w:rsidR="00D4086A" w:rsidRDefault="00D4086A">
            <w:pPr>
              <w:spacing w:before="120" w:after="120" w:line="240" w:lineRule="auto"/>
              <w:rPr>
                <w:rFonts w:ascii="Times New Roman" w:hAnsi="Times New Roman"/>
                <w:noProof/>
                <w:color w:val="006100"/>
                <w:sz w:val="20"/>
                <w:szCs w:val="20"/>
              </w:rPr>
            </w:pPr>
          </w:p>
        </w:tc>
      </w:tr>
      <w:tr w:rsidR="00D4086A">
        <w:trPr>
          <w:trHeight w:val="2318"/>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6</w:t>
            </w:r>
          </w:p>
        </w:tc>
        <w:tc>
          <w:tcPr>
            <w:tcW w:w="1446"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7 – Образование за XXI век – реформа 2: </w:t>
            </w:r>
            <w:r>
              <w:rPr>
                <w:rFonts w:ascii="Times New Roman" w:hAnsi="Times New Roman"/>
                <w:noProof/>
                <w:color w:val="006100"/>
                <w:sz w:val="20"/>
                <w:szCs w:val="20"/>
              </w:rPr>
              <w:t>Подготовка и развитие на учителите за ново съдържание и форма на преподаване</w:t>
            </w:r>
          </w:p>
        </w:tc>
        <w:tc>
          <w:tcPr>
            <w:tcW w:w="124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Цел </w:t>
            </w:r>
          </w:p>
        </w:tc>
        <w:tc>
          <w:tcPr>
            <w:tcW w:w="2268"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Процент на обучените учители, особено в подготовката за новата учебна програма, приобщаващото образование и цифровите умения</w:t>
            </w:r>
          </w:p>
        </w:tc>
        <w:tc>
          <w:tcPr>
            <w:tcW w:w="1701" w:type="dxa"/>
            <w:tcBorders>
              <w:top w:val="nil"/>
              <w:left w:val="nil"/>
              <w:bottom w:val="single" w:sz="4" w:space="0" w:color="auto"/>
              <w:right w:val="single" w:sz="4" w:space="0" w:color="auto"/>
            </w:tcBorders>
            <w:shd w:val="clear" w:color="auto" w:fill="C6EFCE"/>
            <w:vAlign w:val="center"/>
            <w:hideMark/>
          </w:tcPr>
          <w:p w:rsidR="00D4086A" w:rsidRDefault="00D4086A">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85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0</w:t>
            </w:r>
          </w:p>
        </w:tc>
        <w:tc>
          <w:tcPr>
            <w:tcW w:w="56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60</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Т4</w:t>
            </w:r>
          </w:p>
        </w:tc>
        <w:tc>
          <w:tcPr>
            <w:tcW w:w="85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2023</w:t>
            </w:r>
          </w:p>
        </w:tc>
        <w:tc>
          <w:tcPr>
            <w:tcW w:w="4394"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До 31 декември 2023 г. най-мал</w:t>
            </w:r>
            <w:r>
              <w:rPr>
                <w:rFonts w:ascii="Times New Roman" w:hAnsi="Times New Roman"/>
                <w:noProof/>
                <w:color w:val="006100"/>
                <w:sz w:val="20"/>
                <w:szCs w:val="20"/>
              </w:rPr>
              <w:t xml:space="preserve">ко 60 % от учителите трябва да бъдат обучени. </w:t>
            </w:r>
          </w:p>
        </w:tc>
      </w:tr>
      <w:tr w:rsidR="00D4086A">
        <w:trPr>
          <w:trHeight w:val="551"/>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7</w:t>
            </w:r>
          </w:p>
        </w:tc>
        <w:tc>
          <w:tcPr>
            <w:tcW w:w="1446"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Образование за XXI век – инвестиции 1:Цифрова инфраструктура в училищата</w:t>
            </w:r>
          </w:p>
        </w:tc>
        <w:tc>
          <w:tcPr>
            <w:tcW w:w="124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Цел</w:t>
            </w:r>
          </w:p>
        </w:tc>
        <w:tc>
          <w:tcPr>
            <w:tcW w:w="2268"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Увеличаване на процента на училищата с основно цифрово оборудване</w:t>
            </w:r>
          </w:p>
        </w:tc>
        <w:tc>
          <w:tcPr>
            <w:tcW w:w="1701"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85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30</w:t>
            </w:r>
          </w:p>
        </w:tc>
        <w:tc>
          <w:tcPr>
            <w:tcW w:w="56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90</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Т4</w:t>
            </w:r>
          </w:p>
        </w:tc>
        <w:tc>
          <w:tcPr>
            <w:tcW w:w="85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2024</w:t>
            </w:r>
          </w:p>
        </w:tc>
        <w:tc>
          <w:tcPr>
            <w:tcW w:w="4394" w:type="dxa"/>
            <w:tcBorders>
              <w:top w:val="nil"/>
              <w:left w:val="nil"/>
              <w:bottom w:val="single" w:sz="4" w:space="0" w:color="auto"/>
              <w:right w:val="single" w:sz="4" w:space="0" w:color="auto"/>
            </w:tcBorders>
            <w:shd w:val="clear" w:color="auto" w:fill="C6EFCE"/>
            <w:vAlign w:val="center"/>
            <w:hideMark/>
          </w:tcPr>
          <w:p w:rsidR="00D4086A" w:rsidRDefault="00D4086A">
            <w:pPr>
              <w:spacing w:before="120" w:after="120" w:line="240" w:lineRule="auto"/>
              <w:rPr>
                <w:rFonts w:ascii="Times New Roman" w:hAnsi="Times New Roman"/>
                <w:noProof/>
                <w:color w:val="006100"/>
                <w:sz w:val="20"/>
                <w:szCs w:val="20"/>
              </w:rPr>
            </w:pPr>
          </w:p>
        </w:tc>
      </w:tr>
      <w:tr w:rsidR="00D4086A">
        <w:trPr>
          <w:trHeight w:val="70"/>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8</w:t>
            </w:r>
          </w:p>
        </w:tc>
        <w:tc>
          <w:tcPr>
            <w:tcW w:w="1446"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7 – Образование за XXI век – </w:t>
            </w:r>
            <w:r>
              <w:rPr>
                <w:rFonts w:ascii="Times New Roman" w:hAnsi="Times New Roman"/>
                <w:noProof/>
                <w:color w:val="006100"/>
                <w:sz w:val="20"/>
                <w:szCs w:val="20"/>
              </w:rPr>
              <w:t>Инвестиции 2: Приключване на училищната инфраструктура</w:t>
            </w:r>
          </w:p>
        </w:tc>
        <w:tc>
          <w:tcPr>
            <w:tcW w:w="124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Цел</w:t>
            </w:r>
          </w:p>
        </w:tc>
        <w:tc>
          <w:tcPr>
            <w:tcW w:w="2268"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Премахване на двойните смени училища </w:t>
            </w:r>
          </w:p>
        </w:tc>
        <w:tc>
          <w:tcPr>
            <w:tcW w:w="1701"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Брой</w:t>
            </w:r>
          </w:p>
        </w:tc>
        <w:tc>
          <w:tcPr>
            <w:tcW w:w="85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49</w:t>
            </w:r>
          </w:p>
        </w:tc>
        <w:tc>
          <w:tcPr>
            <w:tcW w:w="56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0</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Т2</w:t>
            </w:r>
          </w:p>
        </w:tc>
        <w:tc>
          <w:tcPr>
            <w:tcW w:w="85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2026</w:t>
            </w:r>
          </w:p>
        </w:tc>
        <w:tc>
          <w:tcPr>
            <w:tcW w:w="4394"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Целта е да се премахне настоящата операция на две смени в 49 училища. Отправя се специална покана за училищата на две смени, за да се постро</w:t>
            </w:r>
            <w:r>
              <w:rPr>
                <w:rFonts w:ascii="Times New Roman" w:hAnsi="Times New Roman"/>
                <w:noProof/>
                <w:color w:val="006100"/>
                <w:sz w:val="20"/>
                <w:szCs w:val="20"/>
              </w:rPr>
              <w:t>ят нови помещения или да се направят ремонти на помещенията, които не са подходящи за обслужване на учениците.</w:t>
            </w:r>
          </w:p>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Сградите, подложени на реновиране, допринасят за екологичния преход чрез постигане на най-малко 30 % от икономиите на първична енергия, които под</w:t>
            </w:r>
            <w:r>
              <w:rPr>
                <w:rFonts w:ascii="Times New Roman" w:hAnsi="Times New Roman"/>
                <w:noProof/>
                <w:color w:val="006100"/>
                <w:sz w:val="20"/>
                <w:szCs w:val="20"/>
              </w:rPr>
              <w:t>лежат на мониторинг чрез сертификати за енергоспестяване.</w:t>
            </w:r>
          </w:p>
        </w:tc>
      </w:tr>
      <w:tr w:rsidR="00D4086A">
        <w:trPr>
          <w:trHeight w:val="70"/>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9</w:t>
            </w:r>
          </w:p>
        </w:tc>
        <w:tc>
          <w:tcPr>
            <w:tcW w:w="1446"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Образование за XXI век – Инвестиции 2: Приключване на училищната инфраструктура</w:t>
            </w:r>
          </w:p>
        </w:tc>
        <w:tc>
          <w:tcPr>
            <w:tcW w:w="124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Цел</w:t>
            </w:r>
          </w:p>
        </w:tc>
        <w:tc>
          <w:tcPr>
            <w:tcW w:w="2268"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 броят на училищата със собствена библиотека като образователен център или с модернизирана библиотека</w:t>
            </w:r>
          </w:p>
        </w:tc>
        <w:tc>
          <w:tcPr>
            <w:tcW w:w="1701"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Брой</w:t>
            </w:r>
          </w:p>
        </w:tc>
        <w:tc>
          <w:tcPr>
            <w:tcW w:w="850"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0</w:t>
            </w:r>
          </w:p>
        </w:tc>
        <w:tc>
          <w:tcPr>
            <w:tcW w:w="56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200</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Т4</w:t>
            </w:r>
          </w:p>
        </w:tc>
        <w:tc>
          <w:tcPr>
            <w:tcW w:w="85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2024</w:t>
            </w:r>
          </w:p>
        </w:tc>
        <w:tc>
          <w:tcPr>
            <w:tcW w:w="4394" w:type="dxa"/>
            <w:tcBorders>
              <w:top w:val="nil"/>
              <w:left w:val="nil"/>
              <w:bottom w:val="single" w:sz="4" w:space="0" w:color="auto"/>
              <w:right w:val="single" w:sz="4" w:space="0" w:color="auto"/>
            </w:tcBorders>
            <w:shd w:val="clear" w:color="auto" w:fill="C6EFCE"/>
            <w:vAlign w:val="center"/>
            <w:hideMark/>
          </w:tcPr>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Целта е да се преобразуват училищните библиотеки за образователни центрове в училища, посещавани от повече от 15 ученици от слаба социално-икономическа среда, с цел насърчаване на четивната грамотност, което е приоритет и се постига чрез реновиране на сгра</w:t>
            </w:r>
            <w:r>
              <w:rPr>
                <w:rFonts w:ascii="Times New Roman" w:hAnsi="Times New Roman"/>
                <w:noProof/>
                <w:color w:val="006100"/>
                <w:sz w:val="20"/>
                <w:szCs w:val="20"/>
              </w:rPr>
              <w:t>дите или изграждане на новите такива. За тази цел трябва да има специална покана за представяне на предложения. Това гарантира достъп до книги за учениците – 87 % от учениците в неравностойно социално положение и общо 28 % от учениците, които понастоящем н</w:t>
            </w:r>
            <w:r>
              <w:rPr>
                <w:rFonts w:ascii="Times New Roman" w:hAnsi="Times New Roman"/>
                <w:noProof/>
                <w:color w:val="006100"/>
                <w:sz w:val="20"/>
                <w:szCs w:val="20"/>
              </w:rPr>
              <w:t xml:space="preserve">ямат такава. </w:t>
            </w:r>
          </w:p>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От общата цел за изграждане или реновиране на 211 да бъдат изградени или реновирани най-малко 200 библиотеки.</w:t>
            </w:r>
          </w:p>
          <w:p w:rsidR="00D4086A" w:rsidRDefault="00D5307E">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Сградите, подложени на реновиране, допринасят за екологичния преход, като постигат най-малко 30 % от икономиите на първична енергия,</w:t>
            </w:r>
            <w:r>
              <w:rPr>
                <w:rFonts w:ascii="Times New Roman" w:hAnsi="Times New Roman"/>
                <w:noProof/>
                <w:color w:val="006100"/>
                <w:sz w:val="20"/>
                <w:szCs w:val="20"/>
              </w:rPr>
              <w:t xml:space="preserve"> които трябва да бъдат наблюдавани чрез сертификати за енергоспестяване.</w:t>
            </w:r>
          </w:p>
        </w:tc>
      </w:tr>
    </w:tbl>
    <w:p w:rsidR="00D4086A" w:rsidRDefault="00D4086A">
      <w:pPr>
        <w:spacing w:before="120" w:after="120" w:line="240" w:lineRule="auto"/>
        <w:jc w:val="both"/>
        <w:rPr>
          <w:rFonts w:ascii="Times New Roman" w:hAnsi="Times New Roman"/>
          <w:b/>
          <w:noProof/>
          <w:sz w:val="24"/>
          <w:u w:val="single"/>
        </w:rPr>
        <w:sectPr w:rsidR="00D4086A">
          <w:headerReference w:type="even" r:id="rId96"/>
          <w:headerReference w:type="default" r:id="rId97"/>
          <w:footerReference w:type="even" r:id="rId98"/>
          <w:footerReference w:type="default" r:id="rId99"/>
          <w:headerReference w:type="first" r:id="rId100"/>
          <w:footerReference w:type="first" r:id="rId101"/>
          <w:pgSz w:w="16839" w:h="11907" w:orient="landscape"/>
          <w:pgMar w:top="1418" w:right="1134" w:bottom="1418" w:left="1134" w:header="709" w:footer="709" w:gutter="0"/>
          <w:cols w:space="720"/>
          <w:docGrid w:linePitch="360"/>
        </w:sectPr>
      </w:pPr>
    </w:p>
    <w:p w:rsidR="00D4086A" w:rsidRDefault="00D5307E">
      <w:pPr>
        <w:keepNext/>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КОМПОНЕНТ 8: Подобряване на резултатите на словашките университети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Основната цел на този компонент на словашкия план за възстановяване и устойчивост е да се подобри качеството на работата на словашките висши учебни заведения (ВУЗ). Новата форма на финансиране на професионалните бакалавърски програми и кратките програми за</w:t>
      </w:r>
      <w:r>
        <w:rPr>
          <w:rFonts w:ascii="Times New Roman" w:hAnsi="Times New Roman"/>
          <w:noProof/>
          <w:sz w:val="24"/>
        </w:rPr>
        <w:t xml:space="preserve"> висше образование ще бъде въведена, за да се адаптират по-добре учебните програми към нуждите на пазара на труда. За да се подобри качеството на науката, се установява систематична оценка на резултатите, която подпомага новата система за акредитация. Комп</w:t>
      </w:r>
      <w:r>
        <w:rPr>
          <w:rFonts w:ascii="Times New Roman" w:hAnsi="Times New Roman"/>
          <w:noProof/>
          <w:sz w:val="24"/>
        </w:rPr>
        <w:t>онентът засилва реформата на управлението на университетите чрез предоставяне на повече правомощия на ректора и управителния съвет, както и чрез създаване на схема, която стимулира сливанията на ВУЗ с цел намаляване на административните разходи и създаване</w:t>
      </w:r>
      <w:r>
        <w:rPr>
          <w:rFonts w:ascii="Times New Roman" w:hAnsi="Times New Roman"/>
          <w:noProof/>
          <w:sz w:val="24"/>
        </w:rPr>
        <w:t xml:space="preserve"> на ефект от положителното разпространение на знания сред субектите.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Компонентът включва пет реформи и една инвестиция.</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Очаква се, че нито една мярка в този компонент не вреди в значителна степен на екологичните цели по смисъла на член 17 от Регламент (ЕС</w:t>
      </w:r>
      <w:r>
        <w:rPr>
          <w:rFonts w:ascii="Times New Roman" w:hAnsi="Times New Roman"/>
          <w:noProof/>
          <w:sz w:val="24"/>
          <w:szCs w:val="24"/>
        </w:rPr>
        <w:t xml:space="preserve">)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на DNSH (2021/C58/01).  </w:t>
      </w:r>
    </w:p>
    <w:p w:rsidR="00D4086A" w:rsidRDefault="00D5307E">
      <w:pPr>
        <w:tabs>
          <w:tab w:val="left" w:pos="993"/>
        </w:tabs>
        <w:spacing w:before="120" w:after="120" w:line="240" w:lineRule="auto"/>
        <w:jc w:val="both"/>
        <w:rPr>
          <w:rFonts w:ascii="Times New Roman" w:hAnsi="Times New Roman"/>
          <w:noProof/>
          <w:sz w:val="24"/>
        </w:rPr>
      </w:pPr>
      <w:r>
        <w:rPr>
          <w:rFonts w:ascii="Times New Roman" w:hAnsi="Times New Roman"/>
          <w:noProof/>
          <w:sz w:val="24"/>
        </w:rPr>
        <w:t>Компонентът допринася за изпълнението на спец</w:t>
      </w:r>
      <w:r>
        <w:rPr>
          <w:rFonts w:ascii="Times New Roman" w:hAnsi="Times New Roman"/>
          <w:noProof/>
          <w:sz w:val="24"/>
        </w:rPr>
        <w:t xml:space="preserve">ифичните за всяка държава препоръки, отправени към Словакия през последните две години, относно необходимостта от </w:t>
      </w:r>
      <w:r>
        <w:rPr>
          <w:rFonts w:ascii="Times New Roman" w:hAnsi="Times New Roman"/>
          <w:i/>
          <w:iCs/>
          <w:noProof/>
          <w:sz w:val="24"/>
        </w:rPr>
        <w:t>подобряване на качеството и приобщаващия характер на образованието на всички равнища и насърчаване на уменията</w:t>
      </w:r>
      <w:r>
        <w:rPr>
          <w:rFonts w:ascii="Times New Roman" w:hAnsi="Times New Roman"/>
          <w:noProof/>
          <w:sz w:val="24"/>
        </w:rPr>
        <w:t>.</w:t>
      </w:r>
      <w:r>
        <w:rPr>
          <w:rFonts w:ascii="Times New Roman" w:hAnsi="Times New Roman"/>
          <w:i/>
          <w:iCs/>
          <w:noProof/>
          <w:sz w:val="24"/>
        </w:rPr>
        <w:t xml:space="preserve"> </w:t>
      </w:r>
      <w:r>
        <w:rPr>
          <w:rFonts w:ascii="Times New Roman" w:hAnsi="Times New Roman"/>
          <w:noProof/>
          <w:sz w:val="24"/>
        </w:rPr>
        <w:t>(Специфична за всяка държава п</w:t>
      </w:r>
      <w:r>
        <w:rPr>
          <w:rFonts w:ascii="Times New Roman" w:hAnsi="Times New Roman"/>
          <w:noProof/>
          <w:sz w:val="24"/>
        </w:rPr>
        <w:t xml:space="preserve">репоръка № 2/2019), както и </w:t>
      </w:r>
      <w:r>
        <w:rPr>
          <w:rFonts w:ascii="Times New Roman" w:hAnsi="Times New Roman"/>
          <w:i/>
          <w:noProof/>
          <w:sz w:val="24"/>
        </w:rPr>
        <w:t>за да се гарантира равен достъп до качествено образование</w:t>
      </w:r>
      <w:r>
        <w:rPr>
          <w:rFonts w:ascii="Times New Roman" w:hAnsi="Times New Roman"/>
          <w:noProof/>
          <w:sz w:val="24"/>
        </w:rPr>
        <w:t>. (Специфична за всяка държава препоръка № 2/2020).</w:t>
      </w:r>
    </w:p>
    <w:p w:rsidR="00D4086A" w:rsidRDefault="00D5307E">
      <w:pPr>
        <w:tabs>
          <w:tab w:val="left" w:pos="993"/>
        </w:tabs>
        <w:spacing w:before="120" w:after="120" w:line="240" w:lineRule="auto"/>
        <w:jc w:val="both"/>
        <w:rPr>
          <w:rFonts w:ascii="Times New Roman" w:hAnsi="Times New Roman"/>
          <w:noProof/>
          <w:sz w:val="24"/>
        </w:rPr>
      </w:pPr>
      <w:r>
        <w:rPr>
          <w:rFonts w:ascii="Times New Roman" w:hAnsi="Times New Roman"/>
          <w:noProof/>
          <w:sz w:val="24"/>
        </w:rPr>
        <w:t>Налице е силна връзка с други компоненти, особено с тези, свързани с научните изследвания и иновациите (компонент 9 и 1</w:t>
      </w:r>
      <w:r>
        <w:rPr>
          <w:rFonts w:ascii="Times New Roman" w:hAnsi="Times New Roman"/>
          <w:noProof/>
          <w:sz w:val="24"/>
        </w:rPr>
        <w:t>7), преквалификацията и посрещането на нуждите на пазара на труда (компонент 10).</w:t>
      </w:r>
    </w:p>
    <w:p w:rsidR="00D4086A" w:rsidRDefault="00D5307E">
      <w:pPr>
        <w:spacing w:before="120" w:after="120" w:line="240" w:lineRule="auto"/>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Описание на реформите и инвестициите за безвъзмездна финансова подкрепа</w:t>
      </w:r>
    </w:p>
    <w:p w:rsidR="00D4086A" w:rsidRDefault="00D5307E">
      <w:pPr>
        <w:spacing w:before="120" w:after="120" w:line="240" w:lineRule="auto"/>
        <w:jc w:val="both"/>
        <w:rPr>
          <w:rFonts w:ascii="Times New Roman" w:hAnsi="Times New Roman"/>
          <w:iCs/>
          <w:noProof/>
          <w:sz w:val="24"/>
        </w:rPr>
      </w:pPr>
      <w:r>
        <w:rPr>
          <w:rFonts w:ascii="Times New Roman" w:hAnsi="Times New Roman"/>
          <w:b/>
          <w:noProof/>
          <w:sz w:val="24"/>
        </w:rPr>
        <w:t>Реформа 1: Промяна във финансирането на университетите чрез въвеждане на договори за изпълнение.</w:t>
      </w:r>
      <w:r>
        <w:rPr>
          <w:rFonts w:ascii="Times New Roman" w:hAnsi="Times New Roman"/>
          <w:noProof/>
          <w:sz w:val="24"/>
        </w:rPr>
        <w:t xml:space="preserve"> Въвежда се нов инструмент – договори за изпълнение – в правната система с цел подпомагане на профилирането и диверсификацията на университетите въз основа на техните специфични силни страни и потенциал за развитие.</w:t>
      </w:r>
      <w:r>
        <w:rPr>
          <w:rFonts w:ascii="Times New Roman" w:hAnsi="Times New Roman"/>
          <w:iCs/>
          <w:noProof/>
          <w:sz w:val="24"/>
        </w:rPr>
        <w:t xml:space="preserve"> Договорите за изпълнение трябва да бъдат</w:t>
      </w:r>
      <w:r>
        <w:rPr>
          <w:rFonts w:ascii="Times New Roman" w:hAnsi="Times New Roman"/>
          <w:iCs/>
          <w:noProof/>
          <w:sz w:val="24"/>
        </w:rPr>
        <w:t xml:space="preserve"> подписани от Министерството на образованието, науката, научните изследвания и спорта на Словашката република (MŠVVaŠ SR) с публични университети. Въз основа на споразумението с университетите се определят цели, които се наблюдават чрез подхода U-Multirank</w:t>
      </w:r>
      <w:r>
        <w:rPr>
          <w:rFonts w:ascii="Times New Roman" w:hAnsi="Times New Roman"/>
          <w:iCs/>
          <w:noProof/>
          <w:sz w:val="24"/>
        </w:rPr>
        <w:t xml:space="preserve"> (единна методология за извършване на оценка на изпълнението) и се основават на дългосрочна цел в областта на университетите и националните нужди. </w:t>
      </w:r>
    </w:p>
    <w:p w:rsidR="00D4086A" w:rsidRDefault="00D5307E">
      <w:pPr>
        <w:spacing w:before="120" w:after="120" w:line="240" w:lineRule="auto"/>
        <w:jc w:val="both"/>
        <w:rPr>
          <w:rFonts w:ascii="Times New Roman" w:hAnsi="Times New Roman"/>
          <w:iCs/>
          <w:noProof/>
          <w:sz w:val="24"/>
        </w:rPr>
      </w:pPr>
      <w:r>
        <w:rPr>
          <w:rFonts w:ascii="Times New Roman" w:hAnsi="Times New Roman"/>
          <w:iCs/>
          <w:noProof/>
          <w:sz w:val="24"/>
        </w:rPr>
        <w:t>Очаква се реформата да започне до 31 декември 2022 г. и да приключи до 31 декември 2023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Реформа 2: Въвежд</w:t>
      </w:r>
      <w:r>
        <w:rPr>
          <w:rFonts w:ascii="Times New Roman" w:hAnsi="Times New Roman"/>
          <w:b/>
          <w:noProof/>
          <w:sz w:val="24"/>
        </w:rPr>
        <w:t>ане на система за периодична научна оценка на резултатите.</w:t>
      </w:r>
      <w:r>
        <w:rPr>
          <w:rFonts w:ascii="Times New Roman" w:hAnsi="Times New Roman"/>
          <w:noProof/>
          <w:sz w:val="24"/>
        </w:rPr>
        <w:t xml:space="preserve"> Целта на реформата е да се въведе система за периодична оценка на научните постижения на университетите. Министерството изготвя, в сътрудничество със заинтересованите страни, методология за оценка </w:t>
      </w:r>
      <w:r>
        <w:rPr>
          <w:rFonts w:ascii="Times New Roman" w:hAnsi="Times New Roman"/>
          <w:noProof/>
          <w:sz w:val="24"/>
        </w:rPr>
        <w:t>на научните постижения и я въвежда в правната система. Оценката на изпълнението се организира от министерството пряко или чрез автономна институция, така че оценката да се основава на принципите на независимост и прозрачност. Групата за оценка се състои от</w:t>
      </w:r>
      <w:r>
        <w:rPr>
          <w:rFonts w:ascii="Times New Roman" w:hAnsi="Times New Roman"/>
          <w:noProof/>
          <w:sz w:val="24"/>
        </w:rPr>
        <w:t xml:space="preserve"> местни и чуждестранни отлични изследователи. Оценката се основава на системи за оценка с високо качество от чужбина, като основната идея е британската рамка за високи научни постижения (REF) и се използват специфични параметрични параметри, адаптирани към</w:t>
      </w:r>
      <w:r>
        <w:rPr>
          <w:rFonts w:ascii="Times New Roman" w:hAnsi="Times New Roman"/>
          <w:noProof/>
          <w:sz w:val="24"/>
        </w:rPr>
        <w:t xml:space="preserve"> положението на словашките институции, за да се оцени качеството на резултатите в тази област.</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Изпълнението на реформата приключва до 31 декември 2022 г. </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Реформа 3: Нов подход към акредитацията на висшето образование.</w:t>
      </w:r>
      <w:r>
        <w:rPr>
          <w:rFonts w:ascii="Times New Roman" w:hAnsi="Times New Roman"/>
          <w:noProof/>
          <w:sz w:val="24"/>
        </w:rPr>
        <w:t xml:space="preserve"> Целта на реформата е да се определят </w:t>
      </w:r>
      <w:r>
        <w:rPr>
          <w:rFonts w:ascii="Times New Roman" w:hAnsi="Times New Roman"/>
          <w:noProof/>
          <w:sz w:val="24"/>
        </w:rPr>
        <w:t>новите стандарти и критерии за акредитиране на учебните програми, които да затегнат условията за гарантиране и изпълнение на учебните програми, да подобрят тяхното качество и да въведат процеси за мониторинг на качеството в дългосрочен план. Нова система и</w:t>
      </w:r>
      <w:r>
        <w:rPr>
          <w:rFonts w:ascii="Times New Roman" w:hAnsi="Times New Roman"/>
          <w:noProof/>
          <w:sz w:val="24"/>
        </w:rPr>
        <w:t xml:space="preserve">зисква университетите да включват студенти, външни заинтересовани страни (по-специално работодатели) в изготвянето, мониторинга и адаптирането на учебните програми, а университетите да следят отблизо напредъка и потребностите на студентите, усвояването на </w:t>
      </w:r>
      <w:r>
        <w:rPr>
          <w:rFonts w:ascii="Times New Roman" w:hAnsi="Times New Roman"/>
          <w:noProof/>
          <w:sz w:val="24"/>
        </w:rPr>
        <w:t>дипломираните лица и цялостната удовлетвореност на студентите.</w:t>
      </w:r>
      <w:r>
        <w:rPr>
          <w:noProof/>
        </w:rPr>
        <w:t xml:space="preserve"> </w:t>
      </w:r>
      <w:r>
        <w:rPr>
          <w:rFonts w:ascii="Times New Roman" w:hAnsi="Times New Roman"/>
          <w:noProof/>
          <w:sz w:val="24"/>
        </w:rPr>
        <w:t>Словашката агенция за акредитация на висшето образование (SAAVŠ) упражнява външен надзор върху прилагането на тези правила. По подразбиране SAAVŠ използва чуждестранните оценители и практикуващ</w:t>
      </w:r>
      <w:r>
        <w:rPr>
          <w:rFonts w:ascii="Times New Roman" w:hAnsi="Times New Roman"/>
          <w:noProof/>
          <w:sz w:val="24"/>
        </w:rPr>
        <w:t xml:space="preserve">и юристи при оценяването на университетските програми. Очаква се най-малко 90 % от университетите да кандидатстват за проверка на съответствието на вътрешните системи за качество и учебните програми със стандартите за акредитация.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w:t>
      </w:r>
      <w:r>
        <w:rPr>
          <w:rFonts w:ascii="Times New Roman" w:hAnsi="Times New Roman"/>
          <w:noProof/>
          <w:sz w:val="24"/>
        </w:rPr>
        <w:t xml:space="preserve">а приключва до 31 декември 2022 г. </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Реформа 4: Реформа на управлението на университетите.</w:t>
      </w:r>
      <w:r>
        <w:rPr>
          <w:rFonts w:ascii="Times New Roman" w:hAnsi="Times New Roman"/>
          <w:noProof/>
          <w:sz w:val="24"/>
        </w:rPr>
        <w:t xml:space="preserve"> Реформата чрез изменението на Закона за висшето образование ще увеличи правомощията на ректора и съвета на директорите, така че да отразява по-добре отговорността и д</w:t>
      </w:r>
      <w:r>
        <w:rPr>
          <w:rFonts w:ascii="Times New Roman" w:hAnsi="Times New Roman"/>
          <w:noProof/>
          <w:sz w:val="24"/>
        </w:rPr>
        <w:t>а позволи по-голяма гъвкавост в рамките на висшето училище. Реформата също така премахва ограниченията по отношение на назначаването на преподаватели и преподаватели (настоящото изискване за допълнителна хабилитация или учредителна процедура и степените на</w:t>
      </w:r>
      <w:r>
        <w:rPr>
          <w:rFonts w:ascii="Times New Roman" w:hAnsi="Times New Roman"/>
          <w:noProof/>
          <w:sz w:val="24"/>
        </w:rPr>
        <w:t xml:space="preserve"> преподавател и професор), като по този начин се насърчава отвореността на академичната среда както за професионалните, така и за чуждестранните кандидати. Назначаването на ръководни длъжности в университетите (ректор, ръководител на факултета) се професио</w:t>
      </w:r>
      <w:r>
        <w:rPr>
          <w:rFonts w:ascii="Times New Roman" w:hAnsi="Times New Roman"/>
          <w:noProof/>
          <w:sz w:val="24"/>
        </w:rPr>
        <w:t>нализира и се извършва под формата на конкурси на общо основание или публични изслушвания. Освен това експертите могат да участват в конкурси на общо основание за мандат. Законът за висшето образование премахва условието персоналът на длъжност професор и п</w:t>
      </w:r>
      <w:r>
        <w:rPr>
          <w:rFonts w:ascii="Times New Roman" w:hAnsi="Times New Roman"/>
          <w:noProof/>
          <w:sz w:val="24"/>
        </w:rPr>
        <w:t xml:space="preserve">реподавател да има научна/педагогическа степен.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31 декември 2021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Реформа 5: Концентриране на отлични образователни и научноизследователски способности.</w:t>
      </w:r>
      <w:r>
        <w:rPr>
          <w:rFonts w:ascii="Times New Roman" w:hAnsi="Times New Roman"/>
          <w:noProof/>
          <w:sz w:val="24"/>
        </w:rPr>
        <w:t xml:space="preserve"> Целта на реформата е да се насърчи обединяването на универси</w:t>
      </w:r>
      <w:r>
        <w:rPr>
          <w:rFonts w:ascii="Times New Roman" w:hAnsi="Times New Roman"/>
          <w:noProof/>
          <w:sz w:val="24"/>
        </w:rPr>
        <w:t>тетите в по-големи единици. В Словакия има над 30 университета с разпокъсан научноизследователски капацитет и недостатъчно сътрудничество с бизнеса. Министерството на образованието, науката, научните изследвания и спорта на Словашката република (MŠVVaŠ SR)</w:t>
      </w:r>
      <w:r>
        <w:rPr>
          <w:rFonts w:ascii="Times New Roman" w:hAnsi="Times New Roman"/>
          <w:noProof/>
          <w:sz w:val="24"/>
        </w:rPr>
        <w:t xml:space="preserve"> одобрява пътна карта за две големи звена на висши учебни заведения и впоследствие за следващата група университети. </w:t>
      </w:r>
    </w:p>
    <w:p w:rsidR="00D4086A" w:rsidRDefault="00D5307E">
      <w:pPr>
        <w:spacing w:before="120" w:after="120" w:line="240" w:lineRule="auto"/>
        <w:jc w:val="both"/>
        <w:rPr>
          <w:rFonts w:ascii="Times New Roman" w:hAnsi="Times New Roman"/>
          <w:noProof/>
          <w:spacing w:val="-2"/>
          <w:sz w:val="24"/>
        </w:rPr>
      </w:pPr>
      <w:r>
        <w:rPr>
          <w:rFonts w:ascii="Times New Roman" w:hAnsi="Times New Roman"/>
          <w:noProof/>
          <w:spacing w:val="-2"/>
          <w:sz w:val="24"/>
        </w:rPr>
        <w:t>Очаква се реформата да започне до 31 декември 2021 г. и да приключи до 30 юни 2026 г.</w:t>
      </w:r>
    </w:p>
    <w:p w:rsidR="00D4086A" w:rsidRDefault="00D5307E">
      <w:pPr>
        <w:spacing w:before="120" w:after="120" w:line="240" w:lineRule="auto"/>
        <w:jc w:val="both"/>
        <w:rPr>
          <w:rFonts w:ascii="Times New Roman" w:hAnsi="Times New Roman"/>
          <w:noProof/>
          <w:sz w:val="24"/>
        </w:rPr>
      </w:pPr>
      <w:r>
        <w:rPr>
          <w:rFonts w:ascii="Times New Roman" w:hAnsi="Times New Roman"/>
          <w:noProof/>
          <w:spacing w:val="-2"/>
          <w:sz w:val="24"/>
        </w:rPr>
        <w:br w:type="page"/>
      </w:r>
      <w:r>
        <w:rPr>
          <w:rFonts w:ascii="Times New Roman" w:hAnsi="Times New Roman"/>
          <w:b/>
          <w:noProof/>
          <w:sz w:val="24"/>
        </w:rPr>
        <w:t>Инвестиция 1: Инвестиционна подкрепа за стратегичес</w:t>
      </w:r>
      <w:r>
        <w:rPr>
          <w:rFonts w:ascii="Times New Roman" w:hAnsi="Times New Roman"/>
          <w:b/>
          <w:noProof/>
          <w:sz w:val="24"/>
        </w:rPr>
        <w:t>кото развитие на университетите.</w:t>
      </w:r>
      <w:r>
        <w:rPr>
          <w:rFonts w:ascii="Times New Roman" w:hAnsi="Times New Roman"/>
          <w:noProof/>
          <w:sz w:val="24"/>
          <w:u w:val="single"/>
        </w:rPr>
        <w:t xml:space="preserve">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Инвестициите подкрепят преди всичко реформата 5, насочена към сливане на потенциала за високи постижения на университетите. Инвестициите могат да бъдат канализирани чрез две различни схеми. Първата, която подкрепя проекти </w:t>
      </w:r>
      <w:r>
        <w:rPr>
          <w:rFonts w:ascii="Times New Roman" w:hAnsi="Times New Roman"/>
          <w:noProof/>
          <w:sz w:val="24"/>
        </w:rPr>
        <w:t>за развитие на инфраструктура за научни изследвания, образование и настаняване с висока добавена стойност за отлични научни изследвания, като например: модернизиране на съществуващите или новите пространства за съсредоточаване на отлични научни изследвания</w:t>
      </w:r>
      <w:r>
        <w:rPr>
          <w:rFonts w:ascii="Times New Roman" w:hAnsi="Times New Roman"/>
          <w:noProof/>
          <w:sz w:val="24"/>
        </w:rPr>
        <w:t xml:space="preserve"> и докторски програми, включително чуждестранни изследователи, модернизиране на съществуващите или новите пространства за практическо преподаване в професионални бакалавърски курсове, премахване на бариерите и цифровизацията. Втората схема подпомага управл</w:t>
      </w:r>
      <w:r>
        <w:rPr>
          <w:rFonts w:ascii="Times New Roman" w:hAnsi="Times New Roman"/>
          <w:noProof/>
          <w:sz w:val="24"/>
        </w:rPr>
        <w:t xml:space="preserve">ението на проекти въз основа на одобрената пътна карта. Обхватът на инвестициите се определя в плана, свързан с процеса на обединяване на университетските единици.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30 юни 2026 г.</w:t>
      </w:r>
    </w:p>
    <w:p w:rsidR="00D4086A" w:rsidRDefault="00D4086A">
      <w:pPr>
        <w:spacing w:before="120" w:after="120" w:line="240" w:lineRule="auto"/>
        <w:jc w:val="both"/>
        <w:rPr>
          <w:rFonts w:ascii="Times New Roman" w:hAnsi="Times New Roman"/>
          <w:noProof/>
          <w:sz w:val="24"/>
        </w:rPr>
      </w:pPr>
    </w:p>
    <w:p w:rsidR="00D4086A" w:rsidRDefault="00D4086A">
      <w:pPr>
        <w:spacing w:before="120" w:after="120" w:line="240" w:lineRule="auto"/>
        <w:jc w:val="both"/>
        <w:rPr>
          <w:rFonts w:ascii="Times New Roman" w:hAnsi="Times New Roman"/>
          <w:noProof/>
          <w:sz w:val="24"/>
        </w:rPr>
        <w:sectPr w:rsidR="00D4086A">
          <w:headerReference w:type="even" r:id="rId102"/>
          <w:headerReference w:type="default" r:id="rId103"/>
          <w:footerReference w:type="even" r:id="rId104"/>
          <w:footerReference w:type="default" r:id="rId105"/>
          <w:headerReference w:type="first" r:id="rId106"/>
          <w:footerReference w:type="first" r:id="rId107"/>
          <w:pgSz w:w="11907" w:h="16839"/>
          <w:pgMar w:top="1134" w:right="1418" w:bottom="1134" w:left="1418" w:header="709" w:footer="709" w:gutter="0"/>
          <w:cols w:space="720"/>
          <w:docGrid w:linePitch="360"/>
        </w:sectPr>
      </w:pPr>
    </w:p>
    <w:p w:rsidR="00D4086A" w:rsidRDefault="00D5307E">
      <w:pPr>
        <w:spacing w:before="120" w:after="120" w:line="240" w:lineRule="auto"/>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Ключови етапи, цели, показатели и график за мониторинг и изпълнение на безвъзмездната финансова подкрепа</w:t>
      </w:r>
    </w:p>
    <w:p w:rsidR="00D4086A" w:rsidRDefault="00D4086A">
      <w:pPr>
        <w:spacing w:before="120" w:after="120" w:line="240" w:lineRule="auto"/>
        <w:jc w:val="both"/>
        <w:rPr>
          <w:rFonts w:ascii="Times New Roman" w:hAnsi="Times New Roman"/>
          <w:b/>
          <w:noProof/>
          <w:sz w:val="24"/>
          <w:szCs w:val="24"/>
          <w:u w:val="single"/>
        </w:rPr>
      </w:pPr>
    </w:p>
    <w:tbl>
      <w:tblPr>
        <w:tblW w:w="0" w:type="auto"/>
        <w:tblLayout w:type="fixed"/>
        <w:tblLook w:val="04A0" w:firstRow="1" w:lastRow="0" w:firstColumn="1" w:lastColumn="0" w:noHBand="0" w:noVBand="1"/>
      </w:tblPr>
      <w:tblGrid>
        <w:gridCol w:w="817"/>
        <w:gridCol w:w="1404"/>
        <w:gridCol w:w="777"/>
        <w:gridCol w:w="1458"/>
        <w:gridCol w:w="1267"/>
        <w:gridCol w:w="1331"/>
        <w:gridCol w:w="851"/>
        <w:gridCol w:w="708"/>
        <w:gridCol w:w="1134"/>
        <w:gridCol w:w="993"/>
        <w:gridCol w:w="3825"/>
      </w:tblGrid>
      <w:tr w:rsidR="00D4086A">
        <w:trPr>
          <w:trHeight w:val="900"/>
        </w:trPr>
        <w:tc>
          <w:tcPr>
            <w:tcW w:w="817"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404"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Свързана мярка (реформа или инвестиция)</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777"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Ключов етап / Цел</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458"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Наименование</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267"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Качествени </w:t>
            </w:r>
            <w:r>
              <w:rPr>
                <w:rFonts w:ascii="Times New Roman" w:hAnsi="Times New Roman"/>
                <w:b/>
                <w:bCs/>
                <w:noProof/>
                <w:sz w:val="20"/>
                <w:szCs w:val="20"/>
              </w:rPr>
              <w:t>показатели</w:t>
            </w:r>
            <w:r>
              <w:rPr>
                <w:rFonts w:ascii="Times New Roman" w:hAnsi="Times New Roman"/>
                <w:noProof/>
                <w:sz w:val="20"/>
                <w:szCs w:val="20"/>
              </w:rPr>
              <w:t xml:space="preserve">  </w:t>
            </w:r>
            <w:r>
              <w:rPr>
                <w:rFonts w:ascii="Times New Roman" w:hAnsi="Times New Roman"/>
                <w:b/>
                <w:bCs/>
                <w:noProof/>
                <w:sz w:val="20"/>
                <w:szCs w:val="20"/>
              </w:rPr>
              <w:t xml:space="preserve"> (за ключовите етапи)</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2890"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w:t>
            </w:r>
            <w:r>
              <w:rPr>
                <w:rFonts w:ascii="Times New Roman" w:hAnsi="Times New Roman"/>
                <w:noProof/>
                <w:sz w:val="20"/>
                <w:szCs w:val="20"/>
              </w:rPr>
              <w:t xml:space="preserve"> </w:t>
            </w:r>
            <w:r>
              <w:rPr>
                <w:rFonts w:ascii="Times New Roman" w:hAnsi="Times New Roman"/>
                <w:b/>
                <w:bCs/>
                <w:noProof/>
                <w:sz w:val="20"/>
                <w:szCs w:val="20"/>
              </w:rPr>
              <w:t>(за целите)</w:t>
            </w:r>
          </w:p>
        </w:tc>
        <w:tc>
          <w:tcPr>
            <w:tcW w:w="2127" w:type="dxa"/>
            <w:gridSpan w:val="2"/>
            <w:tcBorders>
              <w:top w:val="single" w:sz="8" w:space="0" w:color="auto"/>
              <w:left w:val="nil"/>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Ориентировъчен график за приключване </w:t>
            </w:r>
          </w:p>
        </w:tc>
        <w:tc>
          <w:tcPr>
            <w:tcW w:w="3825" w:type="dxa"/>
            <w:vMerge w:val="restart"/>
            <w:tcBorders>
              <w:top w:val="single" w:sz="8" w:space="0" w:color="auto"/>
              <w:left w:val="nil"/>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Описание и ясно определяне на всеки ключов етап и цел</w:t>
            </w:r>
          </w:p>
          <w:p w:rsidR="00D4086A" w:rsidRDefault="00D5307E">
            <w:pPr>
              <w:rPr>
                <w:rFonts w:ascii="Times New Roman" w:hAnsi="Times New Roman"/>
                <w:noProof/>
                <w:sz w:val="20"/>
                <w:szCs w:val="20"/>
              </w:rPr>
            </w:pPr>
            <w:r>
              <w:rPr>
                <w:rFonts w:ascii="Times New Roman" w:hAnsi="Times New Roman"/>
                <w:noProof/>
                <w:sz w:val="20"/>
                <w:szCs w:val="20"/>
              </w:rPr>
              <w:t xml:space="preserve"> </w:t>
            </w:r>
          </w:p>
        </w:tc>
      </w:tr>
      <w:tr w:rsidR="00D4086A">
        <w:trPr>
          <w:trHeight w:val="540"/>
        </w:trPr>
        <w:tc>
          <w:tcPr>
            <w:tcW w:w="817"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404"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777"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458"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267"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331"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мерна единица</w:t>
            </w:r>
          </w:p>
        </w:tc>
        <w:tc>
          <w:tcPr>
            <w:tcW w:w="851" w:type="dxa"/>
            <w:tcBorders>
              <w:top w:val="nil"/>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Базова линия</w:t>
            </w:r>
          </w:p>
        </w:tc>
        <w:tc>
          <w:tcPr>
            <w:tcW w:w="708" w:type="dxa"/>
            <w:tcBorders>
              <w:top w:val="nil"/>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Цел </w:t>
            </w:r>
          </w:p>
        </w:tc>
        <w:tc>
          <w:tcPr>
            <w:tcW w:w="1134"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Тримесечие</w:t>
            </w:r>
          </w:p>
        </w:tc>
        <w:tc>
          <w:tcPr>
            <w:tcW w:w="993" w:type="dxa"/>
            <w:tcBorders>
              <w:top w:val="nil"/>
              <w:left w:val="nil"/>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Година</w:t>
            </w:r>
          </w:p>
        </w:tc>
        <w:tc>
          <w:tcPr>
            <w:tcW w:w="3825" w:type="dxa"/>
            <w:vMerge/>
            <w:tcBorders>
              <w:left w:val="single" w:sz="8" w:space="0" w:color="auto"/>
              <w:bottom w:val="single" w:sz="8" w:space="0" w:color="auto"/>
              <w:right w:val="single" w:sz="8" w:space="0" w:color="auto"/>
            </w:tcBorders>
            <w:shd w:val="clear" w:color="auto" w:fill="BDD7EE"/>
            <w:vAlign w:val="center"/>
          </w:tcPr>
          <w:p w:rsidR="00D4086A" w:rsidRDefault="00D4086A">
            <w:pPr>
              <w:rPr>
                <w:rFonts w:ascii="Times New Roman" w:hAnsi="Times New Roman"/>
                <w:noProof/>
                <w:sz w:val="20"/>
                <w:szCs w:val="20"/>
              </w:rPr>
            </w:pPr>
          </w:p>
        </w:tc>
      </w:tr>
      <w:tr w:rsidR="00D4086A">
        <w:trPr>
          <w:trHeight w:val="82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8 – Увеличаване на резултатите на словашките висши учебни заведения – реформа 1:Промяна във финансирането на университетите, включително въвеждането на договори за изпълнение</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Въвеждане на договори за изпълнение</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Сключване на </w:t>
            </w:r>
            <w:r>
              <w:rPr>
                <w:rFonts w:ascii="Times New Roman" w:hAnsi="Times New Roman"/>
                <w:noProof/>
                <w:color w:val="006100"/>
                <w:sz w:val="20"/>
                <w:szCs w:val="20"/>
              </w:rPr>
              <w:t>всеобхватно споразумение с университетите на Министерството на образованието, науката, научните изследвания и спорта на Словашката република (MŠVVaŠ SR)</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993"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Договорите за изпълнение подкрепят профилирането и диверсификацията на университетите въз</w:t>
            </w:r>
            <w:r>
              <w:rPr>
                <w:rFonts w:ascii="Times New Roman" w:hAnsi="Times New Roman"/>
                <w:noProof/>
                <w:color w:val="006100"/>
                <w:sz w:val="20"/>
                <w:szCs w:val="20"/>
              </w:rPr>
              <w:t xml:space="preserve"> основа на силните им страни, потенциала им за развитие, намаляването на броя на учебните програми, както и концентрацията на ресурси. Наред с другото, целта е да се увеличи делът на професионално ориентираните програми за висше образование в областта на в</w:t>
            </w:r>
            <w:r>
              <w:rPr>
                <w:rFonts w:ascii="Times New Roman" w:hAnsi="Times New Roman"/>
                <w:noProof/>
                <w:color w:val="006100"/>
                <w:sz w:val="20"/>
                <w:szCs w:val="20"/>
              </w:rPr>
              <w:t>исшето образование от 4 % на 10 % на четвъртото тримесечие на 2024 г.</w:t>
            </w:r>
          </w:p>
        </w:tc>
      </w:tr>
      <w:tr w:rsidR="00D4086A">
        <w:trPr>
          <w:trHeight w:val="123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8 – Увеличаване на резултатите на словашките висши учебни заведения – реформа 1:Промяна във финансирането на университетите, включително въвеждането на договори за изпълнение</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Договори за изпълнение, подписани с публични университети (в проценти) </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неприложимо</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90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993"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2023</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Най-малко 90 % от подписаните договори за изпълнение. </w:t>
            </w:r>
          </w:p>
        </w:tc>
      </w:tr>
      <w:tr w:rsidR="00D4086A">
        <w:trPr>
          <w:trHeight w:val="145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3</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8 – Увеличаване на резултатите на словашките висши учебни заведения – Реформа 2: Въвеждане на </w:t>
            </w:r>
            <w:r>
              <w:rPr>
                <w:rFonts w:ascii="Times New Roman" w:hAnsi="Times New Roman"/>
                <w:noProof/>
                <w:color w:val="006100"/>
                <w:sz w:val="20"/>
                <w:szCs w:val="20"/>
              </w:rPr>
              <w:t>система за периодична научна оценка на резултатите</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Определяне на системата за периодична оценка на научните постижения, въведена със Закон № 172/2005</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Закон № 172/2005 за оценка на научните резултати и методология за периодична</w:t>
            </w:r>
            <w:r>
              <w:rPr>
                <w:rFonts w:ascii="Times New Roman" w:hAnsi="Times New Roman"/>
                <w:noProof/>
                <w:color w:val="006100"/>
                <w:sz w:val="20"/>
                <w:szCs w:val="20"/>
              </w:rPr>
              <w:t xml:space="preserve"> научна оценка на резултатите</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Т1</w:t>
            </w:r>
          </w:p>
        </w:tc>
        <w:tc>
          <w:tcPr>
            <w:tcW w:w="993"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Създава се система за периодична оценка на научните постижения на университетите, с участието на международни оценители, за да се гарантира диверсификацията на университетите по отношение на качеството на техните</w:t>
            </w:r>
            <w:r>
              <w:rPr>
                <w:rFonts w:ascii="Times New Roman" w:hAnsi="Times New Roman"/>
                <w:noProof/>
                <w:color w:val="006100"/>
                <w:sz w:val="20"/>
                <w:szCs w:val="20"/>
              </w:rPr>
              <w:t xml:space="preserve"> научни постижения в отделните области и определянето на отлични научноизследователски екипи в отделните университети. </w:t>
            </w:r>
          </w:p>
          <w:p w:rsidR="00D4086A" w:rsidRDefault="00D5307E">
            <w:pPr>
              <w:rPr>
                <w:rFonts w:ascii="Times New Roman" w:hAnsi="Times New Roman"/>
                <w:noProof/>
                <w:sz w:val="20"/>
                <w:szCs w:val="20"/>
              </w:rPr>
            </w:pPr>
            <w:r>
              <w:rPr>
                <w:rFonts w:ascii="Times New Roman" w:hAnsi="Times New Roman"/>
                <w:noProof/>
                <w:color w:val="006100"/>
                <w:sz w:val="20"/>
                <w:szCs w:val="20"/>
              </w:rPr>
              <w:t>По този начин оценката ще бъде унифицирана за университетите, но също така и за други научноизследователски институции (SAV, други несто</w:t>
            </w:r>
            <w:r>
              <w:rPr>
                <w:rFonts w:ascii="Times New Roman" w:hAnsi="Times New Roman"/>
                <w:noProof/>
                <w:color w:val="006100"/>
                <w:sz w:val="20"/>
                <w:szCs w:val="20"/>
              </w:rPr>
              <w:t>пански и частни научноизследователски институции).</w:t>
            </w:r>
          </w:p>
        </w:tc>
      </w:tr>
      <w:tr w:rsidR="00D4086A">
        <w:trPr>
          <w:trHeight w:val="51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4</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8 – Увеличаване на резултатите на словашките висши учебни заведения – Реформа 2: Въвеждане на система за периодична научна оценка на резултатите</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Цел</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 xml:space="preserve">Брой извършени оценки </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 xml:space="preserve"> Брой</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 xml:space="preserve"> 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20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sz w:val="20"/>
                <w:szCs w:val="20"/>
              </w:rPr>
              <w:t>Т4</w:t>
            </w:r>
          </w:p>
        </w:tc>
        <w:tc>
          <w:tcPr>
            <w:tcW w:w="993"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sz w:val="20"/>
                <w:szCs w:val="20"/>
              </w:rPr>
              <w:t>2022</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Целта се отнася до всички публични университети. </w:t>
            </w:r>
          </w:p>
        </w:tc>
      </w:tr>
      <w:tr w:rsidR="00D4086A">
        <w:trPr>
          <w:trHeight w:val="9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5</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8 – Увеличаване на резултатите на словашките висши учебни заведения – реформа 3: Нов подход към акредитацията на висшето образование</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Процент на университетите кандидатстват за проверка на </w:t>
            </w:r>
            <w:r>
              <w:rPr>
                <w:rFonts w:ascii="Times New Roman" w:hAnsi="Times New Roman"/>
                <w:noProof/>
                <w:color w:val="006100"/>
                <w:sz w:val="20"/>
                <w:szCs w:val="20"/>
              </w:rPr>
              <w:t>съответствието на вътрешните системи за качество и учебните програми със стандартите</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90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993"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Най-малко 90 % от университетите са кандидатствали за проверка на съответствието на техните вътрешни системи за качество и учебни програми с новите станда</w:t>
            </w:r>
            <w:r>
              <w:rPr>
                <w:rFonts w:ascii="Times New Roman" w:hAnsi="Times New Roman"/>
                <w:noProof/>
                <w:color w:val="006100"/>
                <w:sz w:val="20"/>
                <w:szCs w:val="20"/>
              </w:rPr>
              <w:t xml:space="preserve">рти за акредитация. </w:t>
            </w:r>
          </w:p>
          <w:p w:rsidR="00D4086A" w:rsidRDefault="00D5307E">
            <w:pPr>
              <w:rPr>
                <w:rFonts w:ascii="Times New Roman" w:hAnsi="Times New Roman"/>
                <w:noProof/>
                <w:sz w:val="20"/>
                <w:szCs w:val="20"/>
              </w:rPr>
            </w:pPr>
            <w:r>
              <w:rPr>
                <w:rFonts w:ascii="Times New Roman" w:hAnsi="Times New Roman"/>
                <w:noProof/>
                <w:color w:val="006100"/>
                <w:sz w:val="20"/>
                <w:szCs w:val="20"/>
              </w:rPr>
              <w:t>Новите стандарти за акредитация затвърждават стандартите и условията за гарантиране и изпълнение на учебните програми. За акредитацията са необходими пет университетски преподаватели с висококачествени научни постижения, както и прилаг</w:t>
            </w:r>
            <w:r>
              <w:rPr>
                <w:rFonts w:ascii="Times New Roman" w:hAnsi="Times New Roman"/>
                <w:noProof/>
                <w:color w:val="006100"/>
                <w:sz w:val="20"/>
                <w:szCs w:val="20"/>
              </w:rPr>
              <w:t xml:space="preserve">ането на ориентирана към студентите качествена образователна система. </w:t>
            </w:r>
          </w:p>
          <w:p w:rsidR="00D4086A" w:rsidRDefault="00D5307E">
            <w:pPr>
              <w:rPr>
                <w:rFonts w:ascii="Times New Roman" w:hAnsi="Times New Roman"/>
                <w:noProof/>
                <w:sz w:val="20"/>
                <w:szCs w:val="20"/>
              </w:rPr>
            </w:pPr>
            <w:r>
              <w:rPr>
                <w:rFonts w:ascii="Times New Roman" w:hAnsi="Times New Roman"/>
                <w:noProof/>
                <w:color w:val="006100"/>
                <w:sz w:val="20"/>
                <w:szCs w:val="20"/>
              </w:rPr>
              <w:t>Чуждестранните оценители също редовно участват в оценяването на съответствието със стандартите за акредитация за качество на образованието. По-строгите правила водят до намаляване на бр</w:t>
            </w:r>
            <w:r>
              <w:rPr>
                <w:rFonts w:ascii="Times New Roman" w:hAnsi="Times New Roman"/>
                <w:noProof/>
                <w:color w:val="006100"/>
                <w:sz w:val="20"/>
                <w:szCs w:val="20"/>
              </w:rPr>
              <w:t>оя на учебните програми, по-голяма диверсификация и профилиране и по-голяма ориентация на студентите, тъй като университетите се съсредоточават върху програми, в които могат да осигурят най-високо качество на образованието.</w:t>
            </w:r>
          </w:p>
        </w:tc>
      </w:tr>
      <w:tr w:rsidR="00D4086A">
        <w:trPr>
          <w:trHeight w:val="174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6</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8 – Увеличаване на </w:t>
            </w:r>
            <w:r>
              <w:rPr>
                <w:rFonts w:ascii="Times New Roman" w:hAnsi="Times New Roman"/>
                <w:noProof/>
                <w:color w:val="006100"/>
                <w:sz w:val="20"/>
                <w:szCs w:val="20"/>
              </w:rPr>
              <w:t>резултатите на словашките висши учебни заведения – Реформа 4: Реформа на управлението на университетите</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Реформата на системата за управление на висшите учебни заведения</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Влизане в сила на изменението на Закон № 131/2002 за висшето образование, </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993"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2021</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С изменението на Закон № 131/2002 за висшето образование се реформира системата за управление на университетите. Изменението на Закона за висшето образование укрепва компетенциите на ректора и на съвета на директорите, чийто състав се реформи</w:t>
            </w:r>
            <w:r>
              <w:rPr>
                <w:rFonts w:ascii="Times New Roman" w:hAnsi="Times New Roman"/>
                <w:noProof/>
                <w:color w:val="006100"/>
                <w:sz w:val="20"/>
                <w:szCs w:val="20"/>
              </w:rPr>
              <w:t xml:space="preserve">ра, променя се методът за избор на ректор, се отваря механизмът на функционалните длъжности и се опростяват изискванията за вътрешната организация на академичните среди, като се гарантира училищната автономия и свободата на науката.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При укрепването на п</w:t>
            </w:r>
            <w:r>
              <w:rPr>
                <w:rFonts w:ascii="Times New Roman" w:hAnsi="Times New Roman"/>
                <w:noProof/>
                <w:color w:val="006100"/>
                <w:sz w:val="20"/>
                <w:szCs w:val="20"/>
              </w:rPr>
              <w:t>равомощията на Съвета на директорите се разглеждат въпроси, свързани със стратегическото управление на университета, докато участието на представители на държавите се ограничава по такъв начин, че централното правителство да не може да поеме контрола върху</w:t>
            </w:r>
            <w:r>
              <w:rPr>
                <w:rFonts w:ascii="Times New Roman" w:hAnsi="Times New Roman"/>
                <w:noProof/>
                <w:color w:val="006100"/>
                <w:sz w:val="20"/>
                <w:szCs w:val="20"/>
              </w:rPr>
              <w:t xml:space="preserve"> съвета на директорите. Академичната свобода по никакъв начин не се засяга.</w:t>
            </w:r>
          </w:p>
        </w:tc>
      </w:tr>
      <w:tr w:rsidR="00D4086A">
        <w:trPr>
          <w:trHeight w:val="75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7</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8 – Увеличаване на резултатите на словашките висши учебни заведения – реформа 5: Концентрация на отличния образователен и научноизследователски капацитет</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Начало</w:t>
            </w:r>
          </w:p>
          <w:p w:rsidR="00D4086A" w:rsidRDefault="00D5307E">
            <w:pPr>
              <w:rPr>
                <w:rFonts w:ascii="Times New Roman" w:hAnsi="Times New Roman"/>
                <w:noProof/>
                <w:sz w:val="20"/>
                <w:szCs w:val="20"/>
              </w:rPr>
            </w:pPr>
            <w:r>
              <w:rPr>
                <w:rFonts w:ascii="Times New Roman" w:hAnsi="Times New Roman"/>
                <w:noProof/>
                <w:color w:val="006100"/>
                <w:sz w:val="20"/>
                <w:szCs w:val="20"/>
              </w:rPr>
              <w:t>обединяване на университетите в по-големи единици</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Одобрена от Министерството на образованието, науката, научните изследвания и спорта на Словашката република (MŠVVaŠ SR), обединяваща пътна карта за най-малко 2 университетски отдела.</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993"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2021</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highlight w:val="yellow"/>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Одобрена</w:t>
            </w:r>
            <w:r>
              <w:rPr>
                <w:rFonts w:ascii="Times New Roman" w:hAnsi="Times New Roman"/>
                <w:noProof/>
                <w:color w:val="006100"/>
                <w:sz w:val="20"/>
                <w:szCs w:val="20"/>
              </w:rPr>
              <w:t xml:space="preserve"> пътна карта за групиране за най-малко 2 университетски единици. Пътната карта трябва да разработи графика и различните стъпки, водещи до свързването на висшите учебни заведения.</w:t>
            </w:r>
            <w:r>
              <w:rPr>
                <w:rFonts w:ascii="Times New Roman" w:hAnsi="Times New Roman"/>
                <w:noProof/>
                <w:sz w:val="20"/>
                <w:szCs w:val="20"/>
              </w:rPr>
              <w:t xml:space="preserve"> </w:t>
            </w:r>
            <w:r>
              <w:rPr>
                <w:rFonts w:ascii="Times New Roman" w:hAnsi="Times New Roman"/>
                <w:noProof/>
                <w:color w:val="006100"/>
                <w:sz w:val="20"/>
                <w:szCs w:val="20"/>
              </w:rPr>
              <w:t xml:space="preserve">Самият процес на смесено финансиране се подпомага от инвестиции от Механизма </w:t>
            </w:r>
            <w:r>
              <w:rPr>
                <w:rFonts w:ascii="Times New Roman" w:hAnsi="Times New Roman"/>
                <w:noProof/>
                <w:color w:val="006100"/>
                <w:sz w:val="20"/>
                <w:szCs w:val="20"/>
              </w:rPr>
              <w:t>за възстановяване, както и от договори за изпълнение поради преки трансакционни разходи (като обединяването на ИТ системи), също така за изграждане на нов инфраструктурен капацитет (като например премахване на дублирането и обединяване на съответните обект</w:t>
            </w:r>
            <w:r>
              <w:rPr>
                <w:rFonts w:ascii="Times New Roman" w:hAnsi="Times New Roman"/>
                <w:noProof/>
                <w:color w:val="006100"/>
                <w:sz w:val="20"/>
                <w:szCs w:val="20"/>
              </w:rPr>
              <w:t>и не трябва просто да са в състояние да преместват работни места и да се изгражда нов капацитет).</w:t>
            </w:r>
          </w:p>
        </w:tc>
      </w:tr>
      <w:tr w:rsidR="00D4086A">
        <w:trPr>
          <w:trHeight w:val="118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8</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8 – Увеличаване на резултатите на словашките висши учебни заведения – реформа 5: Концентрация на отличния образователен и научноизследователски капацитет</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Приключване на процеса на сливане на изследователски единици</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Завършване на формален процес на свързване за най-малко 2 единици висше образование. [COM: SK да предостави </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993"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2026</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Формален процес на свързване, завършен за най-малко 2 един</w:t>
            </w:r>
            <w:r>
              <w:rPr>
                <w:rFonts w:ascii="Times New Roman" w:hAnsi="Times New Roman"/>
                <w:noProof/>
                <w:color w:val="006100"/>
                <w:sz w:val="20"/>
                <w:szCs w:val="20"/>
              </w:rPr>
              <w:t xml:space="preserve">ици висше образование, утвърден от новия устав за съвместните университети. </w:t>
            </w:r>
          </w:p>
        </w:tc>
      </w:tr>
      <w:tr w:rsidR="00D4086A">
        <w:trPr>
          <w:trHeight w:val="171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9</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8 – Увеличаване на резултатите на словашките висши учебни заведения – инвестиции1: подкрепа за стратегическото развитие на университетите</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Най-малко 2 приключени </w:t>
            </w:r>
            <w:r>
              <w:rPr>
                <w:rFonts w:ascii="Times New Roman" w:hAnsi="Times New Roman"/>
                <w:noProof/>
                <w:color w:val="006100"/>
                <w:sz w:val="20"/>
                <w:szCs w:val="20"/>
              </w:rPr>
              <w:t>покани за представяне на предложения за подкрепа на стратегическото развитие на университетите</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Възлагане на поръчките след поканите за представяне на предложения </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Т3</w:t>
            </w:r>
          </w:p>
        </w:tc>
        <w:tc>
          <w:tcPr>
            <w:tcW w:w="993"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 покани за подкрепа на стратегическото развитие на университетите, както е о</w:t>
            </w:r>
            <w:r>
              <w:rPr>
                <w:rFonts w:ascii="Times New Roman" w:hAnsi="Times New Roman"/>
                <w:noProof/>
                <w:color w:val="006100"/>
                <w:sz w:val="20"/>
                <w:szCs w:val="20"/>
              </w:rPr>
              <w:t>писано в реформата 5, предвиждат:</w:t>
            </w:r>
          </w:p>
          <w:p w:rsidR="00D4086A" w:rsidRDefault="00D5307E">
            <w:pPr>
              <w:rPr>
                <w:rFonts w:ascii="Times New Roman" w:hAnsi="Times New Roman"/>
                <w:noProof/>
                <w:sz w:val="20"/>
                <w:szCs w:val="20"/>
              </w:rPr>
            </w:pPr>
            <w:r>
              <w:rPr>
                <w:rFonts w:ascii="Times New Roman" w:hAnsi="Times New Roman"/>
                <w:noProof/>
                <w:color w:val="006100"/>
                <w:sz w:val="20"/>
                <w:szCs w:val="20"/>
              </w:rPr>
              <w:t>подпрограмата за университетско развитие подкрепя инфраструктурни проекти за развитие на инфраструктура за научни изследвания, образование и настаняване с висока добавена стойност за отлични научни изследвания и интернацио</w:t>
            </w:r>
            <w:r>
              <w:rPr>
                <w:rFonts w:ascii="Times New Roman" w:hAnsi="Times New Roman"/>
                <w:noProof/>
                <w:color w:val="006100"/>
                <w:sz w:val="20"/>
                <w:szCs w:val="20"/>
              </w:rPr>
              <w:t>нализация: например модернизиране на съществуващи или нови пространства за концентриране на високи постижения в областта на научните изследвания и докторантурата, включително чуждестранни изследователи, модернизиране на съществуващите или новите пространст</w:t>
            </w:r>
            <w:r>
              <w:rPr>
                <w:rFonts w:ascii="Times New Roman" w:hAnsi="Times New Roman"/>
                <w:noProof/>
                <w:color w:val="006100"/>
                <w:sz w:val="20"/>
                <w:szCs w:val="20"/>
              </w:rPr>
              <w:t>ва за практическо преподаване в професионални бакалавърски курсове, модернизиране на съществуващи или нови помещения за съоръжения на закрито, премахване на бариерите и модерна цифровизация на сградите</w:t>
            </w:r>
          </w:p>
          <w:p w:rsidR="00D4086A" w:rsidRDefault="00D5307E">
            <w:pPr>
              <w:rPr>
                <w:rFonts w:ascii="Times New Roman" w:hAnsi="Times New Roman"/>
                <w:noProof/>
                <w:sz w:val="20"/>
                <w:szCs w:val="20"/>
              </w:rPr>
            </w:pPr>
            <w:r>
              <w:rPr>
                <w:rFonts w:ascii="Times New Roman" w:hAnsi="Times New Roman"/>
                <w:noProof/>
                <w:color w:val="006100"/>
                <w:sz w:val="20"/>
                <w:szCs w:val="20"/>
              </w:rPr>
              <w:t>б) Програмата за университетско развитие подпомага упр</w:t>
            </w:r>
            <w:r>
              <w:rPr>
                <w:rFonts w:ascii="Times New Roman" w:hAnsi="Times New Roman"/>
                <w:noProof/>
                <w:color w:val="006100"/>
                <w:sz w:val="20"/>
                <w:szCs w:val="20"/>
              </w:rPr>
              <w:t>авлението на проекти и стимулира инвестициите, като обединява университетите. След като пътната карта бъде одобрена и в зависимост от нейната осъществимост и амбиция, както и да обоснове необходимите инвестиции и да гарантира тяхната устойчивост, тя включв</w:t>
            </w:r>
            <w:r>
              <w:rPr>
                <w:rFonts w:ascii="Times New Roman" w:hAnsi="Times New Roman"/>
                <w:noProof/>
                <w:color w:val="006100"/>
                <w:sz w:val="20"/>
                <w:szCs w:val="20"/>
              </w:rPr>
              <w:t>а инвестиционен план, свързан с процеса на обединяване на университетските единици.</w:t>
            </w:r>
          </w:p>
        </w:tc>
      </w:tr>
      <w:tr w:rsidR="00D4086A">
        <w:trPr>
          <w:trHeight w:val="186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10</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8 – Увеличение на резултатите на словашките висши учебни заведения – Инвестиции1: подкрепа за стратегическото развитие на университетите</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реконструирана </w:t>
            </w:r>
            <w:r>
              <w:rPr>
                <w:rFonts w:ascii="Times New Roman" w:hAnsi="Times New Roman"/>
                <w:noProof/>
                <w:color w:val="006100"/>
                <w:sz w:val="20"/>
                <w:szCs w:val="20"/>
              </w:rPr>
              <w:t>университетска площ и общежитие с икономии на първична енергия над 30 % (в m2)</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262647</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993"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2026</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Целта е 291830 m², но най-малко 262647 m² университетска площ се реконструира, включително в университети, като икономиите на първична енергия от над 30 %</w:t>
            </w:r>
            <w:r>
              <w:rPr>
                <w:rFonts w:ascii="Times New Roman" w:hAnsi="Times New Roman"/>
                <w:noProof/>
                <w:color w:val="006100"/>
                <w:sz w:val="20"/>
                <w:szCs w:val="20"/>
              </w:rPr>
              <w:t xml:space="preserve"> подлежат на мониторинг чрез сертификати за енергоспестяване.</w:t>
            </w:r>
          </w:p>
        </w:tc>
      </w:tr>
    </w:tbl>
    <w:p w:rsidR="00D4086A" w:rsidRDefault="00D4086A">
      <w:pPr>
        <w:spacing w:after="0" w:line="240" w:lineRule="auto"/>
        <w:jc w:val="both"/>
        <w:rPr>
          <w:rFonts w:eastAsia="Times New Roman" w:cs="Calibri"/>
          <w:noProof/>
          <w:color w:val="006100"/>
          <w:sz w:val="15"/>
          <w:szCs w:val="15"/>
        </w:rPr>
      </w:pPr>
    </w:p>
    <w:p w:rsidR="00D4086A" w:rsidRDefault="00D4086A">
      <w:pPr>
        <w:spacing w:after="0" w:line="240" w:lineRule="auto"/>
        <w:jc w:val="both"/>
        <w:rPr>
          <w:rFonts w:eastAsia="Times New Roman" w:cs="Calibri"/>
          <w:noProof/>
          <w:color w:val="006100"/>
          <w:sz w:val="15"/>
          <w:szCs w:val="15"/>
        </w:rPr>
        <w:sectPr w:rsidR="00D4086A">
          <w:headerReference w:type="even" r:id="rId108"/>
          <w:headerReference w:type="default" r:id="rId109"/>
          <w:footerReference w:type="even" r:id="rId110"/>
          <w:footerReference w:type="default" r:id="rId111"/>
          <w:headerReference w:type="first" r:id="rId112"/>
          <w:footerReference w:type="first" r:id="rId113"/>
          <w:pgSz w:w="16839" w:h="11907" w:orient="landscape"/>
          <w:pgMar w:top="1417" w:right="1134" w:bottom="1417" w:left="1134" w:header="709" w:footer="709" w:gutter="0"/>
          <w:cols w:space="720"/>
          <w:docGrid w:linePitch="360"/>
        </w:sectPr>
      </w:pPr>
    </w:p>
    <w:p w:rsidR="00D4086A" w:rsidRDefault="00D5307E">
      <w:pPr>
        <w:keepNext/>
        <w:tabs>
          <w:tab w:val="left" w:pos="156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КОМПОНЕНТ 9: По-ефективно управление и укрепване на научноизследователската и развойна дейност;</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Този компонент от словашкия план за възстановяване и устойчивост разглежда важни структурни пречки в словашката екосистема за научни изследвания, развойна дейност и иновации (НИРДИ), като фрагментиране на управлението на НИРДИ, недостатъчно сътрудничество </w:t>
      </w:r>
      <w:r>
        <w:rPr>
          <w:rFonts w:ascii="Times New Roman" w:hAnsi="Times New Roman"/>
          <w:noProof/>
          <w:sz w:val="24"/>
          <w:szCs w:val="24"/>
        </w:rPr>
        <w:t xml:space="preserve">между частния сектор и академичните среди, интернационализация и финансиране на НИРДИ. Дългосрочната цел е да се стимулира частното участие в НИРДИ чрез увеличаване на частните разходи за научни изследвания и развойна дейност.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Компонентът е насочен към у</w:t>
      </w:r>
      <w:r>
        <w:rPr>
          <w:rFonts w:ascii="Times New Roman" w:hAnsi="Times New Roman"/>
          <w:noProof/>
          <w:sz w:val="24"/>
          <w:szCs w:val="24"/>
        </w:rPr>
        <w:t>крепване на резултатите в областта на НИРДИ и на потенциала за иновации, които са необходима предпоставка за конкурентоспособен и устойчив икономически растеж. Предложените мерки са насочени към подобряване на управлението на НИРДИ, всеобхватна координация</w:t>
      </w:r>
      <w:r>
        <w:rPr>
          <w:rFonts w:ascii="Times New Roman" w:hAnsi="Times New Roman"/>
          <w:noProof/>
          <w:sz w:val="24"/>
          <w:szCs w:val="24"/>
        </w:rPr>
        <w:t>, въздействие и ефективност на инвестициите в НИРДИ, както и насърчаване на публично-частното сътрудничество и частните инвестиции. Мерките подкрепят високите научни постижения и интернационализацията, както и привличането и задържането на таланти в наукат</w:t>
      </w:r>
      <w:r>
        <w:rPr>
          <w:rFonts w:ascii="Times New Roman" w:hAnsi="Times New Roman"/>
          <w:noProof/>
          <w:sz w:val="24"/>
          <w:szCs w:val="24"/>
        </w:rPr>
        <w:t>а и иновациите. Целта на инвестиционните схеми е да се генерират нови проекти за НИРДИ в ключови сектори на икономиката с преобразуващ потенциал за подпомагане на създаването на работни места с по-висока добавена стойност и за стимулиране на растежа на ино</w:t>
      </w:r>
      <w:r>
        <w:rPr>
          <w:rFonts w:ascii="Times New Roman" w:hAnsi="Times New Roman"/>
          <w:noProof/>
          <w:sz w:val="24"/>
          <w:szCs w:val="24"/>
        </w:rPr>
        <w:t xml:space="preserve">вационната екосистема на национално и регионално равнище.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w:t>
      </w:r>
      <w:r>
        <w:rPr>
          <w:rFonts w:ascii="Times New Roman" w:hAnsi="Times New Roman"/>
          <w:noProof/>
          <w:sz w:val="24"/>
          <w:szCs w:val="24"/>
        </w:rPr>
        <w:t xml:space="preserve">пките за смекчаване на последиците, определени в плана за възстановяване и устойчивост в съответствие с Техническите насоки на DNSH (2021/C58/01).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Компонентът се състои от 2 реформи и 7 инвестиции, които са тясно свързани помежду си. Реформите в областта</w:t>
      </w:r>
      <w:r>
        <w:rPr>
          <w:rFonts w:ascii="Times New Roman" w:hAnsi="Times New Roman"/>
          <w:noProof/>
          <w:sz w:val="24"/>
          <w:szCs w:val="24"/>
        </w:rPr>
        <w:t xml:space="preserve"> на НИРДИ са замислени като предпоставка за ефикасно и ефективно усвояване на инвестициите.</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Всички инвестиционни схеми трябва да са в съответствие с принципите на DNSH, които изискват технологично неутрални инвестиции на равнището на приложенията и изключв</w:t>
      </w:r>
      <w:r>
        <w:rPr>
          <w:rFonts w:ascii="Times New Roman" w:hAnsi="Times New Roman"/>
          <w:noProof/>
          <w:sz w:val="24"/>
          <w:szCs w:val="24"/>
        </w:rPr>
        <w:t>ат потенциално вредни области като изкопаемите горива, включително използването надолу по веригата. Обявяването на всички конкурентни покани за представяне на предложения включва критерии за допустимост, които гарантират, че избраните проекти са в съответс</w:t>
      </w:r>
      <w:r>
        <w:rPr>
          <w:rFonts w:ascii="Times New Roman" w:hAnsi="Times New Roman"/>
          <w:noProof/>
          <w:sz w:val="24"/>
          <w:szCs w:val="24"/>
        </w:rPr>
        <w:t xml:space="preserve">твие с принципите на DNSH чрез използване на списък за изключване и изискване за съответствие със съответното законодателство на ЕС и национално законодателство в областта на околната среда. </w:t>
      </w:r>
    </w:p>
    <w:p w:rsidR="00D4086A" w:rsidRDefault="00D5307E">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Инвестициите и реформите ще допринесат за специфичните за държав</w:t>
      </w:r>
      <w:r>
        <w:rPr>
          <w:rFonts w:ascii="Times New Roman" w:hAnsi="Times New Roman"/>
          <w:noProof/>
          <w:color w:val="000000"/>
          <w:sz w:val="24"/>
          <w:szCs w:val="24"/>
        </w:rPr>
        <w:t>ата препоръки, отправени към Словакия през последните две години, за необходимостта от „целенасочена инвестиционна политика в областта на научните изследвания и иновациите“ (специфична за всяка държава препоръка 2/2019), за насочване на инвестициите към ек</w:t>
      </w:r>
      <w:r>
        <w:rPr>
          <w:rFonts w:ascii="Times New Roman" w:hAnsi="Times New Roman"/>
          <w:noProof/>
          <w:color w:val="000000"/>
          <w:sz w:val="24"/>
          <w:szCs w:val="24"/>
        </w:rPr>
        <w:t>ологичния и цифровия преход (специфична за всяка държава препоръка 3/2020) и за „подобряване на координацията и разработването на политики“ (специфична за всяка държава препоръка 4/2020).</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color w:val="000000"/>
          <w:sz w:val="24"/>
          <w:szCs w:val="24"/>
        </w:rPr>
        <w:br w:type="page"/>
      </w:r>
      <w:r>
        <w:rPr>
          <w:rFonts w:ascii="Times New Roman" w:hAnsi="Times New Roman"/>
          <w:b/>
          <w:noProof/>
          <w:sz w:val="24"/>
          <w:szCs w:val="24"/>
          <w:u w:val="single"/>
        </w:rPr>
        <w:t xml:space="preserve">A.1. </w:t>
      </w:r>
      <w:r>
        <w:rPr>
          <w:rFonts w:ascii="Times New Roman" w:hAnsi="Times New Roman"/>
          <w:noProof/>
          <w:sz w:val="24"/>
          <w:szCs w:val="24"/>
        </w:rPr>
        <w:tab/>
      </w:r>
      <w:r>
        <w:rPr>
          <w:rFonts w:ascii="Times New Roman" w:hAnsi="Times New Roman"/>
          <w:b/>
          <w:noProof/>
          <w:sz w:val="24"/>
          <w:szCs w:val="24"/>
          <w:u w:val="single"/>
        </w:rPr>
        <w:t xml:space="preserve">Описание на реформите и инвестициите за безвъзмездна </w:t>
      </w:r>
      <w:r>
        <w:rPr>
          <w:rFonts w:ascii="Times New Roman" w:hAnsi="Times New Roman"/>
          <w:b/>
          <w:noProof/>
          <w:sz w:val="24"/>
          <w:szCs w:val="24"/>
          <w:u w:val="single"/>
        </w:rPr>
        <w:t>финансова подкрепа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noProof/>
          <w:sz w:val="24"/>
          <w:szCs w:val="24"/>
        </w:rPr>
        <w:t>Реформа 1: Реформа на управлението, оценката и подкрепата в областта на науката, научните изследвания и иновациите</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Реформата е съсредоточена върху изменението на съответното законодателство в областта на НИРДИ, с което ще се подобри стру</w:t>
      </w:r>
      <w:r>
        <w:rPr>
          <w:rFonts w:ascii="Times New Roman" w:hAnsi="Times New Roman"/>
          <w:noProof/>
          <w:sz w:val="24"/>
          <w:szCs w:val="24"/>
        </w:rPr>
        <w:t>ктурата на управление на НИРДИ, ще се засили и професионализира междуведомствената координация на политиките в областта на НИРДИ. Новата управленска структура се състои от словашкото правителство, Правителствения съвет за наука, технологии и иновации и сек</w:t>
      </w:r>
      <w:r>
        <w:rPr>
          <w:rFonts w:ascii="Times New Roman" w:hAnsi="Times New Roman"/>
          <w:noProof/>
          <w:sz w:val="24"/>
          <w:szCs w:val="24"/>
        </w:rPr>
        <w:t>ретариата, създаден към правителствената служба. Реформата се основава на 5 стълба: силна свръхправителствена стратегия и координация, ii) ефективни междусекторни стандарти за инструментите за подкрепа, iii) консолидиране на агенциите за отпускане на безвъ</w:t>
      </w:r>
      <w:r>
        <w:rPr>
          <w:rFonts w:ascii="Times New Roman" w:hAnsi="Times New Roman"/>
          <w:noProof/>
          <w:sz w:val="24"/>
          <w:szCs w:val="24"/>
        </w:rPr>
        <w:t>змездни средства и натрупване на техния експертен опит, iv) прилагане на принципите на добро управление и ефективност и v) единна система за институционална оценка и финансиране на НИРДИ. Преразглеждането на законодателството (Закон № 172/2005) се предлага</w:t>
      </w:r>
      <w:r>
        <w:rPr>
          <w:rFonts w:ascii="Times New Roman" w:hAnsi="Times New Roman"/>
          <w:noProof/>
          <w:sz w:val="24"/>
          <w:szCs w:val="24"/>
        </w:rPr>
        <w:t xml:space="preserve"> от Министерството на образованието, науката, научните изследвания и спорта и влиза в сила до 31 март 2022 г. Реформата включва приемането на нова национална стратегия за НИРДИ, която да осигури стратегическа насока на политиката, цели и инструменти, които</w:t>
      </w:r>
      <w:r>
        <w:rPr>
          <w:rFonts w:ascii="Times New Roman" w:hAnsi="Times New Roman"/>
          <w:noProof/>
          <w:sz w:val="24"/>
          <w:szCs w:val="24"/>
        </w:rPr>
        <w:t xml:space="preserve"> да се прилагат за всички видове публична подкрепа, включително националните фондове и фондовете на ЕС по последователен и допълващ се начин. Правителството приема стратегията до 30 септември 2022 г. За да се сведе до минимум неефективността, принципите на</w:t>
      </w:r>
      <w:r>
        <w:rPr>
          <w:rFonts w:ascii="Times New Roman" w:hAnsi="Times New Roman"/>
          <w:noProof/>
          <w:sz w:val="24"/>
          <w:szCs w:val="24"/>
        </w:rPr>
        <w:t xml:space="preserve"> добро управление и ефикасно финансиране се превръщат в методология за предварително прилагане на инвестициите в НИРДИ. Новата стратегия и мерки за НИРДИ вземат предвид преразгледаната стратегия за интелигентна специализация с цел насърчаване на тематичнат</w:t>
      </w:r>
      <w:r>
        <w:rPr>
          <w:rFonts w:ascii="Times New Roman" w:hAnsi="Times New Roman"/>
          <w:noProof/>
          <w:sz w:val="24"/>
          <w:szCs w:val="24"/>
        </w:rPr>
        <w:t>а концентрация, както и препоръките от неотдавнашни проучвания като ОИСР за подобряване на изпълнението на инвестициите в НИРДИ и „извлечените поуки“ от програмните периоди на политиката на сближаване. Процесът на оценяване се реформира, за да се увеличи и</w:t>
      </w:r>
      <w:r>
        <w:rPr>
          <w:rFonts w:ascii="Times New Roman" w:hAnsi="Times New Roman"/>
          <w:noProof/>
          <w:sz w:val="24"/>
          <w:szCs w:val="24"/>
        </w:rPr>
        <w:t>зползването на експертния съвет и чуждестранните оценители, а административните процеси се рационализират.</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Изпълнението на реформата приключва до 30 септември 2022 г.</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noProof/>
          <w:sz w:val="24"/>
          <w:szCs w:val="24"/>
        </w:rPr>
        <w:t>Реформа 2: Реформа на организацията и финансирането на научноизследователските институции</w:t>
      </w:r>
      <w:r>
        <w:rPr>
          <w:rFonts w:ascii="Times New Roman" w:hAnsi="Times New Roman"/>
          <w:b/>
          <w:noProof/>
          <w:sz w:val="24"/>
          <w:szCs w:val="24"/>
        </w:rPr>
        <w:t xml:space="preserve">, по-специално Словашката академия на науките.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Целта на реформата е да се завърши преобразуването на Словашката академия на науките (SAS) в публична организация, за да се даде възможност за стимулиране на финансирането от различни източници и сътрудничес</w:t>
      </w:r>
      <w:r>
        <w:rPr>
          <w:rFonts w:ascii="Times New Roman" w:hAnsi="Times New Roman"/>
          <w:noProof/>
          <w:sz w:val="24"/>
          <w:szCs w:val="24"/>
        </w:rPr>
        <w:t>твото с частния сектор. Реформата ще бъде възможна чрез преразглеждане на двата законодателни акта (Закон № 133/2002 относно SAS и Закон № 243/2017 относно публичните научноизследователски институции), предложени от Министерството на образованието, науката</w:t>
      </w:r>
      <w:r>
        <w:rPr>
          <w:rFonts w:ascii="Times New Roman" w:hAnsi="Times New Roman"/>
          <w:noProof/>
          <w:sz w:val="24"/>
          <w:szCs w:val="24"/>
        </w:rPr>
        <w:t xml:space="preserve">, научните изследвания и спорта. Тя ще позволи на SAS да встъпва в делови и имуществени отношения, свързани с НИРДИ, при пълна защита на правата върху интелектуалната собственост и финансовите печалби.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Изпълнението на реформата приключва до 31 декември 20</w:t>
      </w:r>
      <w:r>
        <w:rPr>
          <w:rFonts w:ascii="Times New Roman" w:hAnsi="Times New Roman"/>
          <w:noProof/>
          <w:sz w:val="24"/>
          <w:szCs w:val="24"/>
        </w:rPr>
        <w:t xml:space="preserve">21 г.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Инвестиция 1: Насърчаване на международното сътрудничество и участие в проекти по „Хоризонт Европа“ и EIT.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Участието в международно сътрудничество, като рамковите програми на ЕС за научноизследователски инфраструктури, е много слабо и Словакия пона</w:t>
      </w:r>
      <w:r>
        <w:rPr>
          <w:rFonts w:ascii="Times New Roman" w:hAnsi="Times New Roman"/>
          <w:noProof/>
          <w:sz w:val="24"/>
          <w:szCs w:val="24"/>
        </w:rPr>
        <w:t>стоящем е на 24-то място в ЕС по отношение на финансирането от ЕС, получено по линия на „Хоризонт 2020“. Целта на инвестицията е да се даде възможност за по-голямо участие на словашки институции, изследователи и дружества в авангардни проекти на Европейско</w:t>
      </w:r>
      <w:r>
        <w:rPr>
          <w:rFonts w:ascii="Times New Roman" w:hAnsi="Times New Roman"/>
          <w:noProof/>
          <w:sz w:val="24"/>
          <w:szCs w:val="24"/>
        </w:rPr>
        <w:t xml:space="preserve">то научноизследователско пространство (ЕНП). Обявяват се най-малко три покани за представяне на проекти за следните схеми: </w:t>
      </w:r>
    </w:p>
    <w:p w:rsidR="00D4086A" w:rsidRDefault="00D5307E">
      <w:pPr>
        <w:numPr>
          <w:ilvl w:val="0"/>
          <w:numId w:val="4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Проекти, присъдени от „Печат за високи постижения„/прагови проекти (като действията по програмата „Мария Склодовска-Кюри“ с постдокт</w:t>
      </w:r>
      <w:r>
        <w:rPr>
          <w:rFonts w:ascii="Times New Roman" w:hAnsi="Times New Roman"/>
          <w:noProof/>
          <w:sz w:val="24"/>
          <w:szCs w:val="24"/>
        </w:rPr>
        <w:t xml:space="preserve">орантски стипендии, сформиране на екипи, схема на Европейския научноизследователски съвет с оценка А през втория кръг). </w:t>
      </w:r>
    </w:p>
    <w:p w:rsidR="00D4086A" w:rsidRDefault="00D5307E">
      <w:pPr>
        <w:numPr>
          <w:ilvl w:val="0"/>
          <w:numId w:val="4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Проекти, участващи в схемата на Европейския съвет по иновациите с наградата „Печат за високи постижения“ от Братиславския регион. </w:t>
      </w:r>
    </w:p>
    <w:p w:rsidR="00D4086A" w:rsidRDefault="00D5307E">
      <w:pPr>
        <w:numPr>
          <w:ilvl w:val="0"/>
          <w:numId w:val="4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„Съответствие между безвъзмездните средства за научноизследователски институции или дружества и ресурсите, генерирани в рамките на „Хоризонт 2020“/„Хоризонт Европа“. </w:t>
      </w:r>
    </w:p>
    <w:p w:rsidR="00D4086A" w:rsidRDefault="00D5307E">
      <w:pPr>
        <w:numPr>
          <w:ilvl w:val="0"/>
          <w:numId w:val="4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Безвъзмездни средства за подготовка на заявления по програма „Хоризонт 2020„/„Хоризонт Ев</w:t>
      </w:r>
      <w:r>
        <w:rPr>
          <w:rFonts w:ascii="Times New Roman" w:hAnsi="Times New Roman"/>
          <w:noProof/>
          <w:sz w:val="24"/>
          <w:szCs w:val="24"/>
        </w:rPr>
        <w:t xml:space="preserve">ропа“.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Цялостният подход е да се подкрепят висококачествени проекти, които получават много висок резултат в програмите по ЕНП, но не получават финансиране. Очаква се инвестициите да доведат до най-малко 48 заявления и участващи проекти по програмите „Хори</w:t>
      </w:r>
      <w:r>
        <w:rPr>
          <w:rFonts w:ascii="Times New Roman" w:hAnsi="Times New Roman"/>
          <w:noProof/>
          <w:sz w:val="24"/>
          <w:szCs w:val="24"/>
        </w:rPr>
        <w:t xml:space="preserve">зонт Европа“.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Изпълнението на инвестицията трябва да приключи до 30 юни 2026 г.</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Инвестиция 2: Подкрепа за сътрудничеството между предприятията, академичните среди и научноизследователските и развойни организации.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Целта на инвестицията е да се мобилизира </w:t>
      </w:r>
      <w:r>
        <w:rPr>
          <w:rFonts w:ascii="Times New Roman" w:hAnsi="Times New Roman"/>
          <w:noProof/>
          <w:sz w:val="24"/>
          <w:szCs w:val="24"/>
        </w:rPr>
        <w:t>частното участие в НИРДИ и да се увеличи делът на иновативните предприятия, особено в областта на цифровите иновации. Тя подкрепя по-широката роля на частния сектор, изграждането на капацитет, както и изграждането на мрежи с научноизследователски организац</w:t>
      </w:r>
      <w:r>
        <w:rPr>
          <w:rFonts w:ascii="Times New Roman" w:hAnsi="Times New Roman"/>
          <w:noProof/>
          <w:sz w:val="24"/>
          <w:szCs w:val="24"/>
        </w:rPr>
        <w:t xml:space="preserve">ии. Обявяват се най-малко пет покани за представяне на предложения за следните схеми:  </w:t>
      </w:r>
    </w:p>
    <w:p w:rsidR="00D4086A" w:rsidRDefault="00D5307E">
      <w:pPr>
        <w:numPr>
          <w:ilvl w:val="0"/>
          <w:numId w:val="4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„Съчетаване на безвъзмездни средства“ за научноизследователските институции с цел привличане на ресурси, събрани от частния сектор в рамките на сътрудничеството в облас</w:t>
      </w:r>
      <w:r>
        <w:rPr>
          <w:rFonts w:ascii="Times New Roman" w:hAnsi="Times New Roman"/>
          <w:noProof/>
          <w:sz w:val="24"/>
          <w:szCs w:val="24"/>
        </w:rPr>
        <w:t xml:space="preserve">тта на научните изследвания. Тази схема насърчава академичните и изследователските организации да търсят повече частни партньорства. </w:t>
      </w:r>
    </w:p>
    <w:p w:rsidR="00D4086A" w:rsidRDefault="00D5307E">
      <w:pPr>
        <w:numPr>
          <w:ilvl w:val="0"/>
          <w:numId w:val="4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Стажове на докторанти и персонал между предприятия и академични научноизследователски организации, включително съвместно р</w:t>
      </w:r>
      <w:r>
        <w:rPr>
          <w:rFonts w:ascii="Times New Roman" w:hAnsi="Times New Roman"/>
          <w:noProof/>
          <w:sz w:val="24"/>
          <w:szCs w:val="24"/>
        </w:rPr>
        <w:t xml:space="preserve">ъководство на докторанти. </w:t>
      </w:r>
    </w:p>
    <w:p w:rsidR="00D4086A" w:rsidRDefault="00D5307E">
      <w:pPr>
        <w:numPr>
          <w:ilvl w:val="0"/>
          <w:numId w:val="4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Схеми за подпомагане чрез ваучери – за улесняване на трансфера на знания, технологии и иновации и за засилване на сътрудничеството с бизнес сектора. Предлагат се три вида схеми за ваучери: ваучер за иновации – за стимулиране на с</w:t>
      </w:r>
      <w:r>
        <w:rPr>
          <w:rFonts w:ascii="Times New Roman" w:hAnsi="Times New Roman"/>
          <w:noProof/>
          <w:sz w:val="24"/>
          <w:szCs w:val="24"/>
        </w:rPr>
        <w:t>ътрудничеството на МСП с научноизследователски организации или с общини, ii) цифров ваучер – за стимулиране на цифровизацията на услугите и процесите за МСП и предприятията и iii) патентни ваучери – за насърчаване на защитата на правата върху интелектуална</w:t>
      </w:r>
      <w:r>
        <w:rPr>
          <w:rFonts w:ascii="Times New Roman" w:hAnsi="Times New Roman"/>
          <w:noProof/>
          <w:sz w:val="24"/>
          <w:szCs w:val="24"/>
        </w:rPr>
        <w:t xml:space="preserve">та собственост. </w:t>
      </w:r>
    </w:p>
    <w:p w:rsidR="00D4086A" w:rsidRDefault="00D5307E">
      <w:pPr>
        <w:numPr>
          <w:ilvl w:val="0"/>
          <w:numId w:val="43"/>
        </w:numPr>
        <w:spacing w:before="120" w:after="120" w:line="240" w:lineRule="auto"/>
        <w:jc w:val="both"/>
        <w:rPr>
          <w:noProof/>
          <w:sz w:val="24"/>
          <w:szCs w:val="24"/>
        </w:rPr>
      </w:pPr>
      <w:r>
        <w:rPr>
          <w:rFonts w:ascii="Times New Roman" w:hAnsi="Times New Roman"/>
          <w:noProof/>
          <w:sz w:val="24"/>
          <w:szCs w:val="24"/>
        </w:rPr>
        <w:t>Мярката за създаване на най-малко два „трансформиращи и иновативни консорциума“ има за цел да генерира нови проекти за НИРДИ в ключови сектори на икономиката с най-голям иновационен потенциал (като интелигентна мобилност, екологични технол</w:t>
      </w:r>
      <w:r>
        <w:rPr>
          <w:rFonts w:ascii="Times New Roman" w:hAnsi="Times New Roman"/>
          <w:noProof/>
          <w:sz w:val="24"/>
          <w:szCs w:val="24"/>
        </w:rPr>
        <w:t xml:space="preserve">огии), най-вече в регионите на Кошице и Братислава.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От общата цел е да се подкрепят 5 900 проекта, като са подкрепени най-малко 5 500 проекта за сътрудничество между предприятия, академични среди и организации за научни изследвания и развойна дейност, как</w:t>
      </w:r>
      <w:r>
        <w:rPr>
          <w:rFonts w:ascii="Times New Roman" w:hAnsi="Times New Roman"/>
          <w:noProof/>
          <w:sz w:val="24"/>
          <w:szCs w:val="24"/>
        </w:rPr>
        <w:t xml:space="preserve">то и ваучери.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Изпълнението на инвестицията трябва да приключи до 30 юни 2026 г.</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Инвестиция 3: Високи постижения в научната област: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Степента на интернационализация на научноизследователската среда е много ниска, като само 2 % от университетските преподава</w:t>
      </w:r>
      <w:r>
        <w:rPr>
          <w:rFonts w:ascii="Times New Roman" w:hAnsi="Times New Roman"/>
          <w:noProof/>
          <w:sz w:val="24"/>
          <w:szCs w:val="24"/>
        </w:rPr>
        <w:t>тели идват от чужбина. Целта на инвестицията е да се създаде конкурентна международна среда за най-добрите учени, както по отношение на заплатите, така и по отношение на наличието на привлекателни научноизследователски схеми. Обявяват се най-малко 6 покани</w:t>
      </w:r>
      <w:r>
        <w:rPr>
          <w:rFonts w:ascii="Times New Roman" w:hAnsi="Times New Roman"/>
          <w:noProof/>
          <w:sz w:val="24"/>
          <w:szCs w:val="24"/>
        </w:rPr>
        <w:t xml:space="preserve"> за представяне на предложения за следните схеми:</w:t>
      </w:r>
    </w:p>
    <w:p w:rsidR="00D4086A" w:rsidRDefault="00D5307E">
      <w:pPr>
        <w:numPr>
          <w:ilvl w:val="0"/>
          <w:numId w:val="42"/>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Стипендии за отлични изследователи на различни етапи на кариерно развитие R1 – R4 (изследователи от първа фаза, признати изследователи, утвърдени изследователи, водещи изследователи). </w:t>
      </w:r>
    </w:p>
    <w:p w:rsidR="00D4086A" w:rsidRDefault="00D5307E">
      <w:pPr>
        <w:numPr>
          <w:ilvl w:val="0"/>
          <w:numId w:val="42"/>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Безвъзмездни средства</w:t>
      </w:r>
      <w:r>
        <w:rPr>
          <w:rFonts w:ascii="Times New Roman" w:hAnsi="Times New Roman"/>
          <w:noProof/>
          <w:sz w:val="24"/>
          <w:szCs w:val="24"/>
        </w:rPr>
        <w:t xml:space="preserve"> за научни изследвания на ранен етап. Схемата има за цел да даде възможност на млади изследователи да започнат научни изследвания в собствената си област.  </w:t>
      </w:r>
    </w:p>
    <w:p w:rsidR="00D4086A" w:rsidRDefault="00D5307E">
      <w:pPr>
        <w:numPr>
          <w:ilvl w:val="0"/>
          <w:numId w:val="42"/>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Капиталовите „подемници“ допълват съществуващите схеми за финансиране на капиталови разходи за науч</w:t>
      </w:r>
      <w:r>
        <w:rPr>
          <w:rFonts w:ascii="Times New Roman" w:hAnsi="Times New Roman"/>
          <w:noProof/>
          <w:sz w:val="24"/>
          <w:szCs w:val="24"/>
        </w:rPr>
        <w:t xml:space="preserve">ноизследователски проекти. </w:t>
      </w:r>
    </w:p>
    <w:p w:rsidR="00D4086A" w:rsidRDefault="00D5307E">
      <w:pPr>
        <w:numPr>
          <w:ilvl w:val="0"/>
          <w:numId w:val="42"/>
        </w:numPr>
        <w:spacing w:before="120" w:after="120" w:line="240" w:lineRule="auto"/>
        <w:jc w:val="both"/>
        <w:rPr>
          <w:noProof/>
          <w:sz w:val="24"/>
          <w:szCs w:val="24"/>
        </w:rPr>
      </w:pPr>
      <w:r>
        <w:rPr>
          <w:rFonts w:ascii="Times New Roman" w:hAnsi="Times New Roman"/>
          <w:noProof/>
          <w:sz w:val="24"/>
          <w:szCs w:val="24"/>
        </w:rPr>
        <w:t>Специалните покани за представяне на предложения за големи научноизследователски проекти ще подкрепят отлични екипи в стратегически определени области на НИРДИ и ще укрепват човешкия капитал в областта на НИРДИ. Очаква се да бъд</w:t>
      </w:r>
      <w:r>
        <w:rPr>
          <w:rFonts w:ascii="Times New Roman" w:hAnsi="Times New Roman"/>
          <w:noProof/>
          <w:sz w:val="24"/>
          <w:szCs w:val="24"/>
        </w:rPr>
        <w:t xml:space="preserve">ат подбрани и завършени най-малко 15 висококачествени научноизследователски проекта.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От общата цел да се подкрепят 1060 отлични изследователи, най-малко 1000 отлични изследователи получават подкрепа по различни схеми.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Изпълнението на инвестицията трябва</w:t>
      </w:r>
      <w:r>
        <w:rPr>
          <w:rFonts w:ascii="Times New Roman" w:hAnsi="Times New Roman"/>
          <w:noProof/>
          <w:sz w:val="24"/>
          <w:szCs w:val="24"/>
        </w:rPr>
        <w:t xml:space="preserve"> да приключи до 31 март 2026 г.</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noProof/>
          <w:sz w:val="24"/>
          <w:szCs w:val="24"/>
        </w:rPr>
        <w:t>Инвестиция 4: Научни изследвания и иновации за декарбонизация на икономиката.</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Инвестиционната схема има за цел подобряване на полезните взаимодействия в областта на НИРДИ между националното равнище и равнището на ЕС. Организ</w:t>
      </w:r>
      <w:r>
        <w:rPr>
          <w:rFonts w:ascii="Times New Roman" w:hAnsi="Times New Roman"/>
          <w:noProof/>
          <w:sz w:val="24"/>
          <w:szCs w:val="24"/>
        </w:rPr>
        <w:t>ират се тематични покани за представяне на предложения в подкрепа на екологичния преход, както и на устойчивостта и адаптирането към изменението на климата в съответствие с темите, очаквани в тематичните приоритети на „Хоризонт Европа“, като например енерг</w:t>
      </w:r>
      <w:r>
        <w:rPr>
          <w:rFonts w:ascii="Times New Roman" w:hAnsi="Times New Roman"/>
          <w:noProof/>
          <w:sz w:val="24"/>
          <w:szCs w:val="24"/>
        </w:rPr>
        <w:t xml:space="preserve">етика без въглеродни емисии, електрификация, водород, технологии за акумулаторни батерии и алтернативни горива, нисковъглеродни промишлени процеси и материали и биоикономика. Акцентът ще бъде поставен върху целия цикъл на научните изследвания и иновациите </w:t>
      </w:r>
      <w:r>
        <w:rPr>
          <w:rFonts w:ascii="Times New Roman" w:hAnsi="Times New Roman"/>
          <w:noProof/>
          <w:sz w:val="24"/>
          <w:szCs w:val="24"/>
        </w:rPr>
        <w:t>(равнище на технологична готовност 1—9), като най-високото разпределение е насочено към демонстрационни проекти и по-високи равнища на технологична готовност (TRL).</w:t>
      </w:r>
      <w:r>
        <w:rPr>
          <w:rFonts w:ascii="Times New Roman" w:hAnsi="Times New Roman"/>
          <w:b/>
          <w:bCs/>
          <w:noProof/>
          <w:sz w:val="24"/>
          <w:szCs w:val="24"/>
        </w:rPr>
        <w:t xml:space="preserve"> </w:t>
      </w:r>
      <w:r>
        <w:rPr>
          <w:rFonts w:ascii="Times New Roman" w:hAnsi="Times New Roman"/>
          <w:noProof/>
          <w:sz w:val="24"/>
          <w:szCs w:val="24"/>
        </w:rPr>
        <w:t>От общата цел да се завършат 30 проекта, до 30 юни 2026 г. да са завършени най-малко 27 про</w:t>
      </w:r>
      <w:r>
        <w:rPr>
          <w:rFonts w:ascii="Times New Roman" w:hAnsi="Times New Roman"/>
          <w:noProof/>
          <w:sz w:val="24"/>
          <w:szCs w:val="24"/>
        </w:rPr>
        <w:t>екта по поканите за представяне на предложения.</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Изпълнението на инвестицията трябва да приключи до 30 юни 2026 г.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Инвестиция 5: Научни изследвания и иновации за цифровизацията на икономиката.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Целта на инвестицията е да се подпомогне преходът към </w:t>
      </w:r>
      <w:r>
        <w:rPr>
          <w:rFonts w:ascii="Times New Roman" w:hAnsi="Times New Roman"/>
          <w:noProof/>
          <w:sz w:val="24"/>
          <w:szCs w:val="24"/>
        </w:rPr>
        <w:t>цифровата икономика. Тематичните покани, които ще бъдат публикувани през 2022 г., ще бъдат насочени към теми, които се очакват в тематичните приоритети на „Хоризонт Европа“, като ключови цифрови и промишлени технологии, интернет на нещата, изкуствен интеле</w:t>
      </w:r>
      <w:r>
        <w:rPr>
          <w:rFonts w:ascii="Times New Roman" w:hAnsi="Times New Roman"/>
          <w:noProof/>
          <w:sz w:val="24"/>
          <w:szCs w:val="24"/>
        </w:rPr>
        <w:t>кт и роботика, и обхващат целия цикъл на научните изследвания и иновациите (равнища на технологична готовност 1—9). От общата цел да се завършат 155 проекта, до 30 юни 2026 г. да са завършени най-малко 140 проекта по поканите за представяне на предложения.</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 Изпълнението на инвестицията трябва да приключи до 30 юни 2026 г.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Инвестиция 6: Финансови инструменти в подкрепа на иновациите.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Целта на инвестицията е да се увеличи значително делът на иновативните предприятия, особено за цифрови и екологични иновации</w:t>
      </w:r>
      <w:r>
        <w:rPr>
          <w:rFonts w:ascii="Times New Roman" w:hAnsi="Times New Roman"/>
          <w:noProof/>
          <w:sz w:val="24"/>
          <w:szCs w:val="24"/>
        </w:rPr>
        <w:t>, и да се инвестира в дружества със значителен технологичен и иновационен потенциал. Капиталовата инвестиция обхваща ранния етап (начален етап), както и фазата на растеж (като фондове за рисков капитал) от жизнения цикъл на дружествата и се осъществява чре</w:t>
      </w:r>
      <w:r>
        <w:rPr>
          <w:rFonts w:ascii="Times New Roman" w:hAnsi="Times New Roman"/>
          <w:noProof/>
          <w:sz w:val="24"/>
          <w:szCs w:val="24"/>
        </w:rPr>
        <w:t>з финансови посредници. За да се увеличат стимулите за МСП да участват в екологични и цифрови проекти, се предлага да се създаде възстановима форма на финансиране чрез използване на кредитни продукти. Зелените и цифровите заеми дават възможност заемът/кред</w:t>
      </w:r>
      <w:r>
        <w:rPr>
          <w:rFonts w:ascii="Times New Roman" w:hAnsi="Times New Roman"/>
          <w:noProof/>
          <w:sz w:val="24"/>
          <w:szCs w:val="24"/>
        </w:rPr>
        <w:t xml:space="preserve">итният продукт да бъде комбиниран с безвъзмездни средства. </w:t>
      </w:r>
    </w:p>
    <w:p w:rsidR="00D4086A" w:rsidRDefault="00D5307E">
      <w:pPr>
        <w:spacing w:before="120" w:after="120" w:line="240" w:lineRule="auto"/>
        <w:jc w:val="both"/>
        <w:rPr>
          <w:rFonts w:ascii="Times New Roman" w:eastAsia="Times New Roman" w:hAnsi="Times New Roman"/>
          <w:noProof/>
          <w:spacing w:val="-4"/>
          <w:sz w:val="24"/>
          <w:szCs w:val="24"/>
        </w:rPr>
      </w:pPr>
      <w:r>
        <w:rPr>
          <w:rFonts w:ascii="Times New Roman" w:hAnsi="Times New Roman"/>
          <w:noProof/>
          <w:spacing w:val="-4"/>
          <w:sz w:val="24"/>
          <w:szCs w:val="24"/>
        </w:rPr>
        <w:t>За да бъдат в съответствие с техническите насоки „Ненанасяне на значителни вреди“ (2021/C58/01), инвестиционните стратегии, които очертават използването на финансови инструменти, изискват прилаган</w:t>
      </w:r>
      <w:r>
        <w:rPr>
          <w:rFonts w:ascii="Times New Roman" w:hAnsi="Times New Roman"/>
          <w:noProof/>
          <w:spacing w:val="-4"/>
          <w:sz w:val="24"/>
          <w:szCs w:val="24"/>
        </w:rPr>
        <w:t>ето на техническите насоки на Комисията относно проверката на устойчивостта за InvestEU и/или прилагат списъка на изключванията и изискват спазване на съответното европейско и национално законодателство в областта на околната среда. Инвестиционната стратег</w:t>
      </w:r>
      <w:r>
        <w:rPr>
          <w:rFonts w:ascii="Times New Roman" w:hAnsi="Times New Roman"/>
          <w:noProof/>
          <w:spacing w:val="-4"/>
          <w:sz w:val="24"/>
          <w:szCs w:val="24"/>
        </w:rPr>
        <w:t xml:space="preserve">ия, включително изискванията за „ненанасяне на значителни вреди“, се отразяват по подходящ начин в договорно споразумение между словашките органи и партньорите по изпълнението/финансовите посредници.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От общата цел да се подкрепят 165 дружества, до 30 юни </w:t>
      </w:r>
      <w:r>
        <w:rPr>
          <w:rFonts w:ascii="Times New Roman" w:hAnsi="Times New Roman"/>
          <w:noProof/>
          <w:sz w:val="24"/>
          <w:szCs w:val="24"/>
        </w:rPr>
        <w:t>2026 г. най-малко 150 дружества да са подкрепени от финансови инструменти под формата на вложени капитали и микрокредити.</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Изпълнението на инвестицията трябва да приключи до 30 юни 2026 г.</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noProof/>
          <w:sz w:val="24"/>
          <w:szCs w:val="24"/>
        </w:rPr>
        <w:t>Инвестиция 7: ИТ система за отпускане на безвъзмездни средства за на</w:t>
      </w:r>
      <w:r>
        <w:rPr>
          <w:rFonts w:ascii="Times New Roman" w:hAnsi="Times New Roman"/>
          <w:b/>
          <w:noProof/>
          <w:sz w:val="24"/>
          <w:szCs w:val="24"/>
        </w:rPr>
        <w:t>учни изследвания и развойна дейност.</w:t>
      </w:r>
      <w:r>
        <w:rPr>
          <w:rFonts w:ascii="Times New Roman" w:hAnsi="Times New Roman"/>
          <w:noProof/>
          <w:sz w:val="24"/>
          <w:szCs w:val="24"/>
          <w:u w:val="single"/>
        </w:rPr>
        <w:t xml:space="preserve">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Целта на инвестицията, тясно свързана с реформата 1, е да се създаде единна информационна система за ускоряване на оценяването на поканите за отпускане на безвъзмездни средства. Информационната система има следните хар</w:t>
      </w:r>
      <w:r>
        <w:rPr>
          <w:rFonts w:ascii="Times New Roman" w:hAnsi="Times New Roman"/>
          <w:noProof/>
          <w:sz w:val="24"/>
          <w:szCs w:val="24"/>
        </w:rPr>
        <w:t>актеристики: i) модул, който свързва регистъра на персонала във висшето образование с персонала в областта на НИРДИ и други сектори, ii) модул за регистриране на организации за научни изследвания и развойна дейност, iii) модул за гъвкаво използване на разл</w:t>
      </w:r>
      <w:r>
        <w:rPr>
          <w:rFonts w:ascii="Times New Roman" w:hAnsi="Times New Roman"/>
          <w:noProof/>
          <w:sz w:val="24"/>
          <w:szCs w:val="24"/>
        </w:rPr>
        <w:t>ични системи за оценка, iv) модул за свързване на регистъра на публикациите за докладване както на оценката на проекта, така и на резултатите от проекта, и v) взаимодействие със системата на политиката на сближаване – модул „ESIF ITMS“ и vi) модул, позволя</w:t>
      </w:r>
      <w:r>
        <w:rPr>
          <w:rFonts w:ascii="Times New Roman" w:hAnsi="Times New Roman"/>
          <w:noProof/>
          <w:sz w:val="24"/>
          <w:szCs w:val="24"/>
        </w:rPr>
        <w:t xml:space="preserve">ващ променливо определяне на покани (като проекти VEGA).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Изпълнението на инвестицията трябва да приключи до 31 март 2023 г.</w:t>
      </w:r>
    </w:p>
    <w:p w:rsidR="00D4086A" w:rsidRDefault="00D4086A">
      <w:pPr>
        <w:spacing w:before="120" w:after="120" w:line="240" w:lineRule="auto"/>
        <w:jc w:val="both"/>
        <w:rPr>
          <w:rFonts w:ascii="Times New Roman" w:eastAsia="Times New Roman" w:hAnsi="Times New Roman"/>
          <w:noProof/>
          <w:sz w:val="24"/>
        </w:rPr>
      </w:pPr>
    </w:p>
    <w:p w:rsidR="00D4086A" w:rsidRDefault="00D4086A">
      <w:pPr>
        <w:tabs>
          <w:tab w:val="left" w:pos="1560"/>
        </w:tabs>
        <w:spacing w:before="120" w:after="120" w:line="240" w:lineRule="auto"/>
        <w:jc w:val="both"/>
        <w:rPr>
          <w:rFonts w:ascii="Times New Roman" w:hAnsi="Times New Roman"/>
          <w:noProof/>
          <w:sz w:val="24"/>
          <w:highlight w:val="yellow"/>
        </w:rPr>
        <w:sectPr w:rsidR="00D4086A">
          <w:headerReference w:type="even" r:id="rId114"/>
          <w:headerReference w:type="default" r:id="rId115"/>
          <w:footerReference w:type="even" r:id="rId116"/>
          <w:footerReference w:type="default" r:id="rId117"/>
          <w:headerReference w:type="first" r:id="rId118"/>
          <w:footerReference w:type="first" r:id="rId119"/>
          <w:pgSz w:w="11907" w:h="16839"/>
          <w:pgMar w:top="1134" w:right="1417" w:bottom="1134" w:left="1417" w:header="709" w:footer="709" w:gutter="0"/>
          <w:cols w:space="720"/>
          <w:docGrid w:linePitch="360"/>
        </w:sectPr>
      </w:pPr>
    </w:p>
    <w:p w:rsidR="00D4086A" w:rsidRDefault="00D5307E">
      <w:pPr>
        <w:tabs>
          <w:tab w:val="left" w:pos="1560"/>
        </w:tabs>
        <w:spacing w:before="120" w:after="120" w:line="240" w:lineRule="auto"/>
        <w:ind w:left="1276"/>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 xml:space="preserve">Ключови етапи, цели, показатели и график за мониторинг и изпълнение </w:t>
      </w:r>
      <w:r>
        <w:rPr>
          <w:rFonts w:ascii="Times New Roman" w:hAnsi="Times New Roman"/>
          <w:b/>
          <w:noProof/>
          <w:sz w:val="24"/>
          <w:u w:val="single"/>
        </w:rPr>
        <w:t>на безвъзмездната финансова подкрепа</w:t>
      </w:r>
    </w:p>
    <w:p w:rsidR="00D4086A" w:rsidRDefault="00D4086A">
      <w:pPr>
        <w:tabs>
          <w:tab w:val="left" w:pos="1560"/>
          <w:tab w:val="left" w:pos="14601"/>
        </w:tabs>
        <w:spacing w:before="120" w:after="120" w:line="240" w:lineRule="auto"/>
        <w:ind w:left="1276" w:right="-455"/>
        <w:jc w:val="both"/>
        <w:rPr>
          <w:rFonts w:ascii="Times New Roman" w:hAnsi="Times New Roman"/>
          <w:noProof/>
          <w:sz w:val="24"/>
          <w:highlight w:val="yellow"/>
        </w:rPr>
      </w:pPr>
    </w:p>
    <w:tbl>
      <w:tblPr>
        <w:tblW w:w="15559" w:type="dxa"/>
        <w:tblLayout w:type="fixed"/>
        <w:tblLook w:val="04A0" w:firstRow="1" w:lastRow="0" w:firstColumn="1" w:lastColumn="0" w:noHBand="0" w:noVBand="1"/>
      </w:tblPr>
      <w:tblGrid>
        <w:gridCol w:w="817"/>
        <w:gridCol w:w="1630"/>
        <w:gridCol w:w="1205"/>
        <w:gridCol w:w="1559"/>
        <w:gridCol w:w="1418"/>
        <w:gridCol w:w="814"/>
        <w:gridCol w:w="777"/>
        <w:gridCol w:w="615"/>
        <w:gridCol w:w="821"/>
        <w:gridCol w:w="892"/>
        <w:gridCol w:w="5011"/>
      </w:tblGrid>
      <w:tr w:rsidR="00D4086A">
        <w:trPr>
          <w:trHeight w:val="735"/>
        </w:trPr>
        <w:tc>
          <w:tcPr>
            <w:tcW w:w="817"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630"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Свързана мярка (реформа или инвестиция)</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205"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Ключов етап / Цел</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559"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Наименование</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418"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w:t>
            </w:r>
            <w:r>
              <w:rPr>
                <w:rFonts w:ascii="Times New Roman" w:hAnsi="Times New Roman"/>
                <w:noProof/>
                <w:sz w:val="20"/>
                <w:szCs w:val="20"/>
              </w:rPr>
              <w:t xml:space="preserve">  </w:t>
            </w:r>
            <w:r>
              <w:rPr>
                <w:rFonts w:ascii="Times New Roman" w:hAnsi="Times New Roman"/>
                <w:b/>
                <w:bCs/>
                <w:noProof/>
                <w:sz w:val="20"/>
                <w:szCs w:val="20"/>
              </w:rPr>
              <w:t xml:space="preserve">  (за ключовите етапи)</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2206"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 (за целите)</w:t>
            </w:r>
          </w:p>
        </w:tc>
        <w:tc>
          <w:tcPr>
            <w:tcW w:w="1713" w:type="dxa"/>
            <w:gridSpan w:val="2"/>
            <w:tcBorders>
              <w:top w:val="single" w:sz="8" w:space="0" w:color="auto"/>
              <w:left w:val="nil"/>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Ориентировъчен график за приключване </w:t>
            </w:r>
          </w:p>
        </w:tc>
        <w:tc>
          <w:tcPr>
            <w:tcW w:w="5011" w:type="dxa"/>
            <w:vMerge w:val="restart"/>
            <w:tcBorders>
              <w:top w:val="single" w:sz="8" w:space="0" w:color="auto"/>
              <w:left w:val="nil"/>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Описание и ясно </w:t>
            </w:r>
            <w:r>
              <w:rPr>
                <w:rFonts w:ascii="Times New Roman" w:hAnsi="Times New Roman"/>
                <w:b/>
                <w:bCs/>
                <w:noProof/>
                <w:sz w:val="20"/>
                <w:szCs w:val="20"/>
              </w:rPr>
              <w:t>определяне на всеки ключов етап и цел</w:t>
            </w:r>
          </w:p>
          <w:p w:rsidR="00D4086A" w:rsidRDefault="00D5307E">
            <w:pPr>
              <w:rPr>
                <w:rFonts w:ascii="Times New Roman" w:hAnsi="Times New Roman"/>
                <w:noProof/>
                <w:sz w:val="20"/>
                <w:szCs w:val="20"/>
              </w:rPr>
            </w:pPr>
            <w:r>
              <w:rPr>
                <w:rFonts w:ascii="Times New Roman" w:hAnsi="Times New Roman"/>
                <w:noProof/>
                <w:sz w:val="20"/>
                <w:szCs w:val="20"/>
              </w:rPr>
              <w:t xml:space="preserve"> </w:t>
            </w:r>
          </w:p>
        </w:tc>
      </w:tr>
      <w:tr w:rsidR="00D4086A">
        <w:trPr>
          <w:trHeight w:val="540"/>
        </w:trPr>
        <w:tc>
          <w:tcPr>
            <w:tcW w:w="817"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630"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205"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559"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418"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814"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Мерна единица</w:t>
            </w:r>
          </w:p>
        </w:tc>
        <w:tc>
          <w:tcPr>
            <w:tcW w:w="777" w:type="dxa"/>
            <w:tcBorders>
              <w:top w:val="nil"/>
              <w:left w:val="single" w:sz="8" w:space="0" w:color="000000"/>
              <w:bottom w:val="single" w:sz="8" w:space="0" w:color="auto"/>
              <w:right w:val="single" w:sz="8" w:space="0" w:color="auto"/>
            </w:tcBorders>
            <w:shd w:val="clear" w:color="auto" w:fill="BDD7EE"/>
            <w:vAlign w:val="center"/>
          </w:tcPr>
          <w:p w:rsidR="00D4086A" w:rsidRDefault="00D5307E">
            <w:pPr>
              <w:jc w:val="both"/>
              <w:rPr>
                <w:rFonts w:ascii="Times New Roman" w:hAnsi="Times New Roman"/>
                <w:noProof/>
                <w:sz w:val="20"/>
                <w:szCs w:val="20"/>
              </w:rPr>
            </w:pPr>
            <w:r>
              <w:rPr>
                <w:rFonts w:ascii="Times New Roman" w:hAnsi="Times New Roman"/>
                <w:b/>
                <w:bCs/>
                <w:noProof/>
                <w:sz w:val="20"/>
                <w:szCs w:val="20"/>
              </w:rPr>
              <w:t xml:space="preserve"> </w:t>
            </w:r>
          </w:p>
          <w:p w:rsidR="00D4086A" w:rsidRDefault="00D5307E">
            <w:pPr>
              <w:jc w:val="both"/>
              <w:rPr>
                <w:rFonts w:ascii="Times New Roman" w:hAnsi="Times New Roman"/>
                <w:noProof/>
                <w:sz w:val="20"/>
                <w:szCs w:val="20"/>
              </w:rPr>
            </w:pPr>
            <w:r>
              <w:rPr>
                <w:rFonts w:ascii="Times New Roman" w:hAnsi="Times New Roman"/>
                <w:b/>
                <w:bCs/>
                <w:noProof/>
                <w:sz w:val="20"/>
                <w:szCs w:val="20"/>
              </w:rPr>
              <w:t>Базова линия</w:t>
            </w:r>
          </w:p>
        </w:tc>
        <w:tc>
          <w:tcPr>
            <w:tcW w:w="615"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Цел</w:t>
            </w:r>
          </w:p>
        </w:tc>
        <w:tc>
          <w:tcPr>
            <w:tcW w:w="821" w:type="dxa"/>
            <w:tcBorders>
              <w:top w:val="single" w:sz="8" w:space="0" w:color="auto"/>
              <w:left w:val="single" w:sz="8" w:space="0" w:color="000000"/>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Тримесечие</w:t>
            </w:r>
          </w:p>
        </w:tc>
        <w:tc>
          <w:tcPr>
            <w:tcW w:w="892" w:type="dxa"/>
            <w:tcBorders>
              <w:top w:val="nil"/>
              <w:left w:val="single" w:sz="8" w:space="0" w:color="000000"/>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Година</w:t>
            </w:r>
          </w:p>
        </w:tc>
        <w:tc>
          <w:tcPr>
            <w:tcW w:w="5011" w:type="dxa"/>
            <w:vMerge/>
            <w:tcBorders>
              <w:left w:val="single" w:sz="8" w:space="0" w:color="000000"/>
              <w:bottom w:val="single" w:sz="8" w:space="0" w:color="auto"/>
              <w:right w:val="single" w:sz="8" w:space="0" w:color="auto"/>
            </w:tcBorders>
            <w:shd w:val="clear" w:color="auto" w:fill="BDD7EE"/>
            <w:vAlign w:val="center"/>
          </w:tcPr>
          <w:p w:rsidR="00D4086A" w:rsidRDefault="00D4086A">
            <w:pPr>
              <w:rPr>
                <w:rFonts w:ascii="Times New Roman" w:hAnsi="Times New Roman"/>
                <w:noProof/>
                <w:sz w:val="20"/>
                <w:szCs w:val="20"/>
              </w:rPr>
            </w:pPr>
          </w:p>
        </w:tc>
      </w:tr>
      <w:tr w:rsidR="00D4086A">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9 – По-ефективно управление и укрепване на финансирането на НИРДИ – Реформа 1: Реформа на управлението, оценката и подкрепата в областта на науката, научните изследвания и иновациите</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Реформа на управлението и</w:t>
            </w:r>
            <w:r>
              <w:rPr>
                <w:rFonts w:ascii="Times New Roman" w:hAnsi="Times New Roman"/>
                <w:noProof/>
                <w:color w:val="006100"/>
                <w:sz w:val="20"/>
                <w:szCs w:val="20"/>
              </w:rPr>
              <w:t xml:space="preserve"> подкрепа за научните изследвания, развойната дейност и иновациите.</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изменението на Закон 172/2005</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Т1</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Изменението на закона засилва координиращата роля на новата структура за управление на научните изследвания, развойната </w:t>
            </w:r>
            <w:r>
              <w:rPr>
                <w:rFonts w:ascii="Times New Roman" w:hAnsi="Times New Roman"/>
                <w:noProof/>
                <w:color w:val="006100"/>
                <w:sz w:val="20"/>
                <w:szCs w:val="20"/>
              </w:rPr>
              <w:t>дейност и иновациите (като например определяне на ролята на Съвета на словашкото правителство за наука, технологии и иновации и неговия секретариат към правителствената служба). Законът урежда различните видове публична подкрепа, за да се гарантира координ</w:t>
            </w:r>
            <w:r>
              <w:rPr>
                <w:rFonts w:ascii="Times New Roman" w:hAnsi="Times New Roman"/>
                <w:noProof/>
                <w:color w:val="006100"/>
                <w:sz w:val="20"/>
                <w:szCs w:val="20"/>
              </w:rPr>
              <w:t>ацията и съгласуваността на публичните интервенции. Тя ще позволи постепенното интегриране на процесите и експертната оценка на проектите за научни изследвания и развойна дейност, опростяването и стандартизирането на процесите за оценка на проекти за научн</w:t>
            </w:r>
            <w:r>
              <w:rPr>
                <w:rFonts w:ascii="Times New Roman" w:hAnsi="Times New Roman"/>
                <w:noProof/>
                <w:color w:val="006100"/>
                <w:sz w:val="20"/>
                <w:szCs w:val="20"/>
              </w:rPr>
              <w:t>и изследвания и развойна дейност от страна на агенциите.</w:t>
            </w:r>
          </w:p>
        </w:tc>
      </w:tr>
      <w:tr w:rsidR="00D4086A">
        <w:trPr>
          <w:trHeight w:val="117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9 – По-ефективно управление и укрепване на финансирането на НИРДИ – Реформа 1: Реформа на управлението, оценката и подкрепата в областта на науката, научните изследвания и иновациите</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Разработване на националната всеобхватна стратегия за НИРДИ</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Приемане на националната стратегия за НИРДИ от правителството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Т3</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Правителството одобрява Националната стратегия за научни изследвания, развойна дейност и иновации (НИРДИ), за да се </w:t>
            </w:r>
            <w:r>
              <w:rPr>
                <w:rFonts w:ascii="Times New Roman" w:hAnsi="Times New Roman"/>
                <w:noProof/>
                <w:color w:val="006100"/>
                <w:sz w:val="20"/>
                <w:szCs w:val="20"/>
              </w:rPr>
              <w:t>превърне в всеобхватен документ за цялото публично финансиране на НИРДИ до 2030 г. В него се разглежда натрупаният опит и се предлага хоризонтална рамка за интегриране на съществуващите стратегии (като например стратегията за интелигентна специализация). Т</w:t>
            </w:r>
            <w:r>
              <w:rPr>
                <w:rFonts w:ascii="Times New Roman" w:hAnsi="Times New Roman"/>
                <w:noProof/>
                <w:color w:val="006100"/>
                <w:sz w:val="20"/>
                <w:szCs w:val="20"/>
              </w:rPr>
              <w:t>ой предоставя стратегическа рамка и насоки за политиката в областта на НИРДИ, определя цели и мерки за постигането им.</w:t>
            </w:r>
          </w:p>
        </w:tc>
      </w:tr>
      <w:tr w:rsidR="00D4086A">
        <w:trPr>
          <w:trHeight w:val="69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3</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9 – По-ефективно управление и укрепване на финансирането на НИРДИ – Реформа 2: Реформа на организацията и финансирането на нестопански</w:t>
            </w:r>
            <w:r>
              <w:rPr>
                <w:rFonts w:ascii="Times New Roman" w:hAnsi="Times New Roman"/>
                <w:noProof/>
                <w:color w:val="006100"/>
                <w:sz w:val="20"/>
                <w:szCs w:val="20"/>
              </w:rPr>
              <w:t xml:space="preserve"> научноизследователски институции, по-специално Словашката академия на науките</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Реформа на Словашката академия на науките (SaS)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изменение на Закон № 133/2002 относно SAS и изменение на Закон № 243/2017 относно публичната нау</w:t>
            </w:r>
            <w:r>
              <w:rPr>
                <w:rFonts w:ascii="Times New Roman" w:hAnsi="Times New Roman"/>
                <w:noProof/>
                <w:color w:val="006100"/>
                <w:sz w:val="20"/>
                <w:szCs w:val="20"/>
              </w:rPr>
              <w:t xml:space="preserve">чноизследователска институция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2021</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измененията на законите, които ще преобразуват Словашката академия на науките (SAS) в публична институция, позволяваща финансиране от множество източници, включително от частния сектор, като съ</w:t>
            </w:r>
            <w:r>
              <w:rPr>
                <w:rFonts w:ascii="Times New Roman" w:hAnsi="Times New Roman"/>
                <w:noProof/>
                <w:color w:val="006100"/>
                <w:sz w:val="20"/>
                <w:szCs w:val="20"/>
              </w:rPr>
              <w:t xml:space="preserve">щевременно се гарантира пълна защита на интелектуалната собственост и финансова рентабилност. </w:t>
            </w:r>
          </w:p>
        </w:tc>
      </w:tr>
      <w:tr w:rsidR="00D4086A">
        <w:trPr>
          <w:trHeight w:val="27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4</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19 – По-ефективно управление и укрепване на финансирането на НИРДИ – Инвестиция 1: Насърчаване на международното сътрудничество и участие в проекти по </w:t>
            </w:r>
            <w:r>
              <w:rPr>
                <w:rFonts w:ascii="Times New Roman" w:hAnsi="Times New Roman"/>
                <w:noProof/>
                <w:color w:val="006100"/>
                <w:sz w:val="20"/>
                <w:szCs w:val="20"/>
              </w:rPr>
              <w:t>„Хоризонт Европа“ и EIT</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Отправяне на покани за представяне на проекти в подкрепа на участието на словашки участници в „Хоризонт Европа“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Отправяне на покани за представяне на проекти в подкрепа на участието на словашки участници в „Хоризонт Евр</w:t>
            </w:r>
            <w:r>
              <w:rPr>
                <w:rFonts w:ascii="Times New Roman" w:hAnsi="Times New Roman"/>
                <w:noProof/>
                <w:color w:val="006100"/>
                <w:sz w:val="20"/>
                <w:szCs w:val="20"/>
              </w:rPr>
              <w:t xml:space="preserve">опа“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3</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Обявяват се най-малко три покани за представяне на проекти в подкрепа на участието на словашки участници в програмите „Хоризонт Европа“ в рамките на следните схеми: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 Схема за подпомагане на подготовката на заявления за „Хоризонт </w:t>
            </w:r>
            <w:r>
              <w:rPr>
                <w:rFonts w:ascii="Times New Roman" w:hAnsi="Times New Roman"/>
                <w:noProof/>
                <w:color w:val="006100"/>
                <w:sz w:val="20"/>
                <w:szCs w:val="20"/>
              </w:rPr>
              <w:t>Европа“</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Схема за подпомагане на проекти, които са получили печат за високи постижения или висока оценка</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„съчетаване на безвъзмездни средства“ за успешни проекти по „Хоризонт 2020“/„Хоризонт Европа“</w:t>
            </w:r>
          </w:p>
        </w:tc>
      </w:tr>
      <w:tr w:rsidR="00D4086A">
        <w:trPr>
          <w:trHeight w:val="66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5</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9 – По-ефективно управление и укрепване на </w:t>
            </w:r>
            <w:r>
              <w:rPr>
                <w:rFonts w:ascii="Times New Roman" w:hAnsi="Times New Roman"/>
                <w:noProof/>
                <w:color w:val="006100"/>
                <w:sz w:val="20"/>
                <w:szCs w:val="20"/>
              </w:rPr>
              <w:t>финансирането на НИРДИ – Инвестиция 1: Насърчаване на международното сътрудничество и участие в проекти по „Хоризонт Европа“ и EIT</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Финансова подкрепа за заявления и участващи проекти по програмите „Хоризонт Европа“ по покани за представяне на предложения, финансирани от Механизма за възстановяване и устойчивост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Суми (милиони евро)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43</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2026</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От общата цел да се изплатят 46 300 0</w:t>
            </w:r>
            <w:r>
              <w:rPr>
                <w:rFonts w:ascii="Times New Roman" w:hAnsi="Times New Roman"/>
                <w:noProof/>
                <w:color w:val="006100"/>
                <w:sz w:val="20"/>
                <w:szCs w:val="20"/>
              </w:rPr>
              <w:t>00 EUR, най-малко 43 000 000 EUR се изплащат за проекти, избрани по поканите за представяне на предложения, насочени към увеличаване на участието в програмите „Хоризонт Европа“.</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Очаква се инвестицията да доведе до:</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най-малко 48 заявления и участващи прое</w:t>
            </w:r>
            <w:r>
              <w:rPr>
                <w:rFonts w:ascii="Times New Roman" w:hAnsi="Times New Roman"/>
                <w:noProof/>
                <w:color w:val="006100"/>
                <w:sz w:val="20"/>
                <w:szCs w:val="20"/>
              </w:rPr>
              <w:t xml:space="preserve">кти по програмите „Хоризонт Европа“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най-малко 1600 безвъзмездни средства в подкрепа на подготовката на заявления за проекти</w:t>
            </w:r>
            <w:r>
              <w:rPr>
                <w:rFonts w:ascii="Times New Roman" w:hAnsi="Times New Roman"/>
                <w:noProof/>
                <w:color w:val="4F6228"/>
                <w:sz w:val="20"/>
                <w:szCs w:val="20"/>
              </w:rPr>
              <w:t xml:space="preserve">  </w:t>
            </w:r>
          </w:p>
        </w:tc>
      </w:tr>
      <w:tr w:rsidR="00D4086A">
        <w:trPr>
          <w:trHeight w:val="25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6</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9 По-ефективно управление и укрепване на финансирането на НИРДИ – Инвестиция 2: Подкрепа за сътрудничеството между </w:t>
            </w:r>
            <w:r>
              <w:rPr>
                <w:rFonts w:ascii="Times New Roman" w:hAnsi="Times New Roman"/>
                <w:noProof/>
                <w:color w:val="006100"/>
                <w:sz w:val="20"/>
                <w:szCs w:val="20"/>
              </w:rPr>
              <w:t>предприятията, академичните среди и организациите за научни изследвания и развойна дейност</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Отправяне на покани за представяне на проекти в подкрепа на сътрудничеството между предприятията, академичните среди и научноизследователската и развойна дейност; организации за развитие и ваучери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Отправяне на покани за представяне на проекти в подкрепа н</w:t>
            </w:r>
            <w:r>
              <w:rPr>
                <w:rFonts w:ascii="Times New Roman" w:hAnsi="Times New Roman"/>
                <w:noProof/>
                <w:color w:val="006100"/>
                <w:sz w:val="20"/>
                <w:szCs w:val="20"/>
              </w:rPr>
              <w:t xml:space="preserve">а сътрудничеството между предприятията, академичните среди и научноизследователската и развойна дейност; организации за развитие и ваучери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5</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Най-малко пет покани за представяне на проекти се обявяват в съответствие с принципа на DNSH, за да с</w:t>
            </w:r>
            <w:r>
              <w:rPr>
                <w:rFonts w:ascii="Times New Roman" w:hAnsi="Times New Roman"/>
                <w:noProof/>
                <w:color w:val="006100"/>
                <w:sz w:val="20"/>
                <w:szCs w:val="20"/>
              </w:rPr>
              <w:t>е подпомогне сътрудничеството между предприятията, академичните среди и организациите за научни изследвания и развойна дейност и да се подкрепят схемите за ваучери:</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„съчетаване“ на безвъзмездни средства за научноизследователски институции с цел привличан</w:t>
            </w:r>
            <w:r>
              <w:rPr>
                <w:rFonts w:ascii="Times New Roman" w:hAnsi="Times New Roman"/>
                <w:noProof/>
                <w:color w:val="006100"/>
                <w:sz w:val="20"/>
                <w:szCs w:val="20"/>
              </w:rPr>
              <w:t>е на ресурси от частния сектор в рамките на сътрудничеството в областта на научните изследвания.</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Стажове и персонал на студенти по докторска степен между предприятия и академични научноизследователски организации</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 създаване на „трансформиращи и </w:t>
            </w:r>
            <w:r>
              <w:rPr>
                <w:rFonts w:ascii="Times New Roman" w:hAnsi="Times New Roman"/>
                <w:noProof/>
                <w:color w:val="006100"/>
                <w:sz w:val="20"/>
                <w:szCs w:val="20"/>
              </w:rPr>
              <w:t>иновативни“ консорциуми</w:t>
            </w:r>
          </w:p>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 Схеми за подпомагане чрез ваучери, които включват ваучери за иновации, цифрови ваучери и патентни ваучери</w:t>
            </w:r>
          </w:p>
          <w:p w:rsidR="00D4086A" w:rsidRDefault="00D4086A">
            <w:pPr>
              <w:spacing w:after="0"/>
              <w:rPr>
                <w:rFonts w:ascii="Times New Roman" w:hAnsi="Times New Roman"/>
                <w:noProof/>
                <w:sz w:val="20"/>
                <w:szCs w:val="20"/>
              </w:rPr>
            </w:pPr>
          </w:p>
        </w:tc>
      </w:tr>
      <w:tr w:rsidR="00D4086A">
        <w:trPr>
          <w:trHeight w:val="90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7</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 xml:space="preserve">9 По-ефективно управление и укрепване на финансирането на научните изследвания, развойната дейност и иновациите – </w:t>
            </w:r>
            <w:r>
              <w:rPr>
                <w:rFonts w:ascii="Times New Roman" w:hAnsi="Times New Roman"/>
                <w:noProof/>
                <w:color w:val="006100"/>
                <w:sz w:val="20"/>
                <w:szCs w:val="20"/>
              </w:rPr>
              <w:t>Инвестиция 2: Подкрепа за сътрудничеството между предприятията, академичните среди и организациите за научни изследвания и развойна дейност</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Брой на подкрепените съвместни проекти и ваучери</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 на проектите</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2660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2024</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От общата цел е да се </w:t>
            </w:r>
            <w:r>
              <w:rPr>
                <w:rFonts w:ascii="Times New Roman" w:hAnsi="Times New Roman"/>
                <w:noProof/>
                <w:color w:val="006100"/>
                <w:sz w:val="20"/>
                <w:szCs w:val="20"/>
              </w:rPr>
              <w:t>подкрепят 2950 проекта, като са подкрепени най-малко 2 660 проекта за сътрудничество между предприятия, академични среди и организации за научни изследвания и развойна дейност и ваучери.</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Очаква се инвестицията да доведе до: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Създаване на поне 2 „трансфор</w:t>
            </w:r>
            <w:r>
              <w:rPr>
                <w:rFonts w:ascii="Times New Roman" w:hAnsi="Times New Roman"/>
                <w:noProof/>
                <w:color w:val="006100"/>
                <w:sz w:val="20"/>
                <w:szCs w:val="20"/>
              </w:rPr>
              <w:t xml:space="preserve">миращи и иновативни“ консорциума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 2 000 съвместни проекта, подпомагани в рамките на съответстващи безвъзмездни средства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 50 подкрепени (временни) стажа между предприятия и академични научноизследователски организации </w:t>
            </w:r>
          </w:p>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 xml:space="preserve">• предоставени са 500 ваучера за </w:t>
            </w:r>
            <w:r>
              <w:rPr>
                <w:rFonts w:ascii="Times New Roman" w:hAnsi="Times New Roman"/>
                <w:noProof/>
                <w:color w:val="006100"/>
                <w:sz w:val="20"/>
                <w:szCs w:val="20"/>
              </w:rPr>
              <w:t xml:space="preserve">иновации и патенти и 400 цифрови ваучера </w:t>
            </w:r>
          </w:p>
          <w:p w:rsidR="00D4086A" w:rsidRDefault="00D4086A">
            <w:pPr>
              <w:spacing w:after="0"/>
              <w:rPr>
                <w:rFonts w:ascii="Times New Roman" w:hAnsi="Times New Roman"/>
                <w:noProof/>
                <w:sz w:val="20"/>
                <w:szCs w:val="20"/>
              </w:rPr>
            </w:pPr>
          </w:p>
        </w:tc>
      </w:tr>
      <w:tr w:rsidR="00D4086A">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8</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9 По-ефективно управление и укрепване на финансирането на научните изследвания, развойната дейност и иновациите – Инвестиция 2: Подкрепа за сътрудничеството между предприятията, академичните среди и </w:t>
            </w:r>
            <w:r>
              <w:rPr>
                <w:rFonts w:ascii="Times New Roman" w:hAnsi="Times New Roman"/>
                <w:noProof/>
                <w:color w:val="006100"/>
                <w:sz w:val="20"/>
                <w:szCs w:val="20"/>
              </w:rPr>
              <w:t>организациите за научни изследвания и развойна дейност</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 на подкрепените съвместни проекти и ваучери</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Брой на проектите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2600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5500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2026</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От общата цел е да се подкрепят 5900 проекта, като се подпомагат най-малко 5500 проекта за сътрудничество </w:t>
            </w:r>
            <w:r>
              <w:rPr>
                <w:rFonts w:ascii="Times New Roman" w:hAnsi="Times New Roman"/>
                <w:noProof/>
                <w:color w:val="006100"/>
                <w:sz w:val="20"/>
                <w:szCs w:val="20"/>
              </w:rPr>
              <w:t>между предприятия, академични среди и организации за научни изследвания и развойна дейност и ваучери:</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Очаква се инвестицията да доведе до: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 функционират най-малко 2 „трансформиращи и иновативни“ консорциума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4000 съвместни проекта, подпомагани в рамки</w:t>
            </w:r>
            <w:r>
              <w:rPr>
                <w:rFonts w:ascii="Times New Roman" w:hAnsi="Times New Roman"/>
                <w:noProof/>
                <w:color w:val="006100"/>
                <w:sz w:val="20"/>
                <w:szCs w:val="20"/>
              </w:rPr>
              <w:t xml:space="preserve">те на съответстващи безвъзмездни средства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 100 подкрепени стажа между предприятия и академични научноизследователски организации </w:t>
            </w:r>
          </w:p>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 xml:space="preserve">• 500 иновативни, 500 патента и 800 цифрови фюша са доставени и завършени  </w:t>
            </w:r>
          </w:p>
          <w:p w:rsidR="00D4086A" w:rsidRDefault="00D4086A">
            <w:pPr>
              <w:spacing w:after="0"/>
              <w:rPr>
                <w:rFonts w:ascii="Times New Roman" w:hAnsi="Times New Roman"/>
                <w:noProof/>
                <w:sz w:val="20"/>
                <w:szCs w:val="20"/>
              </w:rPr>
            </w:pPr>
          </w:p>
        </w:tc>
      </w:tr>
      <w:tr w:rsidR="00D4086A">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9</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9 По-ефективно управление и укрепване на </w:t>
            </w:r>
            <w:r>
              <w:rPr>
                <w:rFonts w:ascii="Times New Roman" w:hAnsi="Times New Roman"/>
                <w:noProof/>
                <w:color w:val="006100"/>
                <w:sz w:val="20"/>
                <w:szCs w:val="20"/>
              </w:rPr>
              <w:t>финансирането на научните изследвания, развойната дейност и иновациите – Инвестиция 3: Високи постижения в научната област</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Отправяне на покани за представяне на предложения в подкрепа на отлични изследователи</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Отправяне на покани за представяне на проекти в подкрепа на отлични изследователи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6</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Обявяват се най-малко шест покани за представяне на проекти в подкрепа на отлични изследователи в съответствие с принципа на DNSH по следните схеми:</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стипенд</w:t>
            </w:r>
            <w:r>
              <w:rPr>
                <w:rFonts w:ascii="Times New Roman" w:hAnsi="Times New Roman"/>
                <w:noProof/>
                <w:color w:val="006100"/>
                <w:sz w:val="20"/>
                <w:szCs w:val="20"/>
              </w:rPr>
              <w:t>ии за отлични докторски програми</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Стипендии след докторантура</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Стипендия за възрастни изследователи</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Големи проекти за отлични изследователи</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Безвъзмездни средства за научни изследвания на ранен етап</w:t>
            </w:r>
          </w:p>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 xml:space="preserve">• Стимулатор на капитала за съществуващи схеми за </w:t>
            </w:r>
            <w:r>
              <w:rPr>
                <w:rFonts w:ascii="Times New Roman" w:hAnsi="Times New Roman"/>
                <w:noProof/>
                <w:color w:val="006100"/>
                <w:sz w:val="20"/>
                <w:szCs w:val="20"/>
              </w:rPr>
              <w:t>подпомагане на научните изследвания и развойната дейност</w:t>
            </w:r>
          </w:p>
          <w:p w:rsidR="00D4086A" w:rsidRDefault="00D4086A">
            <w:pPr>
              <w:spacing w:after="0"/>
              <w:rPr>
                <w:rFonts w:ascii="Times New Roman" w:hAnsi="Times New Roman"/>
                <w:noProof/>
                <w:sz w:val="20"/>
                <w:szCs w:val="20"/>
              </w:rPr>
            </w:pPr>
          </w:p>
        </w:tc>
      </w:tr>
      <w:tr w:rsidR="00D4086A">
        <w:trPr>
          <w:trHeight w:val="3312"/>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10</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9 По-ефективно управление и укрепване на финансирането на научните изследвания, развойната дейност и иновациите – Инвестиция 3: Високи постижения в научната област</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Брой на подкрепените </w:t>
            </w:r>
            <w:r>
              <w:rPr>
                <w:rFonts w:ascii="Times New Roman" w:hAnsi="Times New Roman"/>
                <w:noProof/>
                <w:color w:val="006100"/>
                <w:sz w:val="20"/>
                <w:szCs w:val="20"/>
              </w:rPr>
              <w:t>отлични изследователи</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 изследователи</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650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Т1</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2024</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От общата цел е да се подкрепят 715 изследователи, като най-малко 650 отлични изследователи получават подкрепа в рамките на поканите за представяне на предложения.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Очаква се инвестицията да до</w:t>
            </w:r>
            <w:r>
              <w:rPr>
                <w:rFonts w:ascii="Times New Roman" w:hAnsi="Times New Roman"/>
                <w:noProof/>
                <w:color w:val="006100"/>
                <w:sz w:val="20"/>
                <w:szCs w:val="20"/>
              </w:rPr>
              <w:t xml:space="preserve">веде до: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 Подбор на 15 големи безвъзмездни средства за отлични научноизследователски екипи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Подкрепа за: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425 стипендии за изследователи на различни етапи от кариерата (R1-R4)</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200 стипендии за научни изследвания „на ранен етап“ за млади изследователи</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 90 проекта под формата на стимулатор на капитала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r>
      <w:tr w:rsidR="00D4086A">
        <w:trPr>
          <w:trHeight w:val="115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11</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9 По-ефективно управление и укрепване на финансирането на научните изследвания, развойната дейност и иновациите – Инвестиция 3: Високи постижения в научната област</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Брой на подкрепените отлични изследователи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Брой изследователи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650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1000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Т1</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2026</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От общата цел е да се подкрепят 1060 изследователи, най-малко 1000 отлични изследователи, които са получили подкрепа в рамките на поканите за представяне на предложения.</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О</w:t>
            </w:r>
            <w:r>
              <w:rPr>
                <w:rFonts w:ascii="Times New Roman" w:hAnsi="Times New Roman"/>
                <w:noProof/>
                <w:color w:val="006100"/>
                <w:sz w:val="20"/>
                <w:szCs w:val="20"/>
              </w:rPr>
              <w:t xml:space="preserve">чаква се инвестицията да доведе до: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425 стипендии за изследователи на различни етапи от кариерата (R1-R4)</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500 стипендии за научни изследвания „на ранен етап“ за млади изследователи</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120 проекта под формата на стимулатор на капитала</w:t>
            </w:r>
          </w:p>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 Налице са 15 гол</w:t>
            </w:r>
            <w:r>
              <w:rPr>
                <w:rFonts w:ascii="Times New Roman" w:hAnsi="Times New Roman"/>
                <w:noProof/>
                <w:color w:val="006100"/>
                <w:sz w:val="20"/>
                <w:szCs w:val="20"/>
              </w:rPr>
              <w:t xml:space="preserve">еми безвъзмездни средства за изследователи с високи постижения  </w:t>
            </w:r>
          </w:p>
          <w:p w:rsidR="00D4086A" w:rsidRDefault="00D4086A">
            <w:pPr>
              <w:spacing w:after="0"/>
              <w:rPr>
                <w:rFonts w:ascii="Times New Roman" w:hAnsi="Times New Roman"/>
                <w:noProof/>
                <w:sz w:val="20"/>
                <w:szCs w:val="20"/>
              </w:rPr>
            </w:pPr>
          </w:p>
        </w:tc>
      </w:tr>
      <w:tr w:rsidR="00D4086A">
        <w:trPr>
          <w:trHeight w:val="91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12</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 xml:space="preserve">9 По-ефективно управление и укрепване на финансирането на научните изследвания, развойната дейност и иновациите – Инвестиция 4: Научни изследвания и иновации за декарбонизация на </w:t>
            </w:r>
            <w:r>
              <w:rPr>
                <w:rFonts w:ascii="Times New Roman" w:hAnsi="Times New Roman"/>
                <w:noProof/>
                <w:color w:val="006100"/>
                <w:sz w:val="20"/>
                <w:szCs w:val="20"/>
              </w:rPr>
              <w:t>икономиката</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Отправяне на покани за представяне на предложения за тематични проекти, насочени към справяне с предизвикателствата на екологичния преход</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Отправяне на покани за представяне на предложения за тематични проекти, насочени към справяне с предизвикателствата на екологичния преход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2</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 В съответствие с принципа на DNSH се отправят поне две покани за представяне на предложения за темати</w:t>
            </w:r>
            <w:r>
              <w:rPr>
                <w:rFonts w:ascii="Times New Roman" w:hAnsi="Times New Roman"/>
                <w:noProof/>
                <w:color w:val="006100"/>
                <w:sz w:val="20"/>
                <w:szCs w:val="20"/>
              </w:rPr>
              <w:t xml:space="preserve">чни проекти, насочени към справяне с предизвикателствата на екологичния преход, декарбонизацията, както и устойчивостта и адаптирането към изменението на климата.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Подкрепата е насочена към теми, които са предвидени в тематичните приоритети на „Хоризонт Ев</w:t>
            </w:r>
            <w:r>
              <w:rPr>
                <w:rFonts w:ascii="Times New Roman" w:hAnsi="Times New Roman"/>
                <w:noProof/>
                <w:color w:val="006100"/>
                <w:sz w:val="20"/>
                <w:szCs w:val="20"/>
              </w:rPr>
              <w:t>ропа“, като например:</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Енергия без въглеродни емисии</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електрификация</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Водород, технологии за акумулаторни батерии и алтернативни горива</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Нисковъглеродни промишлени процеси и материали</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Биоикономика, устойчиво селско и горско стопанство.</w:t>
            </w:r>
          </w:p>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Поканите за пр</w:t>
            </w:r>
            <w:r>
              <w:rPr>
                <w:rFonts w:ascii="Times New Roman" w:hAnsi="Times New Roman"/>
                <w:noProof/>
                <w:color w:val="006100"/>
                <w:sz w:val="20"/>
                <w:szCs w:val="20"/>
              </w:rPr>
              <w:t>едставяне на проекти обхващат целия цикъл на научните изследвания и иновациите (равнища на технологична готовност 1—9)</w:t>
            </w:r>
          </w:p>
          <w:p w:rsidR="00D4086A" w:rsidRDefault="00D4086A">
            <w:pPr>
              <w:spacing w:after="0"/>
              <w:rPr>
                <w:rFonts w:ascii="Times New Roman" w:hAnsi="Times New Roman"/>
                <w:noProof/>
                <w:sz w:val="20"/>
                <w:szCs w:val="20"/>
              </w:rPr>
            </w:pPr>
          </w:p>
        </w:tc>
      </w:tr>
      <w:tr w:rsidR="00D4086A">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13</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9 По-ефективно управление и укрепване на финансирането на научните изследвания, развойната дейност и иновациите – Инвестиция 4: </w:t>
            </w:r>
            <w:r>
              <w:rPr>
                <w:rFonts w:ascii="Times New Roman" w:hAnsi="Times New Roman"/>
                <w:noProof/>
                <w:color w:val="006100"/>
                <w:sz w:val="20"/>
                <w:szCs w:val="20"/>
              </w:rPr>
              <w:t>Научни изследвания и иновации за декарбонизация на икономиката</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Брой на избраните проекти за справяне с предизвикателствата на екологичния преход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 на проектите</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27</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2024</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От общата цел да се подберат 30 проекта, най-малко 27 проекта се подбират</w:t>
            </w:r>
            <w:r>
              <w:rPr>
                <w:rFonts w:ascii="Times New Roman" w:hAnsi="Times New Roman"/>
                <w:noProof/>
                <w:color w:val="006100"/>
                <w:sz w:val="20"/>
                <w:szCs w:val="20"/>
              </w:rPr>
              <w:t xml:space="preserve"> в рамките на поканите за представяне на предложения за справяне с предизвикателствата на екологичния преход и декарбонизацията</w:t>
            </w:r>
          </w:p>
          <w:p w:rsidR="00D4086A" w:rsidRDefault="00D5307E">
            <w:pPr>
              <w:rPr>
                <w:rFonts w:ascii="Times New Roman" w:hAnsi="Times New Roman"/>
                <w:noProof/>
                <w:sz w:val="20"/>
                <w:szCs w:val="20"/>
              </w:rPr>
            </w:pPr>
            <w:r>
              <w:rPr>
                <w:rFonts w:ascii="Times New Roman" w:hAnsi="Times New Roman"/>
                <w:noProof/>
                <w:color w:val="006100"/>
                <w:sz w:val="20"/>
                <w:szCs w:val="20"/>
              </w:rPr>
              <w:t>Проектите се одобряват на различни етапи от нивата на технологична готовност (TRL -1—9)</w:t>
            </w:r>
          </w:p>
        </w:tc>
      </w:tr>
      <w:tr w:rsidR="00D4086A">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14</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 xml:space="preserve">9 По-ефективно управление и </w:t>
            </w:r>
            <w:r>
              <w:rPr>
                <w:rFonts w:ascii="Times New Roman" w:hAnsi="Times New Roman"/>
                <w:noProof/>
                <w:color w:val="006100"/>
                <w:sz w:val="20"/>
                <w:szCs w:val="20"/>
              </w:rPr>
              <w:t>укрепване на финансирането на научните изследвания, развойната дейност и иновациите – Инвестиция 4: Научни изследвания и иновации за декарбонизация на икономиката</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 проекти за справяне с предизвикателствата на екологичния преход, които са приключени</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 на проектите</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27</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2026</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От общата цел са завършени 30 проекта, като са завършени най-малко 27 проекта, избрани в рамките на поканите за представяне на предложения.</w:t>
            </w:r>
          </w:p>
        </w:tc>
      </w:tr>
      <w:tr w:rsidR="00D4086A">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15</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9 По-ефективно управление и укрепване на финансирането на научните </w:t>
            </w:r>
            <w:r>
              <w:rPr>
                <w:rFonts w:ascii="Times New Roman" w:hAnsi="Times New Roman"/>
                <w:noProof/>
                <w:color w:val="006100"/>
                <w:sz w:val="20"/>
                <w:szCs w:val="20"/>
              </w:rPr>
              <w:t>изследвания, развойната дейност и иновациите – Инвестиция 5: Научни изследвания и иновации за цифровизацията на икономиката</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Отправяне на покани за представяне на предложения за тематични проекти, насочени към преодоляване на предизвикателствата</w:t>
            </w:r>
            <w:r>
              <w:rPr>
                <w:rFonts w:ascii="Times New Roman" w:hAnsi="Times New Roman"/>
                <w:noProof/>
                <w:color w:val="006100"/>
                <w:sz w:val="20"/>
                <w:szCs w:val="20"/>
              </w:rPr>
              <w:t xml:space="preserve"> на цифровия преход</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Отправяне на покани за представяне на предложения за тематични проекти, насочени към преодоляване на предизвикателствата на цифровия преход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2</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В съответствие с принципа на DNSH ще бъдат отправени поне две покани за представ</w:t>
            </w:r>
            <w:r>
              <w:rPr>
                <w:rFonts w:ascii="Times New Roman" w:hAnsi="Times New Roman"/>
                <w:noProof/>
                <w:color w:val="006100"/>
                <w:sz w:val="20"/>
                <w:szCs w:val="20"/>
              </w:rPr>
              <w:t>яне на предложения за тематични проекти, насочени към справяне с предизвикателствата на цифровата трансформация и спомагащи за изпълнението на амбициите на ЕК за цифрова автономност.</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Подкрепата е насочена към теми в съответствие с тематичните приоритети на</w:t>
            </w:r>
            <w:r>
              <w:rPr>
                <w:rFonts w:ascii="Times New Roman" w:hAnsi="Times New Roman"/>
                <w:noProof/>
                <w:color w:val="006100"/>
                <w:sz w:val="20"/>
                <w:szCs w:val="20"/>
              </w:rPr>
              <w:t xml:space="preserve"> „Хоризонт Европа“, като например: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Ключови цифрови технологии (като киберсигурността; квантови технологии за киберсигурност, сензори и интернет на нещата; микроелектроника и електронни компоненти и решения в облак)</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 Изкуствен интелект и роботика </w:t>
            </w:r>
          </w:p>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 xml:space="preserve">Поканите за представяне на проекти обхващат целия цикъл на научните изследвания и иновациите (технологична готовност на ниво 1—9). </w:t>
            </w:r>
          </w:p>
          <w:p w:rsidR="00D4086A" w:rsidRDefault="00D4086A">
            <w:pPr>
              <w:spacing w:after="0"/>
              <w:rPr>
                <w:rFonts w:ascii="Times New Roman" w:hAnsi="Times New Roman"/>
                <w:noProof/>
                <w:sz w:val="20"/>
                <w:szCs w:val="20"/>
              </w:rPr>
            </w:pPr>
          </w:p>
        </w:tc>
      </w:tr>
      <w:tr w:rsidR="00D4086A">
        <w:trPr>
          <w:trHeight w:val="150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16</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 xml:space="preserve">9 По-ефективно управление и укрепване на финансирането на научните изследвания, развойната дейност и иновациите – </w:t>
            </w:r>
            <w:r>
              <w:rPr>
                <w:rFonts w:ascii="Times New Roman" w:hAnsi="Times New Roman"/>
                <w:noProof/>
                <w:color w:val="006100"/>
                <w:sz w:val="20"/>
                <w:szCs w:val="20"/>
              </w:rPr>
              <w:t>Инвестиция 5: Научни изследвания и иновации за цифровизацията на икономиката</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Брой проекти за научни изследвания, развитие и иновации, избрани в рамките на поканите за представяне на предложения за справяне с предизвикателствата на цифровата </w:t>
            </w:r>
            <w:r>
              <w:rPr>
                <w:rFonts w:ascii="Times New Roman" w:hAnsi="Times New Roman"/>
                <w:noProof/>
                <w:color w:val="006100"/>
                <w:sz w:val="20"/>
                <w:szCs w:val="20"/>
              </w:rPr>
              <w:t>трансформация.</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 на проектите</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140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2024</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От общата цел да се подберат 155 проекта, най-малко 140 проекта се подбират в рамките на поканите за представяне на предложения за проекти, основани на търсенето, насочени към справяне с предизвикателствата </w:t>
            </w:r>
            <w:r>
              <w:rPr>
                <w:rFonts w:ascii="Times New Roman" w:hAnsi="Times New Roman"/>
                <w:noProof/>
                <w:color w:val="006100"/>
                <w:sz w:val="20"/>
                <w:szCs w:val="20"/>
              </w:rPr>
              <w:t>на цифровата трансформация на различни равнища на технологична готовност (TRL -1-9)</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r>
      <w:tr w:rsidR="00D4086A">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17</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9 По-ефективно управление и укрепване на финансирането на НИРДИ – Инвестиция 5: Научни изследвания и иновации за цифровизацията на икономиката</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Брой проекти за </w:t>
            </w:r>
            <w:r>
              <w:rPr>
                <w:rFonts w:ascii="Times New Roman" w:hAnsi="Times New Roman"/>
                <w:noProof/>
                <w:color w:val="006100"/>
                <w:sz w:val="20"/>
                <w:szCs w:val="20"/>
              </w:rPr>
              <w:t>научни изследвания, развитие и иновации, насочени към предизвикателствата на цифровата трансформация, които са приключени</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 на проектите</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140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2026 г.</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От общата цел да се завършат 155 проекта, се завършват най-малко 140 проекта, подбрани в рамките </w:t>
            </w:r>
            <w:r>
              <w:rPr>
                <w:rFonts w:ascii="Times New Roman" w:hAnsi="Times New Roman"/>
                <w:noProof/>
                <w:color w:val="006100"/>
                <w:sz w:val="20"/>
                <w:szCs w:val="20"/>
              </w:rPr>
              <w:t>на поканите за представяне на предложения</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r>
      <w:tr w:rsidR="00D4086A">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18</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9 По-ефективно управление и укрепване на финансирането на научните изследвания, развойната дейност и иновациите – Инвестиция 6: Финансови инструменти в подкрепа на иновациите</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Стартиране и </w:t>
            </w:r>
            <w:r>
              <w:rPr>
                <w:rFonts w:ascii="Times New Roman" w:hAnsi="Times New Roman"/>
                <w:noProof/>
                <w:color w:val="006100"/>
                <w:sz w:val="20"/>
                <w:szCs w:val="20"/>
              </w:rPr>
              <w:t>прилагане на финансови инструменти в подкрепа на иновациите</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Стартиране на инвестиционния етап на финансовите инструменти в подкрепа на иновациите в съответствие с инвестиционната стратегия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2</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Най-малко два финансови инструмента ще бъдат старти</w:t>
            </w:r>
            <w:r>
              <w:rPr>
                <w:rFonts w:ascii="Times New Roman" w:hAnsi="Times New Roman"/>
                <w:noProof/>
                <w:color w:val="006100"/>
                <w:sz w:val="20"/>
                <w:szCs w:val="20"/>
              </w:rPr>
              <w:t>рани на инвестиционния етап в съответствие с инвестиционна стратегия/договорно споразумение, която е в съответствие с принципите за „ненанасяне на значителни вреди“ (2021/C58/01), изискващи проверка на устойчивостта, критериите за изключване на инвестицият</w:t>
            </w:r>
            <w:r>
              <w:rPr>
                <w:rFonts w:ascii="Times New Roman" w:hAnsi="Times New Roman"/>
                <w:noProof/>
                <w:color w:val="006100"/>
                <w:sz w:val="20"/>
                <w:szCs w:val="20"/>
              </w:rPr>
              <w:t xml:space="preserve">а и спазването на съответното законодателство на ЕС и националното законодателство в областта на околната среда.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Аспектите на DNSH се отразяват по подходящ начин в договорното споразумение между словашките органи и партньорите по изпълнението/финансовите </w:t>
            </w:r>
            <w:r>
              <w:rPr>
                <w:rFonts w:ascii="Times New Roman" w:hAnsi="Times New Roman"/>
                <w:noProof/>
                <w:color w:val="006100"/>
                <w:sz w:val="20"/>
                <w:szCs w:val="20"/>
              </w:rPr>
              <w:t>посредници.</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Финансовите инструменти подпомагат иновациите в предприятията и включват следните схеми: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•Влагане на капитал на ранен етап от жизнения цикъл на предприятието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Влагане на капитал в дружествата на етап на растеж</w:t>
            </w:r>
          </w:p>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 микрокредити, обхващащи „зеле</w:t>
            </w:r>
            <w:r>
              <w:rPr>
                <w:rFonts w:ascii="Times New Roman" w:hAnsi="Times New Roman"/>
                <w:noProof/>
                <w:color w:val="006100"/>
                <w:sz w:val="20"/>
                <w:szCs w:val="20"/>
              </w:rPr>
              <w:t>ни“ и „цифрови“ заеми</w:t>
            </w:r>
          </w:p>
          <w:p w:rsidR="00D4086A" w:rsidRDefault="00D4086A">
            <w:pPr>
              <w:spacing w:after="0"/>
              <w:rPr>
                <w:rFonts w:ascii="Times New Roman" w:hAnsi="Times New Roman"/>
                <w:noProof/>
                <w:sz w:val="20"/>
                <w:szCs w:val="20"/>
              </w:rPr>
            </w:pPr>
          </w:p>
        </w:tc>
      </w:tr>
      <w:tr w:rsidR="00D4086A">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19</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9 По-ефективно управление и укрепване на финансирането на НИРДИ – Инвестиция 6: Финансови инструменти в подкрепа на иновациите</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Брой дружества, получили подкрепа чрез финансови инструменти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 дружества</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150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2026</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От </w:t>
            </w:r>
            <w:r>
              <w:rPr>
                <w:rFonts w:ascii="Times New Roman" w:hAnsi="Times New Roman"/>
                <w:noProof/>
                <w:color w:val="006100"/>
                <w:sz w:val="20"/>
                <w:szCs w:val="20"/>
              </w:rPr>
              <w:t>общата цел е да се подкрепят 165 дружества, най-малко 150 дружества, които са подкрепени от финансови инструменти под формата на вложени капитали и микрокредити.</w:t>
            </w:r>
          </w:p>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Изчислено е, че 40 дружества се възползват от капиталова инжекция, а 125 дружества – от „зелен</w:t>
            </w:r>
            <w:r>
              <w:rPr>
                <w:rFonts w:ascii="Times New Roman" w:hAnsi="Times New Roman"/>
                <w:noProof/>
                <w:color w:val="006100"/>
                <w:sz w:val="20"/>
                <w:szCs w:val="20"/>
              </w:rPr>
              <w:t>и“ или „цифрови“ заеми.</w:t>
            </w:r>
          </w:p>
        </w:tc>
      </w:tr>
      <w:tr w:rsidR="00D4086A">
        <w:trPr>
          <w:trHeight w:val="3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spacing w:after="0"/>
              <w:rPr>
                <w:rFonts w:ascii="Times New Roman" w:hAnsi="Times New Roman"/>
                <w:noProof/>
                <w:color w:val="006100"/>
                <w:sz w:val="20"/>
                <w:szCs w:val="20"/>
              </w:rPr>
            </w:pP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9 По-ефективно управление и укрепване на финансирането на НИРДИ – Инвестиция 7: Тя подпомага единна система за отпускане на безвъзмездна помощ за научни изследвания и развойна дейност</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Разработване на новата информационна система за РСР за оценка на схемите за безвъзмездна финансова помощ</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Първа покана за представяне на предложения за отпускане на безвъзмездни средства, изпълнена в новата информационна система за оценка на безвъзмездната</w:t>
            </w:r>
            <w:r>
              <w:rPr>
                <w:rFonts w:ascii="Times New Roman" w:hAnsi="Times New Roman"/>
                <w:noProof/>
                <w:color w:val="006100"/>
                <w:sz w:val="20"/>
                <w:szCs w:val="20"/>
              </w:rPr>
              <w:t xml:space="preserve"> финансова помощ за научни изследвания и развойна дейност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1</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Т1</w:t>
            </w:r>
          </w:p>
        </w:tc>
        <w:tc>
          <w:tcPr>
            <w:tcW w:w="8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2023</w:t>
            </w:r>
          </w:p>
        </w:tc>
        <w:tc>
          <w:tcPr>
            <w:tcW w:w="501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Функционира нова информационна система за оценка на безвъзмездните средства за научни изследвания и развойна дейност, която ще бъде тествана чрез първите покани за представяне на пре</w:t>
            </w:r>
            <w:r>
              <w:rPr>
                <w:rFonts w:ascii="Times New Roman" w:hAnsi="Times New Roman"/>
                <w:noProof/>
                <w:color w:val="006100"/>
                <w:sz w:val="20"/>
                <w:szCs w:val="20"/>
              </w:rPr>
              <w:t xml:space="preserve">дложения.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Очаква се информационната система да има следните специфични характеристики:</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модул, който свързва регистъра на персонала във висшето образование с персонала в областта на научните изследвания, развойната дейност и иновациите и други сектори,</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xml:space="preserve">• модул за регистриране на организации за РЗ, </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модулност на системата за гъвкаво използване на различните системи за оценка,</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модул, който свързва регистъра на резултатите от публикациите както за оценка на проектите, така и за отчитане на резултатите о</w:t>
            </w:r>
            <w:r>
              <w:rPr>
                <w:rFonts w:ascii="Times New Roman" w:hAnsi="Times New Roman"/>
                <w:noProof/>
                <w:color w:val="006100"/>
                <w:sz w:val="20"/>
                <w:szCs w:val="20"/>
              </w:rPr>
              <w:t>т проектите,</w:t>
            </w:r>
          </w:p>
          <w:p w:rsidR="00D4086A" w:rsidRDefault="00D5307E">
            <w:pPr>
              <w:spacing w:after="0"/>
              <w:rPr>
                <w:rFonts w:ascii="Times New Roman" w:hAnsi="Times New Roman"/>
                <w:noProof/>
                <w:sz w:val="20"/>
                <w:szCs w:val="20"/>
              </w:rPr>
            </w:pPr>
            <w:r>
              <w:rPr>
                <w:rFonts w:ascii="Times New Roman" w:hAnsi="Times New Roman"/>
                <w:noProof/>
                <w:color w:val="006100"/>
                <w:sz w:val="20"/>
                <w:szCs w:val="20"/>
              </w:rPr>
              <w:t>• взаимодействия с информационната система на политиката на сближаване и</w:t>
            </w:r>
          </w:p>
          <w:p w:rsidR="00D4086A" w:rsidRDefault="00D5307E">
            <w:pPr>
              <w:spacing w:after="0"/>
              <w:rPr>
                <w:rFonts w:ascii="Times New Roman" w:hAnsi="Times New Roman"/>
                <w:noProof/>
                <w:color w:val="006100"/>
                <w:sz w:val="20"/>
                <w:szCs w:val="20"/>
              </w:rPr>
            </w:pPr>
            <w:r>
              <w:rPr>
                <w:rFonts w:ascii="Times New Roman" w:hAnsi="Times New Roman"/>
                <w:noProof/>
                <w:color w:val="006100"/>
                <w:sz w:val="20"/>
                <w:szCs w:val="20"/>
              </w:rPr>
              <w:t>• модулност, позволяваща променливи настройки за повикване</w:t>
            </w:r>
          </w:p>
          <w:p w:rsidR="00D4086A" w:rsidRDefault="00D4086A">
            <w:pPr>
              <w:spacing w:after="0"/>
              <w:rPr>
                <w:rFonts w:ascii="Times New Roman" w:hAnsi="Times New Roman"/>
                <w:noProof/>
                <w:color w:val="006100"/>
                <w:sz w:val="20"/>
                <w:szCs w:val="20"/>
              </w:rPr>
            </w:pPr>
          </w:p>
        </w:tc>
      </w:tr>
    </w:tbl>
    <w:p w:rsidR="00D4086A" w:rsidRDefault="00D4086A">
      <w:pPr>
        <w:tabs>
          <w:tab w:val="left" w:pos="1560"/>
        </w:tabs>
        <w:spacing w:before="120" w:after="120" w:line="240" w:lineRule="auto"/>
        <w:ind w:left="1276"/>
        <w:jc w:val="both"/>
        <w:rPr>
          <w:rFonts w:ascii="Times New Roman" w:hAnsi="Times New Roman"/>
          <w:i/>
          <w:iCs/>
          <w:noProof/>
          <w:highlight w:val="yellow"/>
        </w:rPr>
      </w:pPr>
    </w:p>
    <w:p w:rsidR="00D4086A" w:rsidRDefault="00D4086A">
      <w:pPr>
        <w:spacing w:before="120" w:after="120" w:line="240" w:lineRule="auto"/>
        <w:ind w:left="850"/>
        <w:jc w:val="both"/>
        <w:rPr>
          <w:rFonts w:ascii="Times New Roman" w:hAnsi="Times New Roman"/>
          <w:i/>
          <w:iCs/>
          <w:noProof/>
          <w:color w:val="4F81BD"/>
          <w:sz w:val="24"/>
        </w:rPr>
        <w:sectPr w:rsidR="00D4086A">
          <w:headerReference w:type="even" r:id="rId120"/>
          <w:headerReference w:type="default" r:id="rId121"/>
          <w:footerReference w:type="even" r:id="rId122"/>
          <w:footerReference w:type="default" r:id="rId123"/>
          <w:headerReference w:type="first" r:id="rId124"/>
          <w:footerReference w:type="first" r:id="rId125"/>
          <w:pgSz w:w="16839" w:h="11907" w:orient="landscape"/>
          <w:pgMar w:top="1417" w:right="1134" w:bottom="1417" w:left="709" w:header="709" w:footer="709" w:gutter="0"/>
          <w:cols w:space="720"/>
          <w:docGrid w:linePitch="360"/>
        </w:sectPr>
      </w:pPr>
    </w:p>
    <w:p w:rsidR="00D4086A" w:rsidRDefault="00D5307E">
      <w:pPr>
        <w:keepNext/>
        <w:tabs>
          <w:tab w:val="left" w:pos="850"/>
        </w:tabs>
        <w:spacing w:before="360" w:after="120" w:line="240" w:lineRule="auto"/>
        <w:ind w:left="1700" w:hanging="850"/>
        <w:jc w:val="both"/>
        <w:outlineLvl w:val="0"/>
        <w:rPr>
          <w:rFonts w:ascii="Times New Roman" w:hAnsi="Times New Roman"/>
          <w:b/>
          <w:smallCaps/>
          <w:noProof/>
          <w:sz w:val="24"/>
        </w:rPr>
      </w:pPr>
      <w:r>
        <w:rPr>
          <w:rFonts w:ascii="Times New Roman" w:hAnsi="Times New Roman"/>
          <w:b/>
          <w:smallCaps/>
          <w:noProof/>
          <w:sz w:val="24"/>
        </w:rPr>
        <w:t>КОМПОНЕНТ 10: Привличане и задържане на таланти</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Целта</w:t>
      </w:r>
      <w:r>
        <w:rPr>
          <w:rFonts w:ascii="Times New Roman" w:hAnsi="Times New Roman"/>
          <w:noProof/>
          <w:sz w:val="24"/>
        </w:rPr>
        <w:t xml:space="preserve"> на този компонент на словашкия план за възстановяване и устойчивост е да се разработят ефективни политики за насърчаване на студентската и трудовата мобилност, активно да се мотивират висококвалифицирани чуждестранни експерти (включително словашки граждан</w:t>
      </w:r>
      <w:r>
        <w:rPr>
          <w:rFonts w:ascii="Times New Roman" w:hAnsi="Times New Roman"/>
          <w:noProof/>
          <w:sz w:val="24"/>
        </w:rPr>
        <w:t>и), студенти и предприемачи да се установят в Словакия. Целта на тези мерки е да се привлече и задържи човешкият капитал, който е от съществено значение за икономическото развитие на Словакия. Целта на властите е да се увеличи в рамките на пет години делът</w:t>
      </w:r>
      <w:r>
        <w:rPr>
          <w:rFonts w:ascii="Times New Roman" w:hAnsi="Times New Roman"/>
          <w:noProof/>
          <w:sz w:val="24"/>
        </w:rPr>
        <w:t xml:space="preserve"> на висококвалифицираните чуждестранни граждани в работната сила от 0,5 % на 1 % и да се постигне баланс между заминаващите и пристигащите студенти в словашките висши учебни заведения.</w:t>
      </w:r>
    </w:p>
    <w:p w:rsidR="00D4086A" w:rsidRDefault="00D5307E">
      <w:pPr>
        <w:spacing w:before="120" w:after="120" w:line="240" w:lineRule="auto"/>
        <w:ind w:left="850"/>
        <w:jc w:val="both"/>
        <w:rPr>
          <w:rFonts w:ascii="Times New Roman" w:hAnsi="Times New Roman"/>
          <w:noProof/>
          <w:sz w:val="24"/>
          <w:szCs w:val="24"/>
        </w:rPr>
      </w:pPr>
      <w:r>
        <w:rPr>
          <w:rFonts w:ascii="Times New Roman" w:hAnsi="Times New Roman"/>
          <w:noProof/>
          <w:sz w:val="24"/>
          <w:szCs w:val="24"/>
        </w:rPr>
        <w:t>Очаква се, че нито една мярка в този компонент не вреди в значителна ст</w:t>
      </w:r>
      <w:r>
        <w:rPr>
          <w:rFonts w:ascii="Times New Roman" w:hAnsi="Times New Roman"/>
          <w:noProof/>
          <w:sz w:val="24"/>
          <w:szCs w:val="24"/>
        </w:rPr>
        <w:t>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на DNS</w:t>
      </w:r>
      <w:r>
        <w:rPr>
          <w:rFonts w:ascii="Times New Roman" w:hAnsi="Times New Roman"/>
          <w:noProof/>
          <w:sz w:val="24"/>
          <w:szCs w:val="24"/>
        </w:rPr>
        <w:t xml:space="preserve">H (2021/C58/01).  </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Мерките в този компонент ще допринесат за изпълнението на специфичните за всяка държава препоръки към Словакия, по-специално по отношение на „подобряването на качеството и приобщаващия характер на образованието на всички равнища и насърч</w:t>
      </w:r>
      <w:r>
        <w:rPr>
          <w:rFonts w:ascii="Times New Roman" w:hAnsi="Times New Roman"/>
          <w:noProof/>
          <w:sz w:val="24"/>
        </w:rPr>
        <w:t>аването на уменията“ и „насърчаването на интеграцията на групите в неравностойно положение“ (специфична за всяка държава препоръка 2, 2019 г.), както и „устойчивостта на здравната система в областта на работната сила в здравеопазването“ (специфична за всяк</w:t>
      </w:r>
      <w:r>
        <w:rPr>
          <w:rFonts w:ascii="Times New Roman" w:hAnsi="Times New Roman"/>
          <w:noProof/>
          <w:sz w:val="24"/>
        </w:rPr>
        <w:t xml:space="preserve">а държава препоръка 1, 2020 г.). </w:t>
      </w:r>
    </w:p>
    <w:p w:rsidR="00D4086A" w:rsidRDefault="00D4086A">
      <w:pPr>
        <w:spacing w:before="120" w:after="120" w:line="240" w:lineRule="auto"/>
        <w:ind w:left="850"/>
        <w:jc w:val="both"/>
        <w:rPr>
          <w:rFonts w:ascii="Times New Roman" w:hAnsi="Times New Roman"/>
          <w:noProof/>
          <w:sz w:val="24"/>
        </w:rPr>
      </w:pPr>
    </w:p>
    <w:p w:rsidR="00D4086A" w:rsidRDefault="00D5307E">
      <w:pPr>
        <w:spacing w:before="120" w:after="120" w:line="240" w:lineRule="auto"/>
        <w:ind w:left="850"/>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Описание на реформите и инвестициите за безвъзмездна финансова подкрепа</w:t>
      </w:r>
    </w:p>
    <w:p w:rsidR="00D4086A" w:rsidRDefault="00D4086A">
      <w:pPr>
        <w:spacing w:before="120" w:after="120" w:line="240" w:lineRule="auto"/>
        <w:ind w:left="850"/>
        <w:jc w:val="both"/>
        <w:rPr>
          <w:rFonts w:ascii="Times New Roman" w:hAnsi="Times New Roman"/>
          <w:noProof/>
          <w:sz w:val="24"/>
        </w:rPr>
      </w:pPr>
    </w:p>
    <w:p w:rsidR="00D4086A" w:rsidRDefault="00D5307E">
      <w:pPr>
        <w:spacing w:before="120" w:after="120" w:line="240" w:lineRule="auto"/>
        <w:ind w:left="260" w:firstLine="590"/>
        <w:jc w:val="both"/>
        <w:rPr>
          <w:rFonts w:ascii="Times New Roman" w:hAnsi="Times New Roman"/>
          <w:b/>
          <w:noProof/>
          <w:sz w:val="24"/>
        </w:rPr>
      </w:pPr>
      <w:r>
        <w:rPr>
          <w:rFonts w:ascii="Times New Roman" w:hAnsi="Times New Roman"/>
          <w:b/>
          <w:noProof/>
          <w:sz w:val="24"/>
        </w:rPr>
        <w:t>Реформа 1: Реформа на законодателството в областта на пребиваването и труда</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Приложимите процедури за издаване на разрешение за работа и пребив</w:t>
      </w:r>
      <w:r>
        <w:rPr>
          <w:rFonts w:ascii="Times New Roman" w:hAnsi="Times New Roman"/>
          <w:noProof/>
          <w:sz w:val="24"/>
        </w:rPr>
        <w:t>аване в Словакия като цяло са трудни както за работника, така и за дружеството, и обикновено са продължителни. Целта на тази реформа е да се съкратят и значително да се опростят тези процедури за висококвалифицирани граждани на трети държави, включително ч</w:t>
      </w:r>
      <w:r>
        <w:rPr>
          <w:rFonts w:ascii="Times New Roman" w:hAnsi="Times New Roman"/>
          <w:noProof/>
          <w:sz w:val="24"/>
        </w:rPr>
        <w:t xml:space="preserve">леновете на техните семейства. </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Реформата ще използва съществуващата система за ускорена процедура за национална виза (D) в интерес на страната, като я отвори за нова категория висококвалифицирани граждани на трети държави, търсещи работа. Тази категория р</w:t>
      </w:r>
      <w:r>
        <w:rPr>
          <w:rFonts w:ascii="Times New Roman" w:hAnsi="Times New Roman"/>
          <w:noProof/>
          <w:sz w:val="24"/>
        </w:rPr>
        <w:t>аботници се освобождава от необходимостта да докаже, че има гарантирана работа, преди да влезе в страната, и ѝ се разрешава да започне работа с национална виза (D) веднага след намирането на работа. Осигурява се съвместимост с преразглеждането на Директива</w:t>
      </w:r>
      <w:r>
        <w:rPr>
          <w:rFonts w:ascii="Times New Roman" w:hAnsi="Times New Roman"/>
          <w:noProof/>
          <w:sz w:val="24"/>
        </w:rPr>
        <w:t xml:space="preserve">та за синята карта. </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Изпълнението на реформата приключва до 31 март 2022 г.</w:t>
      </w:r>
    </w:p>
    <w:p w:rsidR="00D4086A" w:rsidRDefault="00D5307E">
      <w:pPr>
        <w:spacing w:before="120" w:after="120" w:line="240" w:lineRule="auto"/>
        <w:ind w:left="850"/>
        <w:jc w:val="both"/>
        <w:rPr>
          <w:rFonts w:ascii="Times New Roman" w:hAnsi="Times New Roman"/>
          <w:b/>
          <w:noProof/>
          <w:sz w:val="24"/>
        </w:rPr>
      </w:pPr>
      <w:r>
        <w:rPr>
          <w:rFonts w:ascii="Times New Roman" w:hAnsi="Times New Roman"/>
          <w:b/>
          <w:noProof/>
          <w:sz w:val="24"/>
        </w:rPr>
        <w:t>Реформа 2: Опростяване на режима за признаване на квалификации и професионални квалификации за упражняване на регулирани професии</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 xml:space="preserve">Тази реформа ще опрости признаването на образователните квалификации от чуждестранни работници, за да се улесни тяхното установяване в Словакия. </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За държави, които имат двустранно споразумение за признаване на квалификациите, кандидатите се освобождават от</w:t>
      </w:r>
      <w:r>
        <w:rPr>
          <w:rFonts w:ascii="Times New Roman" w:hAnsi="Times New Roman"/>
          <w:noProof/>
          <w:sz w:val="24"/>
        </w:rPr>
        <w:t xml:space="preserve"> изискването да представят удостоверение за акредитацията на университета за предоставяне на съответното образование. Освен това се укрепва капацитетът на Центъра за признаване на образователното признаване, за да се ускори процесът на признаване на квалиф</w:t>
      </w:r>
      <w:r>
        <w:rPr>
          <w:rFonts w:ascii="Times New Roman" w:hAnsi="Times New Roman"/>
          <w:noProof/>
          <w:sz w:val="24"/>
        </w:rPr>
        <w:t>икациите за всички държави.</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По отношение на квалификациите на лекарите реформата:</w:t>
      </w:r>
    </w:p>
    <w:p w:rsidR="00D4086A" w:rsidRDefault="00D5307E">
      <w:pPr>
        <w:numPr>
          <w:ilvl w:val="0"/>
          <w:numId w:val="30"/>
        </w:numPr>
        <w:spacing w:before="120" w:after="120" w:line="240" w:lineRule="auto"/>
        <w:jc w:val="both"/>
        <w:rPr>
          <w:rFonts w:ascii="Times New Roman" w:hAnsi="Times New Roman"/>
          <w:noProof/>
          <w:sz w:val="24"/>
        </w:rPr>
      </w:pPr>
      <w:r>
        <w:rPr>
          <w:rFonts w:ascii="Times New Roman" w:hAnsi="Times New Roman"/>
          <w:noProof/>
          <w:sz w:val="24"/>
        </w:rPr>
        <w:t>намаляване на сроковете за признаване на дипломите, изброени в приложение 3 към Закона за доставчиците на здравно обслужване, от три месеца на един месец. Автоматично признав</w:t>
      </w:r>
      <w:r>
        <w:rPr>
          <w:rFonts w:ascii="Times New Roman" w:hAnsi="Times New Roman"/>
          <w:noProof/>
          <w:sz w:val="24"/>
        </w:rPr>
        <w:t>ане на координираните специализации на равнище ЕС на лекари и стоматолози;</w:t>
      </w:r>
    </w:p>
    <w:p w:rsidR="00D4086A" w:rsidRDefault="00D5307E">
      <w:pPr>
        <w:numPr>
          <w:ilvl w:val="0"/>
          <w:numId w:val="30"/>
        </w:numPr>
        <w:spacing w:before="120" w:after="120" w:line="240" w:lineRule="auto"/>
        <w:jc w:val="both"/>
        <w:rPr>
          <w:rFonts w:ascii="Times New Roman" w:hAnsi="Times New Roman"/>
          <w:noProof/>
          <w:sz w:val="24"/>
        </w:rPr>
      </w:pPr>
      <w:r>
        <w:rPr>
          <w:rFonts w:ascii="Times New Roman" w:hAnsi="Times New Roman"/>
          <w:noProof/>
          <w:sz w:val="24"/>
        </w:rPr>
        <w:t>да намали сроковете за признаване на дипломи, които не са изброени в приложение 3 към Закона за доставчиците на здравно обслужване, издадени от компетентните органи съгласно законод</w:t>
      </w:r>
      <w:r>
        <w:rPr>
          <w:rFonts w:ascii="Times New Roman" w:hAnsi="Times New Roman"/>
          <w:noProof/>
          <w:sz w:val="24"/>
        </w:rPr>
        <w:t>ателството на държавите членки, от три месеца на два месеца;</w:t>
      </w:r>
    </w:p>
    <w:p w:rsidR="00D4086A" w:rsidRDefault="00D5307E">
      <w:pPr>
        <w:numPr>
          <w:ilvl w:val="0"/>
          <w:numId w:val="30"/>
        </w:numPr>
        <w:spacing w:before="120" w:after="120" w:line="240" w:lineRule="auto"/>
        <w:jc w:val="both"/>
        <w:rPr>
          <w:rFonts w:ascii="Times New Roman" w:hAnsi="Times New Roman"/>
          <w:noProof/>
          <w:sz w:val="24"/>
        </w:rPr>
      </w:pPr>
      <w:r>
        <w:rPr>
          <w:rFonts w:ascii="Times New Roman" w:hAnsi="Times New Roman"/>
          <w:noProof/>
          <w:sz w:val="24"/>
        </w:rPr>
        <w:t xml:space="preserve">да намали сроковете за признаване на дипломите, издадени от компетентните органи съгласно законодателството на трети държави, от три месеца на два месеца. Да коригира сроковете за признаване на </w:t>
      </w:r>
      <w:r>
        <w:rPr>
          <w:rFonts w:ascii="Times New Roman" w:hAnsi="Times New Roman"/>
          <w:noProof/>
          <w:sz w:val="24"/>
        </w:rPr>
        <w:t>дипломи, издадени в друга държава, от четири месеца на два месеца;</w:t>
      </w:r>
    </w:p>
    <w:p w:rsidR="00D4086A" w:rsidRDefault="00D5307E">
      <w:pPr>
        <w:numPr>
          <w:ilvl w:val="0"/>
          <w:numId w:val="30"/>
        </w:numPr>
        <w:spacing w:before="120" w:after="120" w:line="240" w:lineRule="auto"/>
        <w:jc w:val="both"/>
        <w:rPr>
          <w:rFonts w:ascii="Times New Roman" w:hAnsi="Times New Roman"/>
          <w:noProof/>
          <w:sz w:val="24"/>
        </w:rPr>
      </w:pPr>
      <w:r>
        <w:rPr>
          <w:rFonts w:ascii="Times New Roman" w:hAnsi="Times New Roman"/>
          <w:noProof/>
          <w:sz w:val="24"/>
        </w:rPr>
        <w:t>разширяване на института на временни стажове отвъд настоящия кризисен период чрез изменение на член 30а от Закона за доставчиците на здравно обслужване.</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 xml:space="preserve">Изпълнението на реформата приключва </w:t>
      </w:r>
      <w:r>
        <w:rPr>
          <w:rFonts w:ascii="Times New Roman" w:hAnsi="Times New Roman"/>
          <w:noProof/>
          <w:sz w:val="24"/>
        </w:rPr>
        <w:t>до 31 март 2022 г.</w:t>
      </w:r>
    </w:p>
    <w:p w:rsidR="00D4086A" w:rsidRDefault="00D5307E">
      <w:pPr>
        <w:spacing w:before="120" w:after="120" w:line="240" w:lineRule="auto"/>
        <w:ind w:left="850"/>
        <w:jc w:val="both"/>
        <w:rPr>
          <w:rFonts w:ascii="Times New Roman" w:hAnsi="Times New Roman"/>
          <w:b/>
          <w:noProof/>
          <w:sz w:val="24"/>
        </w:rPr>
      </w:pPr>
      <w:r>
        <w:rPr>
          <w:rFonts w:ascii="Times New Roman" w:hAnsi="Times New Roman"/>
          <w:b/>
          <w:noProof/>
          <w:sz w:val="24"/>
        </w:rPr>
        <w:t>Инвестиция 1: Инструменти за подкрепа и помощ за завърналите се лица, висококвалифицираните работници от трети държави и членовете на техните семейства и чуждестранните студенти, които учат в Словакия</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Тази инвестиция има за цел да подпом</w:t>
      </w:r>
      <w:r>
        <w:rPr>
          <w:rFonts w:ascii="Times New Roman" w:hAnsi="Times New Roman"/>
          <w:noProof/>
          <w:sz w:val="24"/>
        </w:rPr>
        <w:t xml:space="preserve">огне интеграцията на висококвалифицирани работници, завръщащи се от чужбина лица и членовете на техните семейства. </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Инвестицията подпомага програми за интеграция на целеви групи чуждестранни студенти, висококвалифицирани работници и членове на техните семе</w:t>
      </w:r>
      <w:r>
        <w:rPr>
          <w:rFonts w:ascii="Times New Roman" w:hAnsi="Times New Roman"/>
          <w:noProof/>
          <w:sz w:val="24"/>
        </w:rPr>
        <w:t xml:space="preserve">йства и завръщащи се от чужбина, включително чрез финансиране на проекти. Създава се правна рамка за „обслужване на едно гише“ (центрове, предоставящи всеобхватни консултации и услуги, улесняващи установяването в Словакия и започване на кариера), следвана </w:t>
      </w:r>
      <w:r>
        <w:rPr>
          <w:rFonts w:ascii="Times New Roman" w:hAnsi="Times New Roman"/>
          <w:noProof/>
          <w:sz w:val="24"/>
        </w:rPr>
        <w:t xml:space="preserve">от създаването на три такива центъра. Езиковите умения на персонала на публичния сектор (по-специално на персонала за първи контакт) и изграждането на капацитет в областта на консултирането на чужденци по въпросите на интеграцията следва да бъдат засилени </w:t>
      </w:r>
      <w:r>
        <w:rPr>
          <w:rFonts w:ascii="Times New Roman" w:hAnsi="Times New Roman"/>
          <w:noProof/>
          <w:sz w:val="24"/>
        </w:rPr>
        <w:t>чрез обучение.</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31 март 2025 г.</w:t>
      </w:r>
    </w:p>
    <w:p w:rsidR="00D4086A" w:rsidRDefault="00D5307E">
      <w:pPr>
        <w:spacing w:before="120" w:after="120" w:line="240" w:lineRule="auto"/>
        <w:ind w:left="850"/>
        <w:jc w:val="both"/>
        <w:rPr>
          <w:rFonts w:ascii="Times New Roman" w:hAnsi="Times New Roman"/>
          <w:b/>
          <w:noProof/>
          <w:sz w:val="24"/>
        </w:rPr>
      </w:pPr>
      <w:r>
        <w:rPr>
          <w:rFonts w:ascii="Times New Roman" w:hAnsi="Times New Roman"/>
          <w:b/>
          <w:noProof/>
          <w:sz w:val="24"/>
        </w:rPr>
        <w:t>Инвестиция 2: Укрепване на отношенията с диаспората в подкрепа на гражданските инициативи</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Целта на тази мярка е да се укрепят отношенията със словаците в чужбина, включително</w:t>
      </w:r>
      <w:r>
        <w:rPr>
          <w:rFonts w:ascii="Times New Roman" w:hAnsi="Times New Roman"/>
          <w:noProof/>
          <w:sz w:val="24"/>
        </w:rPr>
        <w:t xml:space="preserve"> членовете на новата диаспора, да се увеличи вероятността те да се завърнат у дома и да се използва тяхното ноу-хау за модернизиране на Словакия. Целта не е да се възпрепятства движението на висококвалифицирани работници, а по-скоро да се насърчи „движение</w:t>
      </w:r>
      <w:r>
        <w:rPr>
          <w:rFonts w:ascii="Times New Roman" w:hAnsi="Times New Roman"/>
          <w:noProof/>
          <w:sz w:val="24"/>
        </w:rPr>
        <w:t>то на мозъци“.</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Инвестицията подпомага насърчаването на възможностите за професионално развитие в Словакия, включително чрез цифрови платформи, съдържащи информация, която е от значение за завръщане у дома. Той също така подкрепя дейностите на неправителств</w:t>
      </w:r>
      <w:r>
        <w:rPr>
          <w:rFonts w:ascii="Times New Roman" w:hAnsi="Times New Roman"/>
          <w:noProof/>
          <w:sz w:val="24"/>
        </w:rPr>
        <w:t>ени инициативи с опит в тази област и партньорства между правителствени и неправителствени инициативи.</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31 март 2026 г.</w:t>
      </w:r>
    </w:p>
    <w:p w:rsidR="00D4086A" w:rsidRDefault="00D5307E">
      <w:pPr>
        <w:spacing w:before="120" w:after="120" w:line="240" w:lineRule="auto"/>
        <w:ind w:left="850"/>
        <w:jc w:val="both"/>
        <w:rPr>
          <w:rFonts w:ascii="Times New Roman" w:hAnsi="Times New Roman"/>
          <w:b/>
          <w:noProof/>
          <w:sz w:val="24"/>
        </w:rPr>
      </w:pPr>
      <w:r>
        <w:rPr>
          <w:rFonts w:ascii="Times New Roman" w:hAnsi="Times New Roman"/>
          <w:b/>
          <w:noProof/>
          <w:sz w:val="24"/>
        </w:rPr>
        <w:t>Инвестиция 3: Стипендии за местни и чуждестранни талантливи студенти</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Схемата за отпуск</w:t>
      </w:r>
      <w:r>
        <w:rPr>
          <w:rFonts w:ascii="Times New Roman" w:hAnsi="Times New Roman"/>
          <w:noProof/>
          <w:sz w:val="24"/>
        </w:rPr>
        <w:t>ане на стипендии подпомага финансово талантливи студенти в три групи:</w:t>
      </w:r>
    </w:p>
    <w:p w:rsidR="00D4086A" w:rsidRDefault="00D5307E">
      <w:pPr>
        <w:numPr>
          <w:ilvl w:val="4"/>
          <w:numId w:val="5"/>
        </w:numPr>
        <w:spacing w:before="120" w:after="120" w:line="240" w:lineRule="auto"/>
        <w:ind w:left="1701"/>
        <w:jc w:val="both"/>
        <w:rPr>
          <w:rFonts w:ascii="Times New Roman" w:hAnsi="Times New Roman"/>
          <w:noProof/>
          <w:sz w:val="24"/>
        </w:rPr>
      </w:pPr>
      <w:r>
        <w:rPr>
          <w:rFonts w:ascii="Times New Roman" w:hAnsi="Times New Roman"/>
          <w:noProof/>
          <w:sz w:val="24"/>
        </w:rPr>
        <w:t>най-талантливите завършили словашки гимназии – измерена с тяхната степен на завършено средно образование, като се набляга на специализациите с по-висок дял на напускащите Словакия (матем</w:t>
      </w:r>
      <w:r>
        <w:rPr>
          <w:rFonts w:ascii="Times New Roman" w:hAnsi="Times New Roman"/>
          <w:noProof/>
          <w:sz w:val="24"/>
        </w:rPr>
        <w:t>атика, чужди езици);</w:t>
      </w:r>
    </w:p>
    <w:p w:rsidR="00D4086A" w:rsidRDefault="00D5307E">
      <w:pPr>
        <w:numPr>
          <w:ilvl w:val="4"/>
          <w:numId w:val="5"/>
        </w:numPr>
        <w:spacing w:before="120" w:after="120" w:line="240" w:lineRule="auto"/>
        <w:ind w:left="1701"/>
        <w:jc w:val="both"/>
        <w:rPr>
          <w:rFonts w:ascii="Times New Roman" w:hAnsi="Times New Roman"/>
          <w:noProof/>
          <w:sz w:val="24"/>
        </w:rPr>
      </w:pPr>
      <w:r>
        <w:rPr>
          <w:rFonts w:ascii="Times New Roman" w:hAnsi="Times New Roman"/>
          <w:noProof/>
          <w:sz w:val="24"/>
        </w:rPr>
        <w:t>най-талантливите студенти от чужбина – измерени чрез стандартизирани международни тестове;</w:t>
      </w:r>
    </w:p>
    <w:p w:rsidR="00D4086A" w:rsidRDefault="00D5307E">
      <w:pPr>
        <w:numPr>
          <w:ilvl w:val="4"/>
          <w:numId w:val="5"/>
        </w:numPr>
        <w:spacing w:before="120" w:after="120" w:line="240" w:lineRule="auto"/>
        <w:ind w:left="1701"/>
        <w:jc w:val="both"/>
        <w:rPr>
          <w:rFonts w:ascii="Times New Roman" w:hAnsi="Times New Roman"/>
          <w:noProof/>
          <w:sz w:val="24"/>
        </w:rPr>
      </w:pPr>
      <w:r>
        <w:rPr>
          <w:rFonts w:ascii="Times New Roman" w:hAnsi="Times New Roman"/>
          <w:noProof/>
          <w:sz w:val="24"/>
        </w:rPr>
        <w:t>ученици в неравностойно социално и икономическо положение или принадлежащи към определени групи в неравностойно положение (като сираци, деца в д</w:t>
      </w:r>
      <w:r>
        <w:rPr>
          <w:rFonts w:ascii="Times New Roman" w:hAnsi="Times New Roman"/>
          <w:noProof/>
          <w:sz w:val="24"/>
        </w:rPr>
        <w:t>етски центрове и семейства или т.нар. студенти от първо поколение), които се оценяват въз основа на тяхната степен на завършено средно образование.</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Схемата предоставя стипендии за избрани студенти през първите три години на бакалавърската степен. За универ</w:t>
      </w:r>
      <w:r>
        <w:rPr>
          <w:rFonts w:ascii="Times New Roman" w:hAnsi="Times New Roman"/>
          <w:noProof/>
          <w:sz w:val="24"/>
        </w:rPr>
        <w:t xml:space="preserve">ситетите, приемащи студентите, се заплаща финансов стимул, който те могат да използват за подпомагане на отлични студенти на ниво втори цикъл или за програми за интеграция и професионално развитие на отлични местни или чуждестранни студенти. </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Схемата започ</w:t>
      </w:r>
      <w:r>
        <w:rPr>
          <w:rFonts w:ascii="Times New Roman" w:hAnsi="Times New Roman"/>
          <w:noProof/>
          <w:sz w:val="24"/>
        </w:rPr>
        <w:t xml:space="preserve">ва да функционира в периода 2022—2027 г. (т.е. стипендии с продължителност до 2029). Планът за възстановяване и устойчивост подкрепя студентите, влизащи в периода 2022—2024 г., докато други финансови източници се използват за разширяване на предоставянето </w:t>
      </w:r>
      <w:r>
        <w:rPr>
          <w:rFonts w:ascii="Times New Roman" w:hAnsi="Times New Roman"/>
          <w:noProof/>
          <w:sz w:val="24"/>
        </w:rPr>
        <w:t xml:space="preserve">на такава подкрепа най-малко до края на 2027 г. </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31 декември 2024 г.</w:t>
      </w:r>
    </w:p>
    <w:p w:rsidR="00D4086A" w:rsidRDefault="00D5307E">
      <w:pPr>
        <w:spacing w:before="120" w:after="120" w:line="240" w:lineRule="auto"/>
        <w:ind w:left="850"/>
        <w:jc w:val="both"/>
        <w:rPr>
          <w:rFonts w:ascii="Times New Roman" w:hAnsi="Times New Roman"/>
          <w:b/>
          <w:noProof/>
          <w:sz w:val="24"/>
        </w:rPr>
      </w:pPr>
      <w:r>
        <w:rPr>
          <w:rFonts w:ascii="Times New Roman" w:hAnsi="Times New Roman"/>
          <w:b/>
          <w:noProof/>
          <w:sz w:val="24"/>
        </w:rPr>
        <w:t>Инвестиция 4: Насърчаване на интернационализацията в академичната среда</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 xml:space="preserve">Целта на тази инвестиция е да се подкрепи интернационализацията </w:t>
      </w:r>
      <w:r>
        <w:rPr>
          <w:rFonts w:ascii="Times New Roman" w:hAnsi="Times New Roman"/>
          <w:noProof/>
          <w:sz w:val="24"/>
        </w:rPr>
        <w:t xml:space="preserve">на университетите и научноизследователските институции в Словакия. </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Правителството приема стратегия за интернационализация на университетите, която включва подкрепа за съвместни университетски програми, мерки за привличане на чуждестранни студенти и универ</w:t>
      </w:r>
      <w:r>
        <w:rPr>
          <w:rFonts w:ascii="Times New Roman" w:hAnsi="Times New Roman"/>
          <w:noProof/>
          <w:sz w:val="24"/>
        </w:rPr>
        <w:t xml:space="preserve">ситетски преподаватели и прилагане на принципите на Стратегията за човешките ресурси за научни изследвания (HRS4R). </w:t>
      </w:r>
    </w:p>
    <w:p w:rsidR="00D4086A" w:rsidRDefault="00D5307E">
      <w:pPr>
        <w:spacing w:before="120" w:after="120" w:line="240" w:lineRule="auto"/>
        <w:ind w:left="850"/>
        <w:jc w:val="both"/>
        <w:rPr>
          <w:rFonts w:ascii="Times New Roman" w:hAnsi="Times New Roman"/>
          <w:noProof/>
          <w:sz w:val="24"/>
        </w:rPr>
      </w:pPr>
      <w:r>
        <w:rPr>
          <w:rFonts w:ascii="Times New Roman" w:hAnsi="Times New Roman"/>
          <w:noProof/>
          <w:sz w:val="24"/>
        </w:rPr>
        <w:t xml:space="preserve">Инвестицията подкрепя: </w:t>
      </w:r>
    </w:p>
    <w:p w:rsidR="00D4086A" w:rsidRDefault="00D5307E">
      <w:pPr>
        <w:numPr>
          <w:ilvl w:val="0"/>
          <w:numId w:val="30"/>
        </w:numPr>
        <w:spacing w:before="120" w:after="120" w:line="240" w:lineRule="auto"/>
        <w:jc w:val="both"/>
        <w:rPr>
          <w:rFonts w:ascii="Times New Roman" w:hAnsi="Times New Roman"/>
          <w:noProof/>
          <w:sz w:val="24"/>
        </w:rPr>
      </w:pPr>
      <w:r>
        <w:rPr>
          <w:rFonts w:ascii="Times New Roman" w:hAnsi="Times New Roman"/>
          <w:noProof/>
          <w:sz w:val="24"/>
        </w:rPr>
        <w:t xml:space="preserve">системни мерки като одити на качеството и схеми за подпомагане на развитието на университетите въз основа на </w:t>
      </w:r>
      <w:r>
        <w:rPr>
          <w:rFonts w:ascii="Times New Roman" w:hAnsi="Times New Roman"/>
          <w:noProof/>
          <w:sz w:val="24"/>
        </w:rPr>
        <w:t>резултатите от одита;</w:t>
      </w:r>
    </w:p>
    <w:p w:rsidR="00D4086A" w:rsidRDefault="00D5307E">
      <w:pPr>
        <w:numPr>
          <w:ilvl w:val="0"/>
          <w:numId w:val="30"/>
        </w:numPr>
        <w:spacing w:before="120" w:after="120" w:line="240" w:lineRule="auto"/>
        <w:jc w:val="both"/>
        <w:rPr>
          <w:rFonts w:ascii="Times New Roman" w:hAnsi="Times New Roman"/>
          <w:noProof/>
          <w:sz w:val="24"/>
        </w:rPr>
      </w:pPr>
      <w:r>
        <w:rPr>
          <w:rFonts w:ascii="Times New Roman" w:hAnsi="Times New Roman"/>
          <w:noProof/>
          <w:sz w:val="24"/>
        </w:rPr>
        <w:t xml:space="preserve">подкрепа за програми за мобилност на студенти (стипендии по CEEPUS, стипендии въз основа на двустранни споразумения, Словашка национална стипендиантска програма); </w:t>
      </w:r>
    </w:p>
    <w:p w:rsidR="00D4086A" w:rsidRDefault="00D5307E">
      <w:pPr>
        <w:numPr>
          <w:ilvl w:val="0"/>
          <w:numId w:val="30"/>
        </w:numPr>
        <w:spacing w:before="120" w:after="120" w:line="240" w:lineRule="auto"/>
        <w:jc w:val="both"/>
        <w:rPr>
          <w:rFonts w:ascii="Times New Roman" w:hAnsi="Times New Roman"/>
          <w:noProof/>
          <w:sz w:val="24"/>
        </w:rPr>
      </w:pPr>
      <w:r>
        <w:rPr>
          <w:rFonts w:ascii="Times New Roman" w:hAnsi="Times New Roman"/>
          <w:noProof/>
          <w:sz w:val="24"/>
        </w:rPr>
        <w:t>насърчаване на висшето образование и науката в Словакия в чужбина и по</w:t>
      </w:r>
      <w:r>
        <w:rPr>
          <w:rFonts w:ascii="Times New Roman" w:hAnsi="Times New Roman"/>
          <w:noProof/>
          <w:sz w:val="24"/>
        </w:rPr>
        <w:t>дкрепа за международните мрежи на словашките университети.</w:t>
      </w:r>
    </w:p>
    <w:p w:rsidR="00D4086A" w:rsidRDefault="00D5307E">
      <w:pPr>
        <w:spacing w:before="120" w:after="120" w:line="240" w:lineRule="auto"/>
        <w:ind w:left="850"/>
        <w:jc w:val="both"/>
        <w:rPr>
          <w:rFonts w:ascii="Times New Roman" w:hAnsi="Times New Roman"/>
          <w:b/>
          <w:noProof/>
          <w:sz w:val="24"/>
          <w:u w:val="single"/>
        </w:rPr>
      </w:pPr>
      <w:r>
        <w:rPr>
          <w:rFonts w:ascii="Times New Roman" w:hAnsi="Times New Roman"/>
          <w:noProof/>
          <w:sz w:val="24"/>
        </w:rPr>
        <w:t>Изпълнението на инвестицията трябва да приключи до 31 март 2026 г.</w:t>
      </w:r>
    </w:p>
    <w:p w:rsidR="00D4086A" w:rsidRDefault="00D4086A">
      <w:pPr>
        <w:spacing w:before="120" w:after="120" w:line="240" w:lineRule="auto"/>
        <w:ind w:left="850"/>
        <w:jc w:val="both"/>
        <w:rPr>
          <w:rFonts w:ascii="Times New Roman" w:hAnsi="Times New Roman"/>
          <w:b/>
          <w:noProof/>
          <w:sz w:val="24"/>
          <w:u w:val="single"/>
        </w:rPr>
      </w:pPr>
    </w:p>
    <w:p w:rsidR="00D4086A" w:rsidRDefault="00D4086A">
      <w:pPr>
        <w:spacing w:before="120" w:after="120" w:line="240" w:lineRule="auto"/>
        <w:ind w:left="850"/>
        <w:jc w:val="both"/>
        <w:rPr>
          <w:rFonts w:ascii="Times New Roman" w:hAnsi="Times New Roman"/>
          <w:b/>
          <w:noProof/>
          <w:sz w:val="24"/>
          <w:u w:val="single"/>
        </w:rPr>
      </w:pPr>
    </w:p>
    <w:p w:rsidR="00D4086A" w:rsidRDefault="00D4086A">
      <w:pPr>
        <w:spacing w:before="120" w:after="120" w:line="240" w:lineRule="auto"/>
        <w:ind w:left="850"/>
        <w:jc w:val="both"/>
        <w:rPr>
          <w:rFonts w:ascii="Times New Roman" w:hAnsi="Times New Roman"/>
          <w:b/>
          <w:noProof/>
          <w:sz w:val="24"/>
          <w:u w:val="single"/>
        </w:rPr>
        <w:sectPr w:rsidR="00D4086A">
          <w:headerReference w:type="even" r:id="rId126"/>
          <w:headerReference w:type="default" r:id="rId127"/>
          <w:footerReference w:type="even" r:id="rId128"/>
          <w:footerReference w:type="default" r:id="rId129"/>
          <w:headerReference w:type="first" r:id="rId130"/>
          <w:footerReference w:type="first" r:id="rId131"/>
          <w:pgSz w:w="11907" w:h="16839"/>
          <w:pgMar w:top="1134" w:right="1418" w:bottom="1134" w:left="568" w:header="709" w:footer="709" w:gutter="0"/>
          <w:cols w:space="720"/>
          <w:docGrid w:linePitch="360"/>
        </w:sectPr>
      </w:pPr>
    </w:p>
    <w:p w:rsidR="00D4086A" w:rsidRDefault="00D5307E">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 xml:space="preserve">Ключови етапи, цели, показатели и график за мониторинг и </w:t>
      </w:r>
      <w:r>
        <w:rPr>
          <w:rFonts w:ascii="Times New Roman" w:hAnsi="Times New Roman"/>
          <w:b/>
          <w:noProof/>
          <w:sz w:val="24"/>
          <w:u w:val="single"/>
        </w:rPr>
        <w:t>изпълнение на безвъзмездната финансова подкрепа</w:t>
      </w:r>
    </w:p>
    <w:tbl>
      <w:tblPr>
        <w:tblW w:w="16018" w:type="dxa"/>
        <w:tblInd w:w="-601" w:type="dxa"/>
        <w:tblLayout w:type="fixed"/>
        <w:tblLook w:val="04A0" w:firstRow="1" w:lastRow="0" w:firstColumn="1" w:lastColumn="0" w:noHBand="0" w:noVBand="1"/>
      </w:tblPr>
      <w:tblGrid>
        <w:gridCol w:w="709"/>
        <w:gridCol w:w="1674"/>
        <w:gridCol w:w="1161"/>
        <w:gridCol w:w="1390"/>
        <w:gridCol w:w="1729"/>
        <w:gridCol w:w="967"/>
        <w:gridCol w:w="1017"/>
        <w:gridCol w:w="851"/>
        <w:gridCol w:w="1134"/>
        <w:gridCol w:w="992"/>
        <w:gridCol w:w="4394"/>
      </w:tblGrid>
      <w:tr w:rsidR="00D4086A">
        <w:trPr>
          <w:trHeight w:val="742"/>
        </w:trPr>
        <w:tc>
          <w:tcPr>
            <w:tcW w:w="709" w:type="dxa"/>
            <w:vMerge w:val="restart"/>
            <w:tcBorders>
              <w:top w:val="single" w:sz="4" w:space="0" w:color="auto"/>
              <w:left w:val="single" w:sz="4" w:space="0" w:color="auto"/>
              <w:right w:val="single" w:sz="4" w:space="0" w:color="auto"/>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w:t>
            </w:r>
          </w:p>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674" w:type="dxa"/>
            <w:vMerge w:val="restart"/>
            <w:tcBorders>
              <w:top w:val="single" w:sz="4" w:space="0" w:color="auto"/>
              <w:left w:val="nil"/>
              <w:right w:val="single" w:sz="4" w:space="0" w:color="auto"/>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Свързана мярка (реформа или инвестиция)</w:t>
            </w:r>
          </w:p>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161" w:type="dxa"/>
            <w:vMerge w:val="restart"/>
            <w:tcBorders>
              <w:top w:val="single" w:sz="4" w:space="0" w:color="auto"/>
              <w:left w:val="nil"/>
              <w:right w:val="single" w:sz="4" w:space="0" w:color="auto"/>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Ключов етап / Цел</w:t>
            </w:r>
          </w:p>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390" w:type="dxa"/>
            <w:vMerge w:val="restart"/>
            <w:tcBorders>
              <w:top w:val="single" w:sz="4" w:space="0" w:color="auto"/>
              <w:left w:val="nil"/>
              <w:right w:val="single" w:sz="4" w:space="0" w:color="auto"/>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Наименование</w:t>
            </w:r>
          </w:p>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729" w:type="dxa"/>
            <w:vMerge w:val="restart"/>
            <w:tcBorders>
              <w:top w:val="single" w:sz="4" w:space="0" w:color="auto"/>
              <w:left w:val="nil"/>
              <w:right w:val="single" w:sz="4" w:space="0" w:color="auto"/>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Качествени показатели (за ключовите етапи)</w:t>
            </w:r>
          </w:p>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2835" w:type="dxa"/>
            <w:gridSpan w:val="3"/>
            <w:tcBorders>
              <w:top w:val="single" w:sz="4" w:space="0" w:color="auto"/>
              <w:left w:val="nil"/>
              <w:bottom w:val="single" w:sz="4" w:space="0" w:color="auto"/>
              <w:right w:val="single" w:sz="4" w:space="0" w:color="000000"/>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Качествени показатели (за целите)</w:t>
            </w:r>
          </w:p>
        </w:tc>
        <w:tc>
          <w:tcPr>
            <w:tcW w:w="2126" w:type="dxa"/>
            <w:gridSpan w:val="2"/>
            <w:tcBorders>
              <w:top w:val="single" w:sz="4" w:space="0" w:color="auto"/>
              <w:left w:val="nil"/>
              <w:bottom w:val="single" w:sz="4" w:space="0" w:color="auto"/>
              <w:right w:val="single" w:sz="4" w:space="0" w:color="000000"/>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 xml:space="preserve">Ориентировъчен график за приключване </w:t>
            </w:r>
          </w:p>
        </w:tc>
        <w:tc>
          <w:tcPr>
            <w:tcW w:w="4394" w:type="dxa"/>
            <w:vMerge w:val="restart"/>
            <w:tcBorders>
              <w:top w:val="single" w:sz="4" w:space="0" w:color="auto"/>
              <w:left w:val="nil"/>
              <w:right w:val="single" w:sz="4" w:space="0" w:color="auto"/>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Описание и</w:t>
            </w:r>
            <w:r>
              <w:rPr>
                <w:rFonts w:ascii="Times New Roman" w:hAnsi="Times New Roman"/>
                <w:b/>
                <w:noProof/>
                <w:sz w:val="20"/>
                <w:szCs w:val="20"/>
              </w:rPr>
              <w:t xml:space="preserve"> ясно определяне на всеки ключов етап и цел</w:t>
            </w:r>
          </w:p>
          <w:p w:rsidR="00D4086A" w:rsidRDefault="00D5307E">
            <w:pPr>
              <w:spacing w:after="0"/>
              <w:rPr>
                <w:rFonts w:ascii="Times New Roman" w:eastAsia="Times New Roman" w:hAnsi="Times New Roman"/>
                <w:b/>
                <w:noProof/>
                <w:sz w:val="20"/>
                <w:szCs w:val="20"/>
              </w:rPr>
            </w:pPr>
            <w:r>
              <w:rPr>
                <w:rFonts w:ascii="Times New Roman" w:hAnsi="Times New Roman"/>
                <w:noProof/>
                <w:sz w:val="20"/>
                <w:szCs w:val="20"/>
              </w:rPr>
              <w:t> </w:t>
            </w:r>
          </w:p>
        </w:tc>
      </w:tr>
      <w:tr w:rsidR="00D4086A">
        <w:trPr>
          <w:trHeight w:val="541"/>
        </w:trPr>
        <w:tc>
          <w:tcPr>
            <w:tcW w:w="709" w:type="dxa"/>
            <w:vMerge/>
            <w:tcBorders>
              <w:left w:val="single" w:sz="4" w:space="0" w:color="auto"/>
              <w:bottom w:val="single" w:sz="4" w:space="0" w:color="auto"/>
              <w:right w:val="single" w:sz="4" w:space="0" w:color="auto"/>
            </w:tcBorders>
            <w:shd w:val="clear" w:color="000000" w:fill="BDD7EE"/>
            <w:vAlign w:val="center"/>
            <w:hideMark/>
          </w:tcPr>
          <w:p w:rsidR="00D4086A" w:rsidRDefault="00D4086A">
            <w:pPr>
              <w:spacing w:after="0"/>
              <w:jc w:val="center"/>
              <w:rPr>
                <w:rFonts w:ascii="Times New Roman" w:eastAsia="Times New Roman" w:hAnsi="Times New Roman"/>
                <w:b/>
                <w:noProof/>
                <w:sz w:val="20"/>
                <w:szCs w:val="20"/>
              </w:rPr>
            </w:pPr>
          </w:p>
        </w:tc>
        <w:tc>
          <w:tcPr>
            <w:tcW w:w="1674" w:type="dxa"/>
            <w:vMerge/>
            <w:tcBorders>
              <w:left w:val="nil"/>
              <w:bottom w:val="single" w:sz="4" w:space="0" w:color="auto"/>
              <w:right w:val="single" w:sz="4" w:space="0" w:color="auto"/>
            </w:tcBorders>
            <w:shd w:val="clear" w:color="000000" w:fill="BDD7EE"/>
            <w:vAlign w:val="center"/>
            <w:hideMark/>
          </w:tcPr>
          <w:p w:rsidR="00D4086A" w:rsidRDefault="00D4086A">
            <w:pPr>
              <w:spacing w:after="0"/>
              <w:jc w:val="center"/>
              <w:rPr>
                <w:rFonts w:ascii="Times New Roman" w:eastAsia="Times New Roman" w:hAnsi="Times New Roman"/>
                <w:b/>
                <w:noProof/>
                <w:sz w:val="20"/>
                <w:szCs w:val="20"/>
              </w:rPr>
            </w:pPr>
          </w:p>
        </w:tc>
        <w:tc>
          <w:tcPr>
            <w:tcW w:w="1161" w:type="dxa"/>
            <w:vMerge/>
            <w:tcBorders>
              <w:left w:val="nil"/>
              <w:bottom w:val="single" w:sz="4" w:space="0" w:color="auto"/>
              <w:right w:val="single" w:sz="4" w:space="0" w:color="auto"/>
            </w:tcBorders>
            <w:shd w:val="clear" w:color="000000" w:fill="BDD7EE"/>
            <w:vAlign w:val="center"/>
            <w:hideMark/>
          </w:tcPr>
          <w:p w:rsidR="00D4086A" w:rsidRDefault="00D4086A">
            <w:pPr>
              <w:spacing w:after="0"/>
              <w:jc w:val="center"/>
              <w:rPr>
                <w:rFonts w:ascii="Times New Roman" w:eastAsia="Times New Roman" w:hAnsi="Times New Roman"/>
                <w:b/>
                <w:noProof/>
                <w:sz w:val="20"/>
                <w:szCs w:val="20"/>
              </w:rPr>
            </w:pPr>
          </w:p>
        </w:tc>
        <w:tc>
          <w:tcPr>
            <w:tcW w:w="1390" w:type="dxa"/>
            <w:vMerge/>
            <w:tcBorders>
              <w:left w:val="nil"/>
              <w:bottom w:val="single" w:sz="4" w:space="0" w:color="auto"/>
              <w:right w:val="single" w:sz="4" w:space="0" w:color="auto"/>
            </w:tcBorders>
            <w:shd w:val="clear" w:color="000000" w:fill="BDD7EE"/>
            <w:vAlign w:val="center"/>
            <w:hideMark/>
          </w:tcPr>
          <w:p w:rsidR="00D4086A" w:rsidRDefault="00D4086A">
            <w:pPr>
              <w:spacing w:after="0"/>
              <w:jc w:val="center"/>
              <w:rPr>
                <w:rFonts w:ascii="Times New Roman" w:eastAsia="Times New Roman" w:hAnsi="Times New Roman"/>
                <w:b/>
                <w:noProof/>
                <w:sz w:val="20"/>
                <w:szCs w:val="20"/>
              </w:rPr>
            </w:pPr>
          </w:p>
        </w:tc>
        <w:tc>
          <w:tcPr>
            <w:tcW w:w="1729" w:type="dxa"/>
            <w:vMerge/>
            <w:tcBorders>
              <w:left w:val="nil"/>
              <w:bottom w:val="single" w:sz="4" w:space="0" w:color="auto"/>
              <w:right w:val="single" w:sz="4" w:space="0" w:color="auto"/>
            </w:tcBorders>
            <w:shd w:val="clear" w:color="000000" w:fill="BDD7EE"/>
            <w:vAlign w:val="center"/>
            <w:hideMark/>
          </w:tcPr>
          <w:p w:rsidR="00D4086A" w:rsidRDefault="00D4086A">
            <w:pPr>
              <w:spacing w:after="0"/>
              <w:jc w:val="center"/>
              <w:rPr>
                <w:rFonts w:ascii="Times New Roman" w:eastAsia="Times New Roman" w:hAnsi="Times New Roman"/>
                <w:b/>
                <w:noProof/>
                <w:sz w:val="20"/>
                <w:szCs w:val="20"/>
              </w:rPr>
            </w:pPr>
          </w:p>
        </w:tc>
        <w:tc>
          <w:tcPr>
            <w:tcW w:w="967" w:type="dxa"/>
            <w:tcBorders>
              <w:top w:val="nil"/>
              <w:left w:val="nil"/>
              <w:bottom w:val="single" w:sz="4" w:space="0" w:color="auto"/>
              <w:right w:val="single" w:sz="4" w:space="0" w:color="auto"/>
            </w:tcBorders>
            <w:shd w:val="clear" w:color="000000"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Мерна единица</w:t>
            </w:r>
          </w:p>
        </w:tc>
        <w:tc>
          <w:tcPr>
            <w:tcW w:w="1017" w:type="dxa"/>
            <w:tcBorders>
              <w:top w:val="nil"/>
              <w:left w:val="nil"/>
              <w:bottom w:val="single" w:sz="4" w:space="0" w:color="auto"/>
              <w:right w:val="single" w:sz="4" w:space="0" w:color="auto"/>
            </w:tcBorders>
            <w:shd w:val="clear" w:color="000000"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Базова линия</w:t>
            </w:r>
          </w:p>
        </w:tc>
        <w:tc>
          <w:tcPr>
            <w:tcW w:w="851" w:type="dxa"/>
            <w:tcBorders>
              <w:top w:val="nil"/>
              <w:left w:val="nil"/>
              <w:bottom w:val="single" w:sz="4" w:space="0" w:color="auto"/>
              <w:right w:val="single" w:sz="4" w:space="0" w:color="auto"/>
            </w:tcBorders>
            <w:shd w:val="clear" w:color="000000"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Цел</w:t>
            </w:r>
          </w:p>
        </w:tc>
        <w:tc>
          <w:tcPr>
            <w:tcW w:w="1134" w:type="dxa"/>
            <w:tcBorders>
              <w:top w:val="nil"/>
              <w:left w:val="nil"/>
              <w:bottom w:val="single" w:sz="4" w:space="0" w:color="auto"/>
              <w:right w:val="single" w:sz="4" w:space="0" w:color="auto"/>
            </w:tcBorders>
            <w:shd w:val="clear" w:color="000000"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Тримесечие</w:t>
            </w:r>
          </w:p>
        </w:tc>
        <w:tc>
          <w:tcPr>
            <w:tcW w:w="992" w:type="dxa"/>
            <w:tcBorders>
              <w:top w:val="nil"/>
              <w:left w:val="nil"/>
              <w:bottom w:val="single" w:sz="4" w:space="0" w:color="auto"/>
              <w:right w:val="single" w:sz="4" w:space="0" w:color="auto"/>
            </w:tcBorders>
            <w:shd w:val="clear" w:color="000000"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Година</w:t>
            </w:r>
          </w:p>
        </w:tc>
        <w:tc>
          <w:tcPr>
            <w:tcW w:w="4394" w:type="dxa"/>
            <w:vMerge/>
            <w:tcBorders>
              <w:left w:val="nil"/>
              <w:bottom w:val="single" w:sz="4" w:space="0" w:color="auto"/>
              <w:right w:val="single" w:sz="4" w:space="0" w:color="auto"/>
            </w:tcBorders>
            <w:shd w:val="clear" w:color="000000" w:fill="BDD7EE"/>
            <w:vAlign w:val="center"/>
            <w:hideMark/>
          </w:tcPr>
          <w:p w:rsidR="00D4086A" w:rsidRDefault="00D4086A">
            <w:pPr>
              <w:spacing w:after="0"/>
              <w:rPr>
                <w:rFonts w:ascii="Times New Roman" w:eastAsia="Times New Roman" w:hAnsi="Times New Roman"/>
                <w:noProof/>
                <w:sz w:val="20"/>
                <w:szCs w:val="20"/>
              </w:rPr>
            </w:pPr>
          </w:p>
        </w:tc>
      </w:tr>
      <w:tr w:rsidR="00D4086A">
        <w:trPr>
          <w:trHeight w:val="882"/>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1</w:t>
            </w:r>
          </w:p>
        </w:tc>
        <w:tc>
          <w:tcPr>
            <w:tcW w:w="167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 – Привличане и задържане на таланти – реформа 1: Реформа на законодателството в областта на пребиваването и труда</w:t>
            </w:r>
          </w:p>
        </w:tc>
        <w:tc>
          <w:tcPr>
            <w:tcW w:w="116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390"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Схема за определяне на</w:t>
            </w:r>
            <w:r>
              <w:rPr>
                <w:rFonts w:ascii="Times New Roman" w:hAnsi="Times New Roman"/>
                <w:noProof/>
                <w:color w:val="006100"/>
                <w:sz w:val="20"/>
                <w:szCs w:val="20"/>
              </w:rPr>
              <w:t xml:space="preserve"> нова категория кандидати за национална виза (Г).</w:t>
            </w:r>
          </w:p>
        </w:tc>
        <w:tc>
          <w:tcPr>
            <w:tcW w:w="1729"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Приемане на схемата чрез резолюция на правителството и влизане в сила.</w:t>
            </w:r>
          </w:p>
        </w:tc>
        <w:tc>
          <w:tcPr>
            <w:tcW w:w="96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1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134"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Т1</w:t>
            </w:r>
          </w:p>
        </w:tc>
        <w:tc>
          <w:tcPr>
            <w:tcW w:w="992"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439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Приемане на схема за определяне на категорията кандидати за национална виза (D) в интерес на Словашката република. Въведе</w:t>
            </w:r>
            <w:r>
              <w:rPr>
                <w:rFonts w:ascii="Times New Roman" w:hAnsi="Times New Roman"/>
                <w:noProof/>
                <w:color w:val="006100"/>
                <w:sz w:val="20"/>
                <w:szCs w:val="20"/>
              </w:rPr>
              <w:t>те нова категория визи, която обхваща висококвалифицирани граждани на трети държави, търсещи работа, освободени от изискването за доказване на гарантирана работа преди влизане в Словакия. Лицата могат незабавно да започнат работа по национална виза (D). Мя</w:t>
            </w:r>
            <w:r>
              <w:rPr>
                <w:rFonts w:ascii="Times New Roman" w:hAnsi="Times New Roman"/>
                <w:noProof/>
                <w:color w:val="006100"/>
                <w:sz w:val="20"/>
                <w:szCs w:val="20"/>
              </w:rPr>
              <w:t>рката се отнася до категории, като например висшисти от водещи в световен мащаб университети (независимо от областта); завършили висше образование във водещи световни университети и научноизследователски институции (независимо от областта); други избрани г</w:t>
            </w:r>
            <w:r>
              <w:rPr>
                <w:rFonts w:ascii="Times New Roman" w:hAnsi="Times New Roman"/>
                <w:noProof/>
                <w:color w:val="006100"/>
                <w:sz w:val="20"/>
                <w:szCs w:val="20"/>
              </w:rPr>
              <w:t>рупи според икономическите интереси на Словакия (напр. експерти в областта на информационните технологии, експерти в сектори с висока добавена стойност, лекари).</w:t>
            </w:r>
          </w:p>
        </w:tc>
      </w:tr>
      <w:tr w:rsidR="00D4086A">
        <w:trPr>
          <w:trHeight w:val="1062"/>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167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 – Привличане и задържане на таланти – реформа 1: Реформа на законодателството в областта</w:t>
            </w:r>
            <w:r>
              <w:rPr>
                <w:rFonts w:ascii="Times New Roman" w:hAnsi="Times New Roman"/>
                <w:noProof/>
                <w:color w:val="006100"/>
                <w:sz w:val="20"/>
                <w:szCs w:val="20"/>
              </w:rPr>
              <w:t xml:space="preserve"> на пребиваването и труда</w:t>
            </w:r>
          </w:p>
        </w:tc>
        <w:tc>
          <w:tcPr>
            <w:tcW w:w="116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390"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Улесняване на завръщането в страната и увеличаване на привлекателността на страната за чужденците със семейни връзки</w:t>
            </w:r>
          </w:p>
        </w:tc>
        <w:tc>
          <w:tcPr>
            <w:tcW w:w="1729"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Приемане от Парламента и влизане в сила </w:t>
            </w:r>
          </w:p>
        </w:tc>
        <w:tc>
          <w:tcPr>
            <w:tcW w:w="96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1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134"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Т1</w:t>
            </w:r>
          </w:p>
        </w:tc>
        <w:tc>
          <w:tcPr>
            <w:tcW w:w="992"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4394" w:type="dxa"/>
            <w:tcBorders>
              <w:top w:val="nil"/>
              <w:left w:val="nil"/>
              <w:bottom w:val="single" w:sz="4" w:space="0" w:color="auto"/>
              <w:right w:val="single" w:sz="4" w:space="0" w:color="auto"/>
            </w:tcBorders>
            <w:shd w:val="clear" w:color="000000" w:fill="C6EFCE"/>
            <w:vAlign w:val="center"/>
            <w:hideMark/>
          </w:tcPr>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Изменение на Закон № 40/1993 относно словашко</w:t>
            </w:r>
            <w:r>
              <w:rPr>
                <w:rFonts w:ascii="Times New Roman" w:hAnsi="Times New Roman"/>
                <w:noProof/>
                <w:color w:val="006100"/>
                <w:sz w:val="20"/>
                <w:szCs w:val="20"/>
              </w:rPr>
              <w:t>то гражданство, което ще улесни завръщането в страната и ще увеличи привлекателността на страната за чужденците, които имат семейни връзки със Словакия. Изменението въвежда опростен режим за получаване на гражданство чрез премахване на изискването за миним</w:t>
            </w:r>
            <w:r>
              <w:rPr>
                <w:rFonts w:ascii="Times New Roman" w:hAnsi="Times New Roman"/>
                <w:noProof/>
                <w:color w:val="006100"/>
                <w:sz w:val="20"/>
                <w:szCs w:val="20"/>
              </w:rPr>
              <w:t>ален период на пребиваване в Словакия.</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w:t>
            </w:r>
          </w:p>
        </w:tc>
      </w:tr>
      <w:tr w:rsidR="00D4086A">
        <w:trPr>
          <w:trHeight w:val="77"/>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67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 – Привличане и задържане на таланти – реформа 2: Опростяване на режима за признаване на квалификации и професионални квалификации за упражняване на регулирани професии</w:t>
            </w:r>
          </w:p>
        </w:tc>
        <w:tc>
          <w:tcPr>
            <w:tcW w:w="116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390"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Опростяване на признаването на образователните и професионалните квалификации </w:t>
            </w:r>
          </w:p>
        </w:tc>
        <w:tc>
          <w:tcPr>
            <w:tcW w:w="1729"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Приемане от Парламента и влизане в сила </w:t>
            </w:r>
          </w:p>
        </w:tc>
        <w:tc>
          <w:tcPr>
            <w:tcW w:w="96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1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134"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Т1</w:t>
            </w:r>
          </w:p>
        </w:tc>
        <w:tc>
          <w:tcPr>
            <w:tcW w:w="992"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439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Изменението на Закон № 422/2015 относно признаването на удостоверения за образование и признаването на професионални квали</w:t>
            </w:r>
            <w:r>
              <w:rPr>
                <w:rFonts w:ascii="Times New Roman" w:hAnsi="Times New Roman"/>
                <w:noProof/>
                <w:color w:val="006100"/>
                <w:sz w:val="20"/>
                <w:szCs w:val="20"/>
              </w:rPr>
              <w:t>фикации позволява:</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Улесняване на признаването на дипломи/документи за обучение за държави, с които Словакия има двустранни споразумения в областта на признаването на дипломи/документи за обучение, чрез намаляване на изискваните от кандидата документи (на</w:t>
            </w:r>
            <w:r>
              <w:rPr>
                <w:rFonts w:ascii="Times New Roman" w:hAnsi="Times New Roman"/>
                <w:noProof/>
                <w:color w:val="006100"/>
                <w:sz w:val="20"/>
                <w:szCs w:val="20"/>
              </w:rPr>
              <w:t>пр. университетски свидетелства за компетентност за предоставяне на съответното образование);</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Укрепване на компетенциите на Центъра за признаване на квалификациите (SUDV) за признаването на документи за валидиране на завършено висше образование и за държ</w:t>
            </w:r>
            <w:r>
              <w:rPr>
                <w:rFonts w:ascii="Times New Roman" w:hAnsi="Times New Roman"/>
                <w:noProof/>
                <w:color w:val="006100"/>
                <w:sz w:val="20"/>
                <w:szCs w:val="20"/>
              </w:rPr>
              <w:t>ави извън Европейското пространство за висше образование (ЕПВО) без двустранно споразумение, което значително ускорява и опростява процеса в сравнение с настоящата ситуация, при която единствените допустими институции са университетите, за да се улесни при</w:t>
            </w:r>
            <w:r>
              <w:rPr>
                <w:rFonts w:ascii="Times New Roman" w:hAnsi="Times New Roman"/>
                <w:noProof/>
                <w:color w:val="006100"/>
                <w:sz w:val="20"/>
                <w:szCs w:val="20"/>
              </w:rPr>
              <w:t>знаването на дипломи/документи за държави, с които Словакия има двустранни споразумения относно признаването на дипломи/документи за обучение.</w:t>
            </w:r>
          </w:p>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Изменението на Закон № 578/2004 за доставчиците на здравно обслужване, здравните специалисти и професионалните о</w:t>
            </w:r>
            <w:r>
              <w:rPr>
                <w:rFonts w:ascii="Times New Roman" w:hAnsi="Times New Roman"/>
                <w:noProof/>
                <w:color w:val="006100"/>
                <w:sz w:val="20"/>
                <w:szCs w:val="20"/>
              </w:rPr>
              <w:t>рганизации в сектора на здравеопазването позволява:</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съкращаване на срока за признаване на документи за допълнително обучение за висококвалифицирани здравни специалисти;</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Удължаване на срока на временния стаж за лекари извън пандемията</w:t>
            </w:r>
          </w:p>
        </w:tc>
      </w:tr>
      <w:tr w:rsidR="00D4086A">
        <w:trPr>
          <w:trHeight w:val="1500"/>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4</w:t>
            </w:r>
          </w:p>
        </w:tc>
        <w:tc>
          <w:tcPr>
            <w:tcW w:w="167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 – Привличане</w:t>
            </w:r>
            <w:r>
              <w:rPr>
                <w:rFonts w:ascii="Times New Roman" w:hAnsi="Times New Roman"/>
                <w:noProof/>
                <w:color w:val="006100"/>
                <w:sz w:val="20"/>
                <w:szCs w:val="20"/>
              </w:rPr>
              <w:t xml:space="preserve"> и задържане на таланти – Инвестиция 1: Инструменти за подкрепа и помощ за завърналите се лица, висококвалифицираните работници от трети държави и членовете на техните семейства и чуждестранните студенти, които учат в Словакия</w:t>
            </w:r>
          </w:p>
        </w:tc>
        <w:tc>
          <w:tcPr>
            <w:tcW w:w="116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390"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Брой центрове за </w:t>
            </w:r>
            <w:r>
              <w:rPr>
                <w:rFonts w:ascii="Times New Roman" w:hAnsi="Times New Roman"/>
                <w:noProof/>
                <w:color w:val="006100"/>
                <w:sz w:val="20"/>
                <w:szCs w:val="20"/>
              </w:rPr>
              <w:t>обслужване на едно гише за интеграция в Словакия</w:t>
            </w:r>
          </w:p>
        </w:tc>
        <w:tc>
          <w:tcPr>
            <w:tcW w:w="1729" w:type="dxa"/>
            <w:tcBorders>
              <w:top w:val="nil"/>
              <w:left w:val="nil"/>
              <w:bottom w:val="single" w:sz="4" w:space="0" w:color="auto"/>
              <w:right w:val="single" w:sz="4" w:space="0" w:color="auto"/>
            </w:tcBorders>
            <w:shd w:val="clear" w:color="000000" w:fill="C6EFCE"/>
            <w:vAlign w:val="center"/>
            <w:hideMark/>
          </w:tcPr>
          <w:p w:rsidR="00D4086A" w:rsidRDefault="00D4086A">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Брой</w:t>
            </w:r>
          </w:p>
        </w:tc>
        <w:tc>
          <w:tcPr>
            <w:tcW w:w="101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134"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992"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2023</w:t>
            </w:r>
          </w:p>
        </w:tc>
        <w:tc>
          <w:tcPr>
            <w:tcW w:w="439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Напълно функциониращи центрове (обслужване на едно гише), предоставящи всеобхватни консултации и услуги, улесняващи установяването в Словакия </w:t>
            </w:r>
          </w:p>
          <w:p w:rsidR="00D4086A" w:rsidRDefault="00D4086A">
            <w:pPr>
              <w:spacing w:after="0"/>
              <w:rPr>
                <w:rFonts w:ascii="Times New Roman" w:eastAsia="Times New Roman" w:hAnsi="Times New Roman"/>
                <w:noProof/>
                <w:color w:val="006100"/>
                <w:sz w:val="20"/>
                <w:szCs w:val="20"/>
              </w:rPr>
            </w:pPr>
          </w:p>
          <w:p w:rsidR="00D4086A" w:rsidRDefault="00D4086A">
            <w:pPr>
              <w:spacing w:after="0"/>
              <w:rPr>
                <w:rFonts w:ascii="Times New Roman" w:eastAsia="Times New Roman" w:hAnsi="Times New Roman"/>
                <w:noProof/>
                <w:color w:val="006100"/>
                <w:sz w:val="20"/>
                <w:szCs w:val="20"/>
              </w:rPr>
            </w:pPr>
          </w:p>
        </w:tc>
      </w:tr>
      <w:tr w:rsidR="00D4086A">
        <w:trPr>
          <w:trHeight w:val="77"/>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5</w:t>
            </w:r>
          </w:p>
        </w:tc>
        <w:tc>
          <w:tcPr>
            <w:tcW w:w="167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 – Привличане и задържане на таланти –</w:t>
            </w:r>
            <w:r>
              <w:rPr>
                <w:rFonts w:ascii="Times New Roman" w:hAnsi="Times New Roman"/>
                <w:noProof/>
                <w:color w:val="006100"/>
                <w:sz w:val="20"/>
                <w:szCs w:val="20"/>
              </w:rPr>
              <w:t xml:space="preserve"> Инвестиция 1: Инструменти за подкрепа и помощ за завърналите се лица, висококвалифицираните работници от трети държави и членовете на техните семейства и чуждестранните студенти, които учат в Словакия</w:t>
            </w:r>
          </w:p>
        </w:tc>
        <w:tc>
          <w:tcPr>
            <w:tcW w:w="116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390"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 чужденци, които използват услугите на МОМ Инф</w:t>
            </w:r>
            <w:r>
              <w:rPr>
                <w:rFonts w:ascii="Times New Roman" w:hAnsi="Times New Roman"/>
                <w:noProof/>
                <w:color w:val="006100"/>
                <w:sz w:val="20"/>
                <w:szCs w:val="20"/>
              </w:rPr>
              <w:t>ормационен център по миграция</w:t>
            </w:r>
          </w:p>
        </w:tc>
        <w:tc>
          <w:tcPr>
            <w:tcW w:w="1729" w:type="dxa"/>
            <w:tcBorders>
              <w:top w:val="nil"/>
              <w:left w:val="nil"/>
              <w:bottom w:val="single" w:sz="4" w:space="0" w:color="auto"/>
              <w:right w:val="single" w:sz="4" w:space="0" w:color="auto"/>
            </w:tcBorders>
            <w:shd w:val="clear" w:color="000000" w:fill="C6EFCE"/>
            <w:vAlign w:val="center"/>
            <w:hideMark/>
          </w:tcPr>
          <w:p w:rsidR="00D4086A" w:rsidRDefault="00D4086A">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1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7000</w:t>
            </w:r>
          </w:p>
        </w:tc>
        <w:tc>
          <w:tcPr>
            <w:tcW w:w="1134"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Т1</w:t>
            </w:r>
          </w:p>
        </w:tc>
        <w:tc>
          <w:tcPr>
            <w:tcW w:w="992"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439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През периода 2022—2024 г. от общата цел за 7500 бенефициери най-малко 7000 бенефициери получават услуги от Информационния център на МОМ в областта на миграцията за тяхната интеграция на пазара на труда и о</w:t>
            </w:r>
            <w:r>
              <w:rPr>
                <w:rFonts w:ascii="Times New Roman" w:hAnsi="Times New Roman"/>
                <w:noProof/>
                <w:color w:val="006100"/>
                <w:sz w:val="20"/>
                <w:szCs w:val="20"/>
              </w:rPr>
              <w:t>бществото (консултации, езикови курсове, насърчаване на социално-културната ориентация). Това включва чуждестранни студенти, висококвалифицирани работници, членове на семейството и чужденци, принадлежащи към избраните групи, определени в резолюцията относн</w:t>
            </w:r>
            <w:r>
              <w:rPr>
                <w:rFonts w:ascii="Times New Roman" w:hAnsi="Times New Roman"/>
                <w:noProof/>
                <w:color w:val="006100"/>
                <w:sz w:val="20"/>
                <w:szCs w:val="20"/>
              </w:rPr>
              <w:t xml:space="preserve">о реформа 1, като се вземат предвид икономическите интереси на Словашката република. </w:t>
            </w:r>
          </w:p>
          <w:p w:rsidR="00D4086A" w:rsidRDefault="00D4086A">
            <w:pPr>
              <w:spacing w:after="0"/>
              <w:rPr>
                <w:rFonts w:ascii="Times New Roman" w:eastAsia="Times New Roman" w:hAnsi="Times New Roman"/>
                <w:noProof/>
                <w:color w:val="006100"/>
                <w:sz w:val="20"/>
                <w:szCs w:val="20"/>
              </w:rPr>
            </w:pPr>
          </w:p>
        </w:tc>
      </w:tr>
      <w:tr w:rsidR="00D4086A">
        <w:trPr>
          <w:trHeight w:val="409"/>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6</w:t>
            </w:r>
          </w:p>
        </w:tc>
        <w:tc>
          <w:tcPr>
            <w:tcW w:w="167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 – Привличане и задържане на таланти – Инвестиция 2: Укрепване на отношенията с диаспората в подкрепа на гражданските инициативи</w:t>
            </w:r>
          </w:p>
        </w:tc>
        <w:tc>
          <w:tcPr>
            <w:tcW w:w="116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390"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 на подкрепените събития за</w:t>
            </w:r>
            <w:r>
              <w:rPr>
                <w:rFonts w:ascii="Times New Roman" w:hAnsi="Times New Roman"/>
                <w:noProof/>
                <w:color w:val="006100"/>
                <w:sz w:val="20"/>
                <w:szCs w:val="20"/>
              </w:rPr>
              <w:t xml:space="preserve"> укрепване на отношенията с диаспората</w:t>
            </w:r>
          </w:p>
        </w:tc>
        <w:tc>
          <w:tcPr>
            <w:tcW w:w="1729" w:type="dxa"/>
            <w:tcBorders>
              <w:top w:val="nil"/>
              <w:left w:val="nil"/>
              <w:bottom w:val="single" w:sz="4" w:space="0" w:color="auto"/>
              <w:right w:val="single" w:sz="4" w:space="0" w:color="auto"/>
            </w:tcBorders>
            <w:shd w:val="clear" w:color="000000" w:fill="C6EFCE"/>
            <w:vAlign w:val="center"/>
            <w:hideMark/>
          </w:tcPr>
          <w:p w:rsidR="00D4086A" w:rsidRDefault="00D4086A">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1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200</w:t>
            </w:r>
          </w:p>
        </w:tc>
        <w:tc>
          <w:tcPr>
            <w:tcW w:w="1134"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Т1</w:t>
            </w:r>
          </w:p>
        </w:tc>
        <w:tc>
          <w:tcPr>
            <w:tcW w:w="992"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439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Програмата ще подкрепя 200 социални събития с цел укрепване на отношенията със словаците в чужбина. Подкрепяните събития имат за цел да увеличат въздействието на други реформи и междусекторни инвес</w:t>
            </w:r>
            <w:r>
              <w:rPr>
                <w:rFonts w:ascii="Times New Roman" w:hAnsi="Times New Roman"/>
                <w:noProof/>
                <w:color w:val="006100"/>
                <w:sz w:val="20"/>
                <w:szCs w:val="20"/>
              </w:rPr>
              <w:t>тиции, като например:</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Насърчаване на ефекта от изменението на Закона за пребиваването на чужденци, което ще улесни връщането и ще увеличи привлекателността на страната за чужденците, които имат семейни връзки със Словакия.</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Подкрепа за инвестиции 4, т.е</w:t>
            </w:r>
            <w:r>
              <w:rPr>
                <w:rFonts w:ascii="Times New Roman" w:hAnsi="Times New Roman"/>
                <w:noProof/>
                <w:color w:val="006100"/>
                <w:sz w:val="20"/>
                <w:szCs w:val="20"/>
              </w:rPr>
              <w:t>. двупосочна студентска мобилност и интернационализация на академичните среди</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Подкрепа за въздействието на инвестициите в други компоненти, напр. научноизследователска и развойна дейност; инвестиции в областта на отбраната; I, чрез насърчаване на сътрудн</w:t>
            </w:r>
            <w:r>
              <w:rPr>
                <w:rFonts w:ascii="Times New Roman" w:hAnsi="Times New Roman"/>
                <w:noProof/>
                <w:color w:val="006100"/>
                <w:sz w:val="20"/>
                <w:szCs w:val="20"/>
              </w:rPr>
              <w:t>ичеството между националните европейски и други научноизследователски институции, в които словашката диаспора е активна, както и чрез повишаване на осведомеността относно възможностите за професионално развитие в Словакия.</w:t>
            </w:r>
          </w:p>
        </w:tc>
      </w:tr>
      <w:tr w:rsidR="00D4086A">
        <w:trPr>
          <w:trHeight w:val="570"/>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7</w:t>
            </w:r>
          </w:p>
        </w:tc>
        <w:tc>
          <w:tcPr>
            <w:tcW w:w="167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 – Привличане и задържане на</w:t>
            </w:r>
            <w:r>
              <w:rPr>
                <w:rFonts w:ascii="Times New Roman" w:hAnsi="Times New Roman"/>
                <w:noProof/>
                <w:color w:val="006100"/>
                <w:sz w:val="20"/>
                <w:szCs w:val="20"/>
              </w:rPr>
              <w:t xml:space="preserve"> таланти – Инвестиция 3: Стипендии за местни и чуждестранни талантливи студенти</w:t>
            </w:r>
          </w:p>
        </w:tc>
        <w:tc>
          <w:tcPr>
            <w:tcW w:w="116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390"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 на отпуснатите стипендии за талантливи студенти.</w:t>
            </w:r>
          </w:p>
        </w:tc>
        <w:tc>
          <w:tcPr>
            <w:tcW w:w="1729" w:type="dxa"/>
            <w:tcBorders>
              <w:top w:val="nil"/>
              <w:left w:val="nil"/>
              <w:bottom w:val="single" w:sz="4" w:space="0" w:color="auto"/>
              <w:right w:val="single" w:sz="4" w:space="0" w:color="auto"/>
            </w:tcBorders>
            <w:shd w:val="clear" w:color="000000" w:fill="C6EFCE"/>
            <w:vAlign w:val="center"/>
            <w:hideMark/>
          </w:tcPr>
          <w:p w:rsidR="00D4086A" w:rsidRDefault="00D4086A">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1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4500</w:t>
            </w:r>
          </w:p>
        </w:tc>
        <w:tc>
          <w:tcPr>
            <w:tcW w:w="1134"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992"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439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От общата цел за предоставяне на 4800 мотивационни стипендии, предоставяне на най-малко 4500 мотивационни стипендии за най-талантливите местни студенти, най-добрите таланти от чужбина и талантливи студенти в неравностойно социално положение. </w:t>
            </w:r>
          </w:p>
          <w:p w:rsidR="00D4086A" w:rsidRDefault="00D4086A">
            <w:pPr>
              <w:spacing w:after="0"/>
              <w:rPr>
                <w:rFonts w:ascii="Times New Roman" w:eastAsia="Times New Roman" w:hAnsi="Times New Roman"/>
                <w:noProof/>
                <w:color w:val="006100"/>
                <w:sz w:val="20"/>
                <w:szCs w:val="20"/>
              </w:rPr>
            </w:pPr>
          </w:p>
        </w:tc>
      </w:tr>
      <w:tr w:rsidR="00D4086A">
        <w:trPr>
          <w:trHeight w:val="171"/>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8</w:t>
            </w:r>
          </w:p>
        </w:tc>
        <w:tc>
          <w:tcPr>
            <w:tcW w:w="167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10 – </w:t>
            </w:r>
            <w:r>
              <w:rPr>
                <w:rFonts w:ascii="Times New Roman" w:hAnsi="Times New Roman"/>
                <w:noProof/>
                <w:color w:val="006100"/>
                <w:sz w:val="20"/>
                <w:szCs w:val="20"/>
              </w:rPr>
              <w:t>Привличане и задържане на таланти – Инвестиция 4: Насърчаване на интернационализацията в академичната среда</w:t>
            </w:r>
          </w:p>
        </w:tc>
        <w:tc>
          <w:tcPr>
            <w:tcW w:w="116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390"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Стратегия за интернационализация на университетите</w:t>
            </w:r>
          </w:p>
        </w:tc>
        <w:tc>
          <w:tcPr>
            <w:tcW w:w="1729"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Приемане на стратегията от правителството</w:t>
            </w:r>
          </w:p>
        </w:tc>
        <w:tc>
          <w:tcPr>
            <w:tcW w:w="96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1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134"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992"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2021</w:t>
            </w:r>
          </w:p>
        </w:tc>
        <w:tc>
          <w:tcPr>
            <w:tcW w:w="439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Приемане на стратегия за инте</w:t>
            </w:r>
            <w:r>
              <w:rPr>
                <w:rFonts w:ascii="Times New Roman" w:hAnsi="Times New Roman"/>
                <w:noProof/>
                <w:color w:val="006100"/>
                <w:sz w:val="20"/>
                <w:szCs w:val="20"/>
              </w:rPr>
              <w:t>рнационализация на университетите, насочена към предлагане на мерки в подкрепа на подготовката на съвместни учебни програми, привличане на чуждестранни студенти и университетски преподаватели или осъществяване на системни институционални промени в словашки</w:t>
            </w:r>
            <w:r>
              <w:rPr>
                <w:rFonts w:ascii="Times New Roman" w:hAnsi="Times New Roman"/>
                <w:noProof/>
                <w:color w:val="006100"/>
                <w:sz w:val="20"/>
                <w:szCs w:val="20"/>
              </w:rPr>
              <w:t>те университети.</w:t>
            </w:r>
          </w:p>
        </w:tc>
      </w:tr>
      <w:tr w:rsidR="00D4086A">
        <w:trPr>
          <w:trHeight w:val="77"/>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9</w:t>
            </w:r>
          </w:p>
        </w:tc>
        <w:tc>
          <w:tcPr>
            <w:tcW w:w="167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 – Привличане и задържане на таланти – Инвестиция 4: Насърчаване на интернационализацията в академичната среда</w:t>
            </w:r>
          </w:p>
        </w:tc>
        <w:tc>
          <w:tcPr>
            <w:tcW w:w="116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390"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Брой проекти, подкрепени за насърчаване или развитие на интернационализацията на университетите и </w:t>
            </w:r>
            <w:r>
              <w:rPr>
                <w:rFonts w:ascii="Times New Roman" w:hAnsi="Times New Roman"/>
                <w:noProof/>
                <w:color w:val="006100"/>
                <w:sz w:val="20"/>
                <w:szCs w:val="20"/>
              </w:rPr>
              <w:t>научноизследователските институции</w:t>
            </w:r>
          </w:p>
        </w:tc>
        <w:tc>
          <w:tcPr>
            <w:tcW w:w="1729" w:type="dxa"/>
            <w:tcBorders>
              <w:top w:val="nil"/>
              <w:left w:val="nil"/>
              <w:bottom w:val="single" w:sz="4" w:space="0" w:color="auto"/>
              <w:right w:val="single" w:sz="4" w:space="0" w:color="auto"/>
            </w:tcBorders>
            <w:shd w:val="clear" w:color="000000" w:fill="C6EFCE"/>
            <w:vAlign w:val="center"/>
            <w:hideMark/>
          </w:tcPr>
          <w:p w:rsidR="00D4086A" w:rsidRDefault="00D4086A">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17"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28</w:t>
            </w:r>
          </w:p>
        </w:tc>
        <w:tc>
          <w:tcPr>
            <w:tcW w:w="1134"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992" w:type="dxa"/>
            <w:tcBorders>
              <w:top w:val="nil"/>
              <w:left w:val="nil"/>
              <w:bottom w:val="single" w:sz="4" w:space="0" w:color="auto"/>
              <w:right w:val="single" w:sz="4" w:space="0" w:color="auto"/>
            </w:tcBorders>
            <w:shd w:val="clear" w:color="000000"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4394" w:type="dxa"/>
            <w:tcBorders>
              <w:top w:val="nil"/>
              <w:left w:val="nil"/>
              <w:bottom w:val="single" w:sz="4" w:space="0" w:color="auto"/>
              <w:right w:val="single" w:sz="4" w:space="0" w:color="auto"/>
            </w:tcBorders>
            <w:shd w:val="clear" w:color="000000"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От общата цел на 31 проекта да подкрепят най-малко 28 проекта за насърчаване или развитие на интернационализацията на университетите и научноизследователските институти чрез:</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прилагане на институционалн</w:t>
            </w:r>
            <w:r>
              <w:rPr>
                <w:rFonts w:ascii="Times New Roman" w:hAnsi="Times New Roman"/>
                <w:noProof/>
                <w:color w:val="006100"/>
                <w:sz w:val="20"/>
                <w:szCs w:val="20"/>
              </w:rPr>
              <w:t xml:space="preserve">и стратегии за интернационализация на равнището на университетите (като например изготвяне на нови програми по чужди езици, подобряване на готовността на местните преподаватели/докторанти да работят в международна среда); </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увеличаване на процента на финанс</w:t>
            </w:r>
            <w:r>
              <w:rPr>
                <w:rFonts w:ascii="Times New Roman" w:hAnsi="Times New Roman"/>
                <w:noProof/>
                <w:color w:val="006100"/>
                <w:sz w:val="20"/>
                <w:szCs w:val="20"/>
              </w:rPr>
              <w:t>иране за стипендиантски програми;</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—подкрепа за участието на университетите в чуждестранни панаири и мероприятия за набиране на студенти;</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популяризиране на Словакия на международни събития. </w:t>
            </w:r>
          </w:p>
          <w:p w:rsidR="00D4086A" w:rsidRDefault="00D4086A">
            <w:pPr>
              <w:spacing w:after="0"/>
              <w:rPr>
                <w:rFonts w:ascii="Times New Roman" w:eastAsia="Times New Roman" w:hAnsi="Times New Roman"/>
                <w:noProof/>
                <w:color w:val="006100"/>
                <w:sz w:val="20"/>
                <w:szCs w:val="20"/>
              </w:rPr>
            </w:pPr>
          </w:p>
          <w:p w:rsidR="00D4086A" w:rsidRDefault="00D4086A">
            <w:pPr>
              <w:spacing w:after="0"/>
              <w:rPr>
                <w:rFonts w:ascii="Times New Roman" w:eastAsia="Times New Roman" w:hAnsi="Times New Roman"/>
                <w:noProof/>
                <w:color w:val="006100"/>
                <w:sz w:val="20"/>
                <w:szCs w:val="20"/>
              </w:rPr>
            </w:pPr>
          </w:p>
        </w:tc>
      </w:tr>
      <w:tr w:rsidR="00D4086A">
        <w:trPr>
          <w:trHeight w:val="77"/>
        </w:trPr>
        <w:tc>
          <w:tcPr>
            <w:tcW w:w="70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10</w:t>
            </w:r>
          </w:p>
        </w:tc>
        <w:tc>
          <w:tcPr>
            <w:tcW w:w="167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10 – Привличане и задържане на таланти – Инвестиция 4: </w:t>
            </w:r>
            <w:r>
              <w:rPr>
                <w:rFonts w:ascii="Times New Roman" w:hAnsi="Times New Roman"/>
                <w:noProof/>
                <w:color w:val="006100"/>
                <w:sz w:val="20"/>
                <w:szCs w:val="20"/>
              </w:rPr>
              <w:t>Насърчаване на интернационализацията в академичната среда</w:t>
            </w:r>
          </w:p>
        </w:tc>
        <w:tc>
          <w:tcPr>
            <w:tcW w:w="1161"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39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Подкрепени човекомесеци за стипендиантски програми за чуждестранна мобилност </w:t>
            </w:r>
          </w:p>
        </w:tc>
        <w:tc>
          <w:tcPr>
            <w:tcW w:w="1729"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Подкрепени човекомесеци </w:t>
            </w:r>
          </w:p>
        </w:tc>
        <w:tc>
          <w:tcPr>
            <w:tcW w:w="1017"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9976</w:t>
            </w:r>
          </w:p>
        </w:tc>
        <w:tc>
          <w:tcPr>
            <w:tcW w:w="851"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17 600</w:t>
            </w:r>
          </w:p>
        </w:tc>
        <w:tc>
          <w:tcPr>
            <w:tcW w:w="1134"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Т1</w:t>
            </w:r>
          </w:p>
        </w:tc>
        <w:tc>
          <w:tcPr>
            <w:tcW w:w="99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439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Кумулативно увеличение на броя на подпомаганите проекти за мобилност в</w:t>
            </w:r>
            <w:r>
              <w:rPr>
                <w:rFonts w:ascii="Times New Roman" w:hAnsi="Times New Roman"/>
                <w:noProof/>
                <w:color w:val="006100"/>
                <w:sz w:val="20"/>
                <w:szCs w:val="20"/>
              </w:rPr>
              <w:t xml:space="preserve"> стипендии по CEEPUS, стипендии, предоставени въз основа на двустранни договори, и в словашката национална стипендиантска програма от 2494 на 4440 човекомесеца за 2022 г. до 2025 г.</w:t>
            </w:r>
          </w:p>
          <w:p w:rsidR="00D4086A" w:rsidRDefault="00D4086A">
            <w:pPr>
              <w:spacing w:after="0"/>
              <w:rPr>
                <w:rFonts w:ascii="Times New Roman" w:eastAsia="Times New Roman" w:hAnsi="Times New Roman"/>
                <w:noProof/>
                <w:color w:val="006100"/>
                <w:sz w:val="20"/>
                <w:szCs w:val="20"/>
              </w:rPr>
            </w:pPr>
          </w:p>
          <w:p w:rsidR="00D4086A" w:rsidRDefault="00D4086A">
            <w:pPr>
              <w:spacing w:after="0"/>
              <w:rPr>
                <w:rFonts w:ascii="Times New Roman" w:eastAsia="Times New Roman" w:hAnsi="Times New Roman"/>
                <w:noProof/>
                <w:color w:val="006100"/>
                <w:sz w:val="20"/>
                <w:szCs w:val="20"/>
              </w:rPr>
            </w:pPr>
          </w:p>
        </w:tc>
      </w:tr>
    </w:tbl>
    <w:p w:rsidR="00D4086A" w:rsidRDefault="00D4086A">
      <w:pPr>
        <w:spacing w:before="120" w:after="120" w:line="240" w:lineRule="auto"/>
        <w:ind w:left="850"/>
        <w:jc w:val="both"/>
        <w:rPr>
          <w:rFonts w:ascii="Times New Roman" w:hAnsi="Times New Roman"/>
          <w:b/>
          <w:noProof/>
          <w:sz w:val="24"/>
          <w:u w:val="single"/>
        </w:rPr>
      </w:pPr>
    </w:p>
    <w:p w:rsidR="00D4086A" w:rsidRDefault="00D4086A">
      <w:pPr>
        <w:spacing w:before="120" w:after="120" w:line="240" w:lineRule="auto"/>
        <w:ind w:left="850"/>
        <w:jc w:val="both"/>
        <w:rPr>
          <w:rFonts w:ascii="Times New Roman" w:hAnsi="Times New Roman"/>
          <w:i/>
          <w:iCs/>
          <w:noProof/>
          <w:color w:val="4F81BD"/>
          <w:sz w:val="24"/>
        </w:rPr>
        <w:sectPr w:rsidR="00D4086A">
          <w:headerReference w:type="even" r:id="rId132"/>
          <w:headerReference w:type="default" r:id="rId133"/>
          <w:footerReference w:type="even" r:id="rId134"/>
          <w:footerReference w:type="default" r:id="rId135"/>
          <w:headerReference w:type="first" r:id="rId136"/>
          <w:footerReference w:type="first" r:id="rId137"/>
          <w:pgSz w:w="16839" w:h="11907" w:orient="landscape"/>
          <w:pgMar w:top="568" w:right="1134" w:bottom="1418" w:left="1134" w:header="709" w:footer="709" w:gutter="0"/>
          <w:cols w:space="720"/>
          <w:docGrid w:linePitch="360"/>
        </w:sectPr>
      </w:pPr>
    </w:p>
    <w:p w:rsidR="00D4086A" w:rsidRDefault="00D5307E">
      <w:pPr>
        <w:keepNext/>
        <w:tabs>
          <w:tab w:val="left" w:pos="850"/>
        </w:tabs>
        <w:spacing w:before="12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КОМПОНЕНТ 11: </w:t>
      </w:r>
      <w:r>
        <w:rPr>
          <w:rFonts w:ascii="Times New Roman" w:hAnsi="Times New Roman"/>
          <w:b/>
          <w:smallCaps/>
          <w:noProof/>
          <w:sz w:val="24"/>
        </w:rPr>
        <w:t>Модерно и достъпно здравеопазване</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Целта на този компонент на словашкия план за възстановяване и устойчивост е да се създаде модерна, достъпна и ефективна болнична мрежа, която осигурява качествено здравеопазване, привлекателна среда за персонала, ефективни</w:t>
      </w:r>
      <w:r>
        <w:rPr>
          <w:rFonts w:ascii="Times New Roman" w:hAnsi="Times New Roman"/>
          <w:noProof/>
          <w:sz w:val="24"/>
        </w:rPr>
        <w:t xml:space="preserve"> процеси и добро управление. Целта е също така да се увеличи наличието на спешни здравни услуги, като се надгражда върху нуждите на новата болнична мрежа, и да се укрепят първичните здравни грижи, които са предназначени да бъдат основна точка за интегриран</w:t>
      </w:r>
      <w:r>
        <w:rPr>
          <w:rFonts w:ascii="Times New Roman" w:hAnsi="Times New Roman"/>
          <w:noProof/>
          <w:sz w:val="24"/>
        </w:rPr>
        <w:t xml:space="preserve">е на грижите за пациентите. </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Компонентът включва пет реформи и пет инвестиции.</w:t>
      </w:r>
    </w:p>
    <w:p w:rsidR="00D4086A" w:rsidRDefault="00D5307E">
      <w:pPr>
        <w:tabs>
          <w:tab w:val="left" w:pos="851"/>
        </w:tabs>
        <w:spacing w:before="120" w:after="120" w:line="240" w:lineRule="auto"/>
        <w:jc w:val="both"/>
        <w:rPr>
          <w:rFonts w:ascii="Times New Roman" w:hAnsi="Times New Roman"/>
          <w:noProof/>
          <w:sz w:val="24"/>
          <w:szCs w:val="24"/>
        </w:rPr>
      </w:pPr>
      <w:r>
        <w:rPr>
          <w:rFonts w:ascii="Times New Roman" w:hAnsi="Times New Roman"/>
          <w:noProof/>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w:t>
      </w:r>
      <w:r>
        <w:rPr>
          <w:rFonts w:ascii="Times New Roman" w:hAnsi="Times New Roman"/>
          <w:noProof/>
          <w:sz w:val="24"/>
          <w:szCs w:val="24"/>
        </w:rPr>
        <w:t xml:space="preserve">ето на мерките и стъпките за смекчаване на последиците, определени в плана за възстановяване и устойчивост в съответствие с Техническите насоки на DNSH (2021/C58/01).  </w:t>
      </w:r>
    </w:p>
    <w:p w:rsidR="00D4086A" w:rsidRDefault="00D5307E">
      <w:pPr>
        <w:tabs>
          <w:tab w:val="left" w:pos="851"/>
        </w:tabs>
        <w:spacing w:before="120" w:after="120" w:line="240" w:lineRule="auto"/>
        <w:jc w:val="both"/>
        <w:rPr>
          <w:rFonts w:ascii="Times New Roman" w:hAnsi="Times New Roman"/>
          <w:b/>
          <w:i/>
          <w:noProof/>
          <w:sz w:val="24"/>
        </w:rPr>
      </w:pPr>
      <w:r>
        <w:rPr>
          <w:rFonts w:ascii="Times New Roman" w:hAnsi="Times New Roman"/>
          <w:noProof/>
          <w:sz w:val="24"/>
        </w:rPr>
        <w:t>Компонентът е насочен към специфичната за държавата препоръка 1 от 2020 г., която се от</w:t>
      </w:r>
      <w:r>
        <w:rPr>
          <w:rFonts w:ascii="Times New Roman" w:hAnsi="Times New Roman"/>
          <w:noProof/>
          <w:sz w:val="24"/>
        </w:rPr>
        <w:t>нася до укрепването на устойчивостта на здравната система в областта на работната сила в здравеопазването, критичните медицински продукти и инфраструктура; както и подобряването на предоставянето на първична медицинска помощ и координацията между различнит</w:t>
      </w:r>
      <w:r>
        <w:rPr>
          <w:rFonts w:ascii="Times New Roman" w:hAnsi="Times New Roman"/>
          <w:noProof/>
          <w:sz w:val="24"/>
        </w:rPr>
        <w:t>е видове грижи.</w:t>
      </w:r>
    </w:p>
    <w:p w:rsidR="00D4086A" w:rsidRDefault="00D5307E">
      <w:pPr>
        <w:tabs>
          <w:tab w:val="left" w:pos="851"/>
        </w:tabs>
        <w:spacing w:before="120" w:after="120" w:line="240" w:lineRule="auto"/>
        <w:jc w:val="both"/>
        <w:rPr>
          <w:rFonts w:ascii="Times New Roman" w:hAnsi="Times New Roman"/>
          <w:b/>
          <w:i/>
          <w:noProof/>
          <w:sz w:val="24"/>
        </w:rPr>
      </w:pPr>
      <w:r>
        <w:rPr>
          <w:rFonts w:ascii="Times New Roman" w:hAnsi="Times New Roman"/>
          <w:b/>
          <w:noProof/>
          <w:sz w:val="24"/>
          <w:u w:val="single"/>
        </w:rPr>
        <w:t xml:space="preserve">A.1. </w:t>
      </w:r>
      <w:r>
        <w:rPr>
          <w:rFonts w:ascii="Times New Roman" w:hAnsi="Times New Roman"/>
          <w:b/>
          <w:noProof/>
          <w:sz w:val="24"/>
          <w:u w:val="single"/>
        </w:rPr>
        <w:tab/>
        <w:t>Описание на реформите и инвестициите за безвъзмездна финансова подкрепа</w:t>
      </w:r>
    </w:p>
    <w:p w:rsidR="00D4086A" w:rsidRDefault="00D5307E">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Реформа 1: Оптимизиране на болничната мрежа</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Целта на реформата е да се подобрят качеството и ефективността на болничното здравно обслужване чрез определяне на тип</w:t>
      </w:r>
      <w:r>
        <w:rPr>
          <w:rFonts w:ascii="Times New Roman" w:hAnsi="Times New Roman"/>
          <w:noProof/>
          <w:sz w:val="24"/>
        </w:rPr>
        <w:t xml:space="preserve">ологията и йерархията на болничните грижи, както и чрез определяне на минимални условия за предоставяне на медицински услуги. </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 xml:space="preserve">Реформата определя профилите на болниците. Профил означава набор от задължителни услуги и други изисквания, които доставчикът на </w:t>
      </w:r>
      <w:r>
        <w:rPr>
          <w:rFonts w:ascii="Times New Roman" w:hAnsi="Times New Roman"/>
          <w:noProof/>
          <w:sz w:val="24"/>
        </w:rPr>
        <w:t>определено ниво трябва да спазва. След промяна на профила определена болница е длъжна да покрие няколко услуги, групирани в рамките на определен профил. Някои разширяват обхвата на дейността, а други се очаква да преобразуват отделенията за интензивно лече</w:t>
      </w:r>
      <w:r>
        <w:rPr>
          <w:rFonts w:ascii="Times New Roman" w:hAnsi="Times New Roman"/>
          <w:noProof/>
          <w:sz w:val="24"/>
        </w:rPr>
        <w:t>ния в отделения за дългосрочни грижи.</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31 декември 2025 г.</w:t>
      </w:r>
    </w:p>
    <w:p w:rsidR="00D4086A" w:rsidRDefault="00D5307E">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Реформа 2: Реформа на подготовката на инвестиционни проекти в областта на здравеопазването</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 xml:space="preserve">Министерството на здравеопазването, в тясно сътрудничество с </w:t>
      </w:r>
      <w:r>
        <w:rPr>
          <w:rFonts w:ascii="Times New Roman" w:hAnsi="Times New Roman"/>
          <w:noProof/>
          <w:sz w:val="24"/>
        </w:rPr>
        <w:t>Министерството на финансите, приема план за всички инвестиционни проекти в областта на здравеопазването. Планът се придружава от методика за оценка на инвестициите в здравеопазването, която определя критериите за вземане на решения въз основа на финансовит</w:t>
      </w:r>
      <w:r>
        <w:rPr>
          <w:rFonts w:ascii="Times New Roman" w:hAnsi="Times New Roman"/>
          <w:noProof/>
          <w:sz w:val="24"/>
        </w:rPr>
        <w:t>е, медицинските, социалните и социално-икономическите ползи.</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 xml:space="preserve">Изпълнението на реформата приключва до 30 юни 2022 г. </w:t>
      </w:r>
    </w:p>
    <w:p w:rsidR="00D4086A" w:rsidRDefault="00D5307E">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Реформа 3: Централизиране на управлението на най-големите болници</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С реформата се въвежда централната система за управление на болниците за 1</w:t>
      </w:r>
      <w:r>
        <w:rPr>
          <w:rFonts w:ascii="Times New Roman" w:hAnsi="Times New Roman"/>
          <w:noProof/>
          <w:sz w:val="24"/>
        </w:rPr>
        <w:t>9-те държавни болници, която включва: 1) централен контрол, бюджетиране, планиране на изпълнението и мониторинг; 2) процеси за централно закупуване на лекарствени продукти, медицински материали, оборудване; 3) централизиране на помощните услуги, като напри</w:t>
      </w:r>
      <w:r>
        <w:rPr>
          <w:rFonts w:ascii="Times New Roman" w:hAnsi="Times New Roman"/>
          <w:noProof/>
          <w:sz w:val="24"/>
        </w:rPr>
        <w:t>мер счетоводство; 4) управление на човешките ресурси. Реформата започва със създаването на централен орган за управление на болниците и е последвана от пилотен проект, включващ 19 болници. Пилотният проект завършва с оценка, която дава възможност за послед</w:t>
      </w:r>
      <w:r>
        <w:rPr>
          <w:rFonts w:ascii="Times New Roman" w:hAnsi="Times New Roman"/>
          <w:noProof/>
          <w:sz w:val="24"/>
        </w:rPr>
        <w:t xml:space="preserve">ващо въвеждане на стандарти за всички болници в мрежата. </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започва до 31 декември 2023 г. и приключва до 30 юни 2025 г.</w:t>
      </w:r>
    </w:p>
    <w:p w:rsidR="00D4086A" w:rsidRDefault="00D5307E">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Реформа 4: Оптимизиране на мрежата за спешна медицинска помощ и новото определение за спешна медицинска помощ</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 xml:space="preserve">Реформата разглежда правните промени, необходими за увеличаване на всеобщата наличност на линейки в рамките на 15 минути за необходимите над 90 % от населението на страната. Изменението на закона предвижда справедливо географско разпределение на станциите </w:t>
      </w:r>
      <w:r>
        <w:rPr>
          <w:rFonts w:ascii="Times New Roman" w:hAnsi="Times New Roman"/>
          <w:noProof/>
          <w:sz w:val="24"/>
        </w:rPr>
        <w:t>за спешна медицинска помощ. Острата мрежа се основава на търсенето на интервенции в съответствие с диагнозата и регионите, географското разпределение на станциите за спешна помощ, като се вземат предвид пътната мрежа и инфраструктурата, наличието на подход</w:t>
      </w:r>
      <w:r>
        <w:rPr>
          <w:rFonts w:ascii="Times New Roman" w:hAnsi="Times New Roman"/>
          <w:noProof/>
          <w:sz w:val="24"/>
        </w:rPr>
        <w:t xml:space="preserve">ящи видове болнични съоръжения, като същевременно се използват математическо моделиране и симулации от реални данни (като например модел p-median). </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Въвежда се ново определение за спешна медицинска помощ, за да се определи броят на упълномощените потребите</w:t>
      </w:r>
      <w:r>
        <w:rPr>
          <w:rFonts w:ascii="Times New Roman" w:hAnsi="Times New Roman"/>
          <w:noProof/>
          <w:sz w:val="24"/>
        </w:rPr>
        <w:t xml:space="preserve">ли на услуги за спешна медицинска помощ и как да се отговори на търсенето от страна на тези ползватели. </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31 март 2023 г.</w:t>
      </w:r>
    </w:p>
    <w:p w:rsidR="00D4086A" w:rsidRDefault="00D5307E">
      <w:pPr>
        <w:tabs>
          <w:tab w:val="left" w:pos="851"/>
        </w:tabs>
        <w:spacing w:before="120" w:after="120" w:line="240" w:lineRule="auto"/>
        <w:jc w:val="both"/>
        <w:rPr>
          <w:rFonts w:ascii="Times New Roman" w:hAnsi="Times New Roman"/>
          <w:b/>
          <w:noProof/>
          <w:sz w:val="24"/>
          <w:u w:val="single"/>
        </w:rPr>
      </w:pPr>
      <w:r>
        <w:rPr>
          <w:rFonts w:ascii="Times New Roman" w:hAnsi="Times New Roman"/>
          <w:b/>
          <w:noProof/>
          <w:sz w:val="24"/>
        </w:rPr>
        <w:t>Реформа 5: Реформа на предоставянето на първични грижи за възрастни, деца и младежи</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Целта на реф</w:t>
      </w:r>
      <w:r>
        <w:rPr>
          <w:rFonts w:ascii="Times New Roman" w:hAnsi="Times New Roman"/>
          <w:noProof/>
          <w:sz w:val="24"/>
        </w:rPr>
        <w:t>ормата е да се осигури достъп до първични здравни услуги в регионите, които страдат от недостиг на практикуващи общопрактикуващи лекари и педиатри. Съответното законодателство определя изискванията за оптимален брой и местоположение на общопрактикуващите л</w:t>
      </w:r>
      <w:r>
        <w:rPr>
          <w:rFonts w:ascii="Times New Roman" w:hAnsi="Times New Roman"/>
          <w:noProof/>
          <w:sz w:val="24"/>
        </w:rPr>
        <w:t>екари и педиатрите на максимално разстояние (оптимален брой лекари, определени от областното население и възрастовата структура) и въвежда критерии за зониране и процеса на годишна оценка. Целта на определянето на зони е да се класифицират териториите спор</w:t>
      </w:r>
      <w:r>
        <w:rPr>
          <w:rFonts w:ascii="Times New Roman" w:hAnsi="Times New Roman"/>
          <w:noProof/>
          <w:sz w:val="24"/>
        </w:rPr>
        <w:t xml:space="preserve">ед сериозността на установения недостиг на ДЛ. Тази подробна карта на пропуските в предоставянето на първични грижи дава възможност за по-добро насочване на коригиращите действия, включително модулиране на стимулите за лекарите да откриват нови практики в </w:t>
      </w:r>
      <w:r>
        <w:rPr>
          <w:rFonts w:ascii="Times New Roman" w:hAnsi="Times New Roman"/>
          <w:noProof/>
          <w:sz w:val="24"/>
        </w:rPr>
        <w:t xml:space="preserve">районите с недостатъчно обслужване. След това те следва да имат достъп до подкрепа за общата медицина, по-специално под формата на финансови субсидии за създаване и оборудване на практики на ОП или компенсаторни плащания при откриването на нова практика в </w:t>
      </w:r>
      <w:r>
        <w:rPr>
          <w:rFonts w:ascii="Times New Roman" w:hAnsi="Times New Roman"/>
          <w:noProof/>
          <w:sz w:val="24"/>
        </w:rPr>
        <w:t xml:space="preserve">районите с недостатъчно обслужване (свързани с инвестиции 1). </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30 юни 2022 г.</w:t>
      </w:r>
    </w:p>
    <w:p w:rsidR="00D4086A" w:rsidRDefault="00D5307E">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 xml:space="preserve">Инвестиция 1: Подпомагане на откриването на нови практики за първична медицинска помощ в райони с недостатъчно обслужване </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От общата цел да</w:t>
      </w:r>
      <w:r>
        <w:rPr>
          <w:rFonts w:ascii="Times New Roman" w:hAnsi="Times New Roman"/>
          <w:noProof/>
          <w:sz w:val="24"/>
        </w:rPr>
        <w:t xml:space="preserve"> се създадат 170 кабинета за амбулаторно лечение – подкрепата се предоставя за създаването на най-малко 153 нови кабинета за общопрактикуващи лекари за възрастни и педиатри под формата на субсидия за компенсиране на разходите за кабинет за амбулаторно лече</w:t>
      </w:r>
      <w:r>
        <w:rPr>
          <w:rFonts w:ascii="Times New Roman" w:hAnsi="Times New Roman"/>
          <w:noProof/>
          <w:sz w:val="24"/>
        </w:rPr>
        <w:t>ние през първата година от функционирането му. Финансовата подкрепа се предоставя на лекари, които решат да предоставят първични здравни грижи в областите с недостиг на лекари, за да компенсират риска и първоначалната инвестиция през първата година, когато</w:t>
      </w:r>
      <w:r>
        <w:rPr>
          <w:rFonts w:ascii="Times New Roman" w:hAnsi="Times New Roman"/>
          <w:noProof/>
          <w:sz w:val="24"/>
        </w:rPr>
        <w:t xml:space="preserve"> финансовите ресурси от застраховката са недостатъчни поради малкия брой регистрирани пациенти. Финансовата подкрепа е временна, с продължителност една година и следва постепенно да намалява, тъй като се очаква броят на регистрираните пациенти да нарасне. </w:t>
      </w:r>
      <w:r>
        <w:rPr>
          <w:rFonts w:ascii="Times New Roman" w:hAnsi="Times New Roman"/>
          <w:noProof/>
          <w:sz w:val="24"/>
        </w:rPr>
        <w:t xml:space="preserve">След това новосъздадените практики са самостоятелни и се финансират както всички останали от публичните застрахователни фондове. </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31 декември 2025 г.</w:t>
      </w:r>
    </w:p>
    <w:p w:rsidR="00D4086A" w:rsidRDefault="00D5307E">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Инвестиция 2: Нова болнична мрежа – строителство, рекон</w:t>
      </w:r>
      <w:r>
        <w:rPr>
          <w:rFonts w:ascii="Times New Roman" w:hAnsi="Times New Roman"/>
          <w:b/>
          <w:noProof/>
          <w:sz w:val="24"/>
        </w:rPr>
        <w:t>струкция и оборудване</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Целта на инвестицията е да се модернизира настоящата инфраструктура и да се изгради новата, за да бъде съвместима с изискванията на съвременните здравни системи и да се допринесе за болничната мрежа. Планът за оптимизиране на болнична</w:t>
      </w:r>
      <w:r>
        <w:rPr>
          <w:rFonts w:ascii="Times New Roman" w:hAnsi="Times New Roman"/>
          <w:noProof/>
          <w:sz w:val="24"/>
        </w:rPr>
        <w:t xml:space="preserve">та мрежа, произтичащ от Реформа 1 на настоящия компонент — </w:t>
      </w:r>
      <w:r>
        <w:rPr>
          <w:rFonts w:ascii="Times New Roman" w:hAnsi="Times New Roman"/>
          <w:i/>
          <w:noProof/>
          <w:sz w:val="24"/>
        </w:rPr>
        <w:t>Оптимизиране на болничната мрежа</w:t>
      </w:r>
      <w:r>
        <w:rPr>
          <w:rFonts w:ascii="Times New Roman" w:hAnsi="Times New Roman"/>
          <w:noProof/>
          <w:sz w:val="24"/>
        </w:rPr>
        <w:t xml:space="preserve">, е в основата на тази инвестиция. </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Инвестициите започват с покана за участие в търг, в която се посочват изискванията за предоставяне на болнични легла съгласно при</w:t>
      </w:r>
      <w:r>
        <w:rPr>
          <w:rFonts w:ascii="Times New Roman" w:hAnsi="Times New Roman"/>
          <w:noProof/>
          <w:sz w:val="24"/>
        </w:rPr>
        <w:t>нципа за ненанасяне на значителни вреди (DNSH). Това означава, че сградата трябва да отговаря на изискванията за висока енергийна ефективност за новите болници и да получава сертификат Метод за екологична оценка на предприятието за изследване на сгради (BR</w:t>
      </w:r>
      <w:r>
        <w:rPr>
          <w:rFonts w:ascii="Times New Roman" w:hAnsi="Times New Roman"/>
          <w:noProof/>
          <w:sz w:val="24"/>
        </w:rPr>
        <w:t>EEAM). За реновираната сграда трябва да бъдат постигнати 30 % от икономиите на първична енергия. От общата цел за 2666 болнични легла се създават или обновяват най-малко 2400 болнични легла.</w:t>
      </w:r>
      <w:r>
        <w:rPr>
          <w:noProof/>
        </w:rPr>
        <w:t xml:space="preserve"> </w:t>
      </w:r>
      <w:r>
        <w:rPr>
          <w:rFonts w:ascii="Times New Roman" w:hAnsi="Times New Roman"/>
          <w:noProof/>
          <w:sz w:val="24"/>
        </w:rPr>
        <w:t>За да се улесни подготовката и изпълнението на тези проекти, се с</w:t>
      </w:r>
      <w:r>
        <w:rPr>
          <w:rFonts w:ascii="Times New Roman" w:hAnsi="Times New Roman"/>
          <w:noProof/>
          <w:sz w:val="24"/>
        </w:rPr>
        <w:t xml:space="preserve">ъздава специална агенция. </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31 декември 2025 г.</w:t>
      </w:r>
    </w:p>
    <w:p w:rsidR="00D4086A" w:rsidRDefault="00D5307E">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Инвестиция 3: Цифровизация в здравеопазването</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 xml:space="preserve">Инвестицията подпомага изпълнението на Реформа 3 от настоящия компонент — </w:t>
      </w:r>
      <w:r>
        <w:rPr>
          <w:rFonts w:ascii="Times New Roman" w:hAnsi="Times New Roman"/>
          <w:i/>
          <w:noProof/>
          <w:sz w:val="24"/>
        </w:rPr>
        <w:t>Централизация на управлението на най-г</w:t>
      </w:r>
      <w:r>
        <w:rPr>
          <w:rFonts w:ascii="Times New Roman" w:hAnsi="Times New Roman"/>
          <w:i/>
          <w:noProof/>
          <w:sz w:val="24"/>
        </w:rPr>
        <w:t>олемите болници</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Централизирането на системите за планиране на ресурсите на предприятието (ERP) (за споделения обслужващ център) се осъществява в рамките на пилотния проект на 19 болници под ръководството на Министерството на здравеопазването. Приема се, ч</w:t>
      </w:r>
      <w:r>
        <w:rPr>
          <w:rFonts w:ascii="Times New Roman" w:hAnsi="Times New Roman"/>
          <w:noProof/>
          <w:sz w:val="24"/>
        </w:rPr>
        <w:t xml:space="preserve">е тези болници остават в болничната мрежа след завършване на болничната мрежа. При подготовката на системите се взема предвид интегрирането в планираната централна болнична информационна система. </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31 декем</w:t>
      </w:r>
      <w:r>
        <w:rPr>
          <w:rFonts w:ascii="Times New Roman" w:hAnsi="Times New Roman"/>
          <w:noProof/>
          <w:sz w:val="24"/>
        </w:rPr>
        <w:t>ври 2025 г.</w:t>
      </w:r>
    </w:p>
    <w:p w:rsidR="00D4086A" w:rsidRDefault="00D5307E">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Инвестиция 4: Изграждане и рехабилитация на станции за спешна медицинска помощ</w:t>
      </w:r>
    </w:p>
    <w:p w:rsidR="00D4086A" w:rsidRDefault="00D5307E">
      <w:pPr>
        <w:tabs>
          <w:tab w:val="left" w:pos="851"/>
        </w:tabs>
        <w:spacing w:before="120" w:after="120" w:line="240" w:lineRule="auto"/>
        <w:jc w:val="both"/>
        <w:rPr>
          <w:rFonts w:ascii="Times New Roman" w:hAnsi="Times New Roman"/>
          <w:i/>
          <w:noProof/>
          <w:sz w:val="24"/>
        </w:rPr>
      </w:pPr>
      <w:r>
        <w:rPr>
          <w:rFonts w:ascii="Times New Roman" w:hAnsi="Times New Roman"/>
          <w:noProof/>
          <w:sz w:val="24"/>
        </w:rPr>
        <w:t>Целта на инвестицията е да се приложи реформата 1 на този компонент:</w:t>
      </w:r>
      <w:r>
        <w:rPr>
          <w:rFonts w:ascii="Times New Roman" w:hAnsi="Times New Roman"/>
          <w:b/>
          <w:noProof/>
          <w:sz w:val="24"/>
        </w:rPr>
        <w:t xml:space="preserve"> </w:t>
      </w:r>
      <w:r>
        <w:rPr>
          <w:rFonts w:ascii="Times New Roman" w:hAnsi="Times New Roman"/>
          <w:i/>
          <w:noProof/>
          <w:sz w:val="24"/>
        </w:rPr>
        <w:t>Оптимизиране на болничната мрежа</w:t>
      </w:r>
      <w:r>
        <w:rPr>
          <w:rFonts w:ascii="Times New Roman" w:hAnsi="Times New Roman"/>
          <w:noProof/>
          <w:sz w:val="24"/>
        </w:rPr>
        <w:t xml:space="preserve"> и Реформа 4 от настоящия компонент, </w:t>
      </w:r>
      <w:r>
        <w:rPr>
          <w:rFonts w:ascii="Times New Roman" w:hAnsi="Times New Roman"/>
          <w:i/>
          <w:noProof/>
          <w:sz w:val="24"/>
        </w:rPr>
        <w:t xml:space="preserve">Оптимизиране на мрежата за </w:t>
      </w:r>
      <w:r>
        <w:rPr>
          <w:rFonts w:ascii="Times New Roman" w:hAnsi="Times New Roman"/>
          <w:i/>
          <w:noProof/>
          <w:sz w:val="24"/>
        </w:rPr>
        <w:t>интензивни грижи и новото определение за спешно здравно обслужване</w:t>
      </w:r>
      <w:r>
        <w:rPr>
          <w:rFonts w:ascii="Times New Roman" w:hAnsi="Times New Roman"/>
          <w:noProof/>
          <w:sz w:val="24"/>
        </w:rPr>
        <w:t>, като се гарантира прехвърлянето на станцията в съответствие с новата мрежа за спешни грижи и изискванията за новата болнична мрежа. Част от прехвърлените станции се осигурява чрез възстановяване на подходящи помещения, а останалата част трябва да бъде въ</w:t>
      </w:r>
      <w:r>
        <w:rPr>
          <w:rFonts w:ascii="Times New Roman" w:hAnsi="Times New Roman"/>
          <w:noProof/>
          <w:sz w:val="24"/>
        </w:rPr>
        <w:t xml:space="preserve">зстановена със съответното оборудване. Инвестицията е насочена към изграждането или реконструкцията на 55 малки станции за спешна помощ. </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30 юни 2025 г.</w:t>
      </w:r>
    </w:p>
    <w:p w:rsidR="00D4086A" w:rsidRDefault="00D5307E">
      <w:pPr>
        <w:tabs>
          <w:tab w:val="left" w:pos="851"/>
        </w:tabs>
        <w:spacing w:before="120" w:after="120" w:line="240" w:lineRule="auto"/>
        <w:jc w:val="both"/>
        <w:rPr>
          <w:rFonts w:ascii="Times New Roman" w:eastAsia="Times New Roman" w:hAnsi="Times New Roman"/>
          <w:b/>
          <w:bCs/>
          <w:noProof/>
          <w:sz w:val="24"/>
          <w:szCs w:val="26"/>
        </w:rPr>
      </w:pPr>
      <w:r>
        <w:rPr>
          <w:rFonts w:ascii="Times New Roman" w:hAnsi="Times New Roman"/>
          <w:noProof/>
          <w:sz w:val="24"/>
        </w:rPr>
        <w:br w:type="page"/>
      </w:r>
      <w:r>
        <w:rPr>
          <w:rFonts w:ascii="Times New Roman" w:hAnsi="Times New Roman"/>
          <w:b/>
          <w:bCs/>
          <w:noProof/>
          <w:sz w:val="24"/>
          <w:szCs w:val="26"/>
        </w:rPr>
        <w:t>Инвестиция 5: Обновяване на автомобилния парк за сп</w:t>
      </w:r>
      <w:r>
        <w:rPr>
          <w:rFonts w:ascii="Times New Roman" w:hAnsi="Times New Roman"/>
          <w:b/>
          <w:bCs/>
          <w:noProof/>
          <w:sz w:val="24"/>
          <w:szCs w:val="26"/>
        </w:rPr>
        <w:t>ешна медицинска помощ</w:t>
      </w:r>
    </w:p>
    <w:p w:rsidR="00D4086A" w:rsidRDefault="00D5307E">
      <w:pPr>
        <w:spacing w:before="120" w:after="120" w:line="240" w:lineRule="auto"/>
        <w:jc w:val="both"/>
        <w:rPr>
          <w:rFonts w:ascii="Times New Roman" w:eastAsia="Times New Roman" w:hAnsi="Times New Roman"/>
          <w:bCs/>
          <w:noProof/>
          <w:sz w:val="24"/>
          <w:szCs w:val="26"/>
        </w:rPr>
      </w:pPr>
      <w:r>
        <w:rPr>
          <w:rFonts w:ascii="Times New Roman" w:hAnsi="Times New Roman"/>
          <w:b/>
          <w:bCs/>
          <w:noProof/>
          <w:sz w:val="24"/>
          <w:szCs w:val="26"/>
        </w:rPr>
        <w:t xml:space="preserve"> </w:t>
      </w:r>
      <w:r>
        <w:rPr>
          <w:rFonts w:ascii="Times New Roman" w:hAnsi="Times New Roman"/>
          <w:bCs/>
          <w:noProof/>
          <w:sz w:val="24"/>
          <w:szCs w:val="26"/>
        </w:rPr>
        <w:t>Закупуването и оборудването на превозни средства за спешна медицинска помощ за спешна медицинска помощ се очаква да отговарят на изискванията за високо качество и безопасност при предоставянето на спешна медицинска помощ в тази облас</w:t>
      </w:r>
      <w:r>
        <w:rPr>
          <w:rFonts w:ascii="Times New Roman" w:hAnsi="Times New Roman"/>
          <w:bCs/>
          <w:noProof/>
          <w:sz w:val="24"/>
          <w:szCs w:val="26"/>
        </w:rPr>
        <w:t xml:space="preserve">т, както и на други необходими оперативни превозни средства – настолни, полеви и масови транспортни средства за лица с увреждания и тренировки. Закупуването на 197-те превозни средства трябва да бъде в пълно съответствие с принципа на DNSH. </w:t>
      </w:r>
    </w:p>
    <w:p w:rsidR="00D4086A" w:rsidRDefault="00D5307E">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Изпълнението н</w:t>
      </w:r>
      <w:r>
        <w:rPr>
          <w:rFonts w:ascii="Times New Roman" w:hAnsi="Times New Roman"/>
          <w:noProof/>
          <w:sz w:val="24"/>
        </w:rPr>
        <w:t>а инвестицията трябва да приключи до 31 декември 2024 г.</w:t>
      </w:r>
    </w:p>
    <w:p w:rsidR="00D4086A" w:rsidRDefault="00D4086A">
      <w:pPr>
        <w:spacing w:before="120" w:after="120" w:line="240" w:lineRule="auto"/>
        <w:jc w:val="both"/>
        <w:rPr>
          <w:rFonts w:ascii="Times New Roman" w:hAnsi="Times New Roman"/>
          <w:b/>
          <w:noProof/>
          <w:sz w:val="24"/>
          <w:u w:val="single"/>
        </w:rPr>
        <w:sectPr w:rsidR="00D4086A">
          <w:headerReference w:type="even" r:id="rId138"/>
          <w:headerReference w:type="default" r:id="rId139"/>
          <w:footerReference w:type="even" r:id="rId140"/>
          <w:footerReference w:type="default" r:id="rId141"/>
          <w:headerReference w:type="first" r:id="rId142"/>
          <w:footerReference w:type="first" r:id="rId143"/>
          <w:pgSz w:w="11907" w:h="16839"/>
          <w:pgMar w:top="1134" w:right="1418" w:bottom="1134" w:left="1418" w:header="709" w:footer="709" w:gutter="0"/>
          <w:cols w:space="720"/>
          <w:docGrid w:linePitch="360"/>
        </w:sectPr>
      </w:pPr>
    </w:p>
    <w:p w:rsidR="00D4086A" w:rsidRDefault="00D5307E">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Ключови етапи, цели, показатели и график за мониторинг и изпълнение на безвъзмездната финансова подкрепа</w:t>
      </w:r>
    </w:p>
    <w:p w:rsidR="00D4086A" w:rsidRDefault="00D4086A">
      <w:pPr>
        <w:spacing w:before="120" w:after="120" w:line="240" w:lineRule="auto"/>
        <w:jc w:val="both"/>
        <w:rPr>
          <w:rFonts w:ascii="Times New Roman" w:hAnsi="Times New Roman"/>
          <w:i/>
          <w:iCs/>
          <w:noProof/>
          <w:color w:val="4F81BD"/>
          <w:sz w:val="24"/>
        </w:rPr>
      </w:pPr>
    </w:p>
    <w:tbl>
      <w:tblPr>
        <w:tblW w:w="15537" w:type="dxa"/>
        <w:tblInd w:w="-601" w:type="dxa"/>
        <w:tblLook w:val="04A0" w:firstRow="1" w:lastRow="0" w:firstColumn="1" w:lastColumn="0" w:noHBand="0" w:noVBand="1"/>
      </w:tblPr>
      <w:tblGrid>
        <w:gridCol w:w="548"/>
        <w:gridCol w:w="1710"/>
        <w:gridCol w:w="1280"/>
        <w:gridCol w:w="1842"/>
        <w:gridCol w:w="1980"/>
        <w:gridCol w:w="1048"/>
        <w:gridCol w:w="912"/>
        <w:gridCol w:w="730"/>
        <w:gridCol w:w="1296"/>
        <w:gridCol w:w="875"/>
        <w:gridCol w:w="3316"/>
      </w:tblGrid>
      <w:tr w:rsidR="00D4086A">
        <w:trPr>
          <w:trHeight w:val="630"/>
        </w:trPr>
        <w:tc>
          <w:tcPr>
            <w:tcW w:w="689" w:type="dxa"/>
            <w:vMerge w:val="restart"/>
            <w:tcBorders>
              <w:top w:val="single" w:sz="4" w:space="0" w:color="auto"/>
              <w:left w:val="single" w:sz="4" w:space="0" w:color="auto"/>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w:t>
            </w:r>
          </w:p>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1361"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xml:space="preserve">Свързана мярка (реформа </w:t>
            </w:r>
            <w:r>
              <w:rPr>
                <w:rFonts w:ascii="Times New Roman" w:hAnsi="Times New Roman"/>
                <w:b/>
                <w:noProof/>
                <w:sz w:val="20"/>
                <w:szCs w:val="20"/>
              </w:rPr>
              <w:t>или инвестиция)</w:t>
            </w:r>
          </w:p>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1636"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Ключов етап / Цел</w:t>
            </w:r>
          </w:p>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1418"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Наименование</w:t>
            </w:r>
          </w:p>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1984"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Качествени показатели (за ключовите етапи)</w:t>
            </w:r>
          </w:p>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2977" w:type="dxa"/>
            <w:gridSpan w:val="3"/>
            <w:tcBorders>
              <w:top w:val="single" w:sz="4" w:space="0" w:color="auto"/>
              <w:left w:val="nil"/>
              <w:bottom w:val="single" w:sz="4" w:space="0" w:color="auto"/>
              <w:right w:val="single" w:sz="4" w:space="0" w:color="000000"/>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Качествени показатели (за целите)</w:t>
            </w:r>
          </w:p>
        </w:tc>
        <w:tc>
          <w:tcPr>
            <w:tcW w:w="1984" w:type="dxa"/>
            <w:gridSpan w:val="2"/>
            <w:tcBorders>
              <w:top w:val="single" w:sz="4" w:space="0" w:color="auto"/>
              <w:left w:val="nil"/>
              <w:bottom w:val="single" w:sz="4" w:space="0" w:color="auto"/>
              <w:right w:val="single" w:sz="4" w:space="0" w:color="000000"/>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xml:space="preserve">Ориентировъчен график за приключване </w:t>
            </w:r>
          </w:p>
        </w:tc>
        <w:tc>
          <w:tcPr>
            <w:tcW w:w="3488" w:type="dxa"/>
            <w:tcBorders>
              <w:top w:val="single" w:sz="4" w:space="0" w:color="auto"/>
              <w:left w:val="nil"/>
              <w:bottom w:val="nil"/>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Описание и ясно определяне на всеки ключов етап и цел</w:t>
            </w:r>
          </w:p>
        </w:tc>
      </w:tr>
      <w:tr w:rsidR="00D4086A">
        <w:trPr>
          <w:trHeight w:val="453"/>
        </w:trPr>
        <w:tc>
          <w:tcPr>
            <w:tcW w:w="689" w:type="dxa"/>
            <w:vMerge/>
            <w:tcBorders>
              <w:left w:val="single" w:sz="4" w:space="0" w:color="auto"/>
              <w:bottom w:val="single" w:sz="4" w:space="0" w:color="auto"/>
              <w:right w:val="single" w:sz="4" w:space="0" w:color="auto"/>
            </w:tcBorders>
            <w:shd w:val="clear" w:color="auto" w:fill="BDD7EE"/>
            <w:vAlign w:val="center"/>
            <w:hideMark/>
          </w:tcPr>
          <w:p w:rsidR="00D4086A" w:rsidRDefault="00D4086A">
            <w:pPr>
              <w:spacing w:after="0" w:line="240" w:lineRule="auto"/>
              <w:jc w:val="center"/>
              <w:rPr>
                <w:rFonts w:ascii="Times New Roman" w:eastAsia="Times New Roman" w:hAnsi="Times New Roman"/>
                <w:b/>
                <w:noProof/>
                <w:sz w:val="20"/>
                <w:szCs w:val="20"/>
              </w:rPr>
            </w:pPr>
          </w:p>
        </w:tc>
        <w:tc>
          <w:tcPr>
            <w:tcW w:w="1361" w:type="dxa"/>
            <w:vMerge/>
            <w:tcBorders>
              <w:left w:val="nil"/>
              <w:bottom w:val="single" w:sz="4" w:space="0" w:color="auto"/>
              <w:right w:val="single" w:sz="4" w:space="0" w:color="auto"/>
            </w:tcBorders>
            <w:shd w:val="clear" w:color="auto" w:fill="BDD7EE"/>
            <w:vAlign w:val="center"/>
            <w:hideMark/>
          </w:tcPr>
          <w:p w:rsidR="00D4086A" w:rsidRDefault="00D4086A">
            <w:pPr>
              <w:spacing w:after="0" w:line="240" w:lineRule="auto"/>
              <w:jc w:val="center"/>
              <w:rPr>
                <w:rFonts w:ascii="Times New Roman" w:eastAsia="Times New Roman" w:hAnsi="Times New Roman"/>
                <w:b/>
                <w:noProof/>
                <w:sz w:val="20"/>
                <w:szCs w:val="20"/>
              </w:rPr>
            </w:pPr>
          </w:p>
        </w:tc>
        <w:tc>
          <w:tcPr>
            <w:tcW w:w="1636" w:type="dxa"/>
            <w:vMerge/>
            <w:tcBorders>
              <w:left w:val="nil"/>
              <w:bottom w:val="single" w:sz="4" w:space="0" w:color="auto"/>
              <w:right w:val="single" w:sz="4" w:space="0" w:color="auto"/>
            </w:tcBorders>
            <w:shd w:val="clear" w:color="auto" w:fill="BDD7EE"/>
            <w:vAlign w:val="center"/>
            <w:hideMark/>
          </w:tcPr>
          <w:p w:rsidR="00D4086A" w:rsidRDefault="00D4086A">
            <w:pPr>
              <w:spacing w:after="0" w:line="240" w:lineRule="auto"/>
              <w:jc w:val="center"/>
              <w:rPr>
                <w:rFonts w:ascii="Times New Roman" w:eastAsia="Times New Roman" w:hAnsi="Times New Roman"/>
                <w:b/>
                <w:noProof/>
                <w:sz w:val="20"/>
                <w:szCs w:val="20"/>
              </w:rPr>
            </w:pPr>
          </w:p>
        </w:tc>
        <w:tc>
          <w:tcPr>
            <w:tcW w:w="1418" w:type="dxa"/>
            <w:vMerge/>
            <w:tcBorders>
              <w:left w:val="nil"/>
              <w:bottom w:val="single" w:sz="4" w:space="0" w:color="auto"/>
              <w:right w:val="single" w:sz="4" w:space="0" w:color="auto"/>
            </w:tcBorders>
            <w:shd w:val="clear" w:color="auto" w:fill="BDD7EE"/>
            <w:vAlign w:val="center"/>
            <w:hideMark/>
          </w:tcPr>
          <w:p w:rsidR="00D4086A" w:rsidRDefault="00D4086A">
            <w:pPr>
              <w:spacing w:after="0" w:line="240" w:lineRule="auto"/>
              <w:jc w:val="center"/>
              <w:rPr>
                <w:rFonts w:ascii="Times New Roman" w:eastAsia="Times New Roman" w:hAnsi="Times New Roman"/>
                <w:b/>
                <w:noProof/>
                <w:sz w:val="20"/>
                <w:szCs w:val="20"/>
              </w:rPr>
            </w:pPr>
          </w:p>
        </w:tc>
        <w:tc>
          <w:tcPr>
            <w:tcW w:w="1984" w:type="dxa"/>
            <w:vMerge/>
            <w:tcBorders>
              <w:left w:val="nil"/>
              <w:bottom w:val="single" w:sz="4" w:space="0" w:color="auto"/>
              <w:right w:val="single" w:sz="4" w:space="0" w:color="auto"/>
            </w:tcBorders>
            <w:shd w:val="clear" w:color="auto" w:fill="BDD7EE"/>
            <w:vAlign w:val="center"/>
            <w:hideMark/>
          </w:tcPr>
          <w:p w:rsidR="00D4086A" w:rsidRDefault="00D4086A">
            <w:pPr>
              <w:spacing w:after="0" w:line="240" w:lineRule="auto"/>
              <w:jc w:val="center"/>
              <w:rPr>
                <w:rFonts w:ascii="Times New Roman" w:eastAsia="Times New Roman" w:hAnsi="Times New Roman"/>
                <w:b/>
                <w:noProof/>
                <w:sz w:val="20"/>
                <w:szCs w:val="20"/>
              </w:rPr>
            </w:pPr>
          </w:p>
        </w:tc>
        <w:tc>
          <w:tcPr>
            <w:tcW w:w="1134"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мерна единица</w:t>
            </w:r>
          </w:p>
        </w:tc>
        <w:tc>
          <w:tcPr>
            <w:tcW w:w="992"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Базова линия</w:t>
            </w:r>
          </w:p>
        </w:tc>
        <w:tc>
          <w:tcPr>
            <w:tcW w:w="851"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Цел</w:t>
            </w:r>
          </w:p>
        </w:tc>
        <w:tc>
          <w:tcPr>
            <w:tcW w:w="1134"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Тримесечие</w:t>
            </w:r>
          </w:p>
        </w:tc>
        <w:tc>
          <w:tcPr>
            <w:tcW w:w="850"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Година</w:t>
            </w:r>
          </w:p>
        </w:tc>
        <w:tc>
          <w:tcPr>
            <w:tcW w:w="3488" w:type="dxa"/>
            <w:tcBorders>
              <w:top w:val="single" w:sz="4" w:space="0" w:color="auto"/>
              <w:left w:val="nil"/>
              <w:bottom w:val="single" w:sz="4" w:space="0" w:color="auto"/>
              <w:right w:val="single" w:sz="4" w:space="0" w:color="auto"/>
            </w:tcBorders>
            <w:shd w:val="clear" w:color="auto" w:fill="BDD7EE"/>
            <w:vAlign w:val="center"/>
            <w:hideMark/>
          </w:tcPr>
          <w:p w:rsidR="00D4086A" w:rsidRDefault="00D4086A">
            <w:pPr>
              <w:spacing w:after="0" w:line="240" w:lineRule="auto"/>
              <w:rPr>
                <w:rFonts w:ascii="Times New Roman" w:eastAsia="Times New Roman" w:hAnsi="Times New Roman"/>
                <w:b/>
                <w:noProof/>
                <w:sz w:val="20"/>
                <w:szCs w:val="20"/>
              </w:rPr>
            </w:pPr>
          </w:p>
        </w:tc>
      </w:tr>
      <w:tr w:rsidR="00D4086A">
        <w:trPr>
          <w:trHeight w:val="1155"/>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1</w:t>
            </w:r>
          </w:p>
        </w:tc>
        <w:tc>
          <w:tcPr>
            <w:tcW w:w="13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11 – Модерно и достъпно здравеопазване – реформа 1 Оптимизиране на болничната мрежа (ООН)</w:t>
            </w:r>
          </w:p>
        </w:tc>
        <w:tc>
          <w:tcPr>
            <w:tcW w:w="1636"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41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Въвеждане на болничната мрежа </w:t>
            </w:r>
          </w:p>
          <w:p w:rsidR="00D4086A" w:rsidRDefault="00D4086A">
            <w:pPr>
              <w:spacing w:after="0" w:line="240" w:lineRule="auto"/>
              <w:rPr>
                <w:rFonts w:ascii="Times New Roman" w:eastAsia="Times New Roman" w:hAnsi="Times New Roman"/>
                <w:noProof/>
                <w:color w:val="006100"/>
                <w:sz w:val="20"/>
                <w:szCs w:val="20"/>
              </w:rPr>
            </w:pPr>
          </w:p>
        </w:tc>
        <w:tc>
          <w:tcPr>
            <w:tcW w:w="198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Законодателното изменение влиза в сила </w:t>
            </w: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Т1</w:t>
            </w:r>
          </w:p>
        </w:tc>
        <w:tc>
          <w:tcPr>
            <w:tcW w:w="85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488"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rPr>
                <w:rFonts w:ascii="Times New Roman" w:eastAsia="Times New Roman" w:hAnsi="Times New Roman"/>
                <w:noProof/>
                <w:color w:val="006100"/>
                <w:sz w:val="20"/>
                <w:szCs w:val="20"/>
              </w:rPr>
            </w:pPr>
          </w:p>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Законодателни изменения на закони и свързани с тях правни актове (включени са закони: 576/2004, 577/2004, 578/2004, 579/2004, 581/2004), с които се въвежда оптимизиране на болничната мрежа, се определя йерархията на доставчиците на болнична помощ в зависим</w:t>
            </w:r>
            <w:r>
              <w:rPr>
                <w:rFonts w:ascii="Times New Roman" w:hAnsi="Times New Roman"/>
                <w:noProof/>
                <w:color w:val="006100"/>
                <w:sz w:val="20"/>
                <w:szCs w:val="20"/>
              </w:rPr>
              <w:t xml:space="preserve">ост от сложността на предоставяните грижи, обхвата на услугите и достъпността на времето. </w:t>
            </w:r>
          </w:p>
          <w:p w:rsidR="00D4086A" w:rsidRDefault="00D4086A">
            <w:pPr>
              <w:spacing w:after="0" w:line="240" w:lineRule="auto"/>
              <w:rPr>
                <w:rFonts w:ascii="Times New Roman" w:eastAsia="Times New Roman" w:hAnsi="Times New Roman"/>
                <w:noProof/>
                <w:color w:val="006100"/>
                <w:sz w:val="20"/>
                <w:szCs w:val="20"/>
              </w:rPr>
            </w:pPr>
          </w:p>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Ще има 5 нива на доставчици на болнична помощ. Законът определя задължителни услуги, които доставчиците са задължени да предоставят на всяко равнище. Освен това в н</w:t>
            </w:r>
            <w:r>
              <w:rPr>
                <w:rFonts w:ascii="Times New Roman" w:hAnsi="Times New Roman"/>
                <w:noProof/>
                <w:color w:val="006100"/>
                <w:sz w:val="20"/>
                <w:szCs w:val="20"/>
              </w:rPr>
              <w:t xml:space="preserve">его се определят показатели за качество, изисквания за техническо оборудване, капацитет на персонала, време за чакане за определени услуги. </w:t>
            </w:r>
          </w:p>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w:t>
            </w:r>
          </w:p>
        </w:tc>
      </w:tr>
      <w:tr w:rsidR="00D4086A">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13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Модерно и достъпно здравеопазване – реформа 1 Оптимизиране на болничната мрежа (ООН)</w:t>
            </w:r>
          </w:p>
        </w:tc>
        <w:tc>
          <w:tcPr>
            <w:tcW w:w="1636"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41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Дял на </w:t>
            </w:r>
            <w:r>
              <w:rPr>
                <w:rFonts w:ascii="Times New Roman" w:hAnsi="Times New Roman"/>
                <w:noProof/>
                <w:color w:val="006100"/>
                <w:sz w:val="20"/>
                <w:szCs w:val="20"/>
              </w:rPr>
              <w:t>препрофилираните болници (разрешени в рамките на общите и специализирани болници) в рамките на новата болнична мрежа</w:t>
            </w:r>
          </w:p>
        </w:tc>
        <w:tc>
          <w:tcPr>
            <w:tcW w:w="1984"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w:t>
            </w:r>
          </w:p>
        </w:tc>
        <w:tc>
          <w:tcPr>
            <w:tcW w:w="992"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40</w:t>
            </w: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85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48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Предвижда се преходен период, през който болниците и здравноосигурителните дружества са задължени да спазват </w:t>
            </w:r>
            <w:r>
              <w:rPr>
                <w:rFonts w:ascii="Times New Roman" w:hAnsi="Times New Roman"/>
                <w:noProof/>
                <w:color w:val="006100"/>
                <w:sz w:val="20"/>
                <w:szCs w:val="20"/>
              </w:rPr>
              <w:t>новоустановените правила.</w:t>
            </w:r>
          </w:p>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40 % от настоящите болници (болници, оторизирани в рамките на общи и специализирани болници) се препрофилират в съответствие с новата реформа.   </w:t>
            </w:r>
          </w:p>
        </w:tc>
      </w:tr>
      <w:tr w:rsidR="00D4086A">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3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11 – Модерно и достъпно здравеопазване – Реформа 2 Реформа на изготвянето на </w:t>
            </w:r>
            <w:r>
              <w:rPr>
                <w:rFonts w:ascii="Times New Roman" w:hAnsi="Times New Roman"/>
                <w:noProof/>
                <w:color w:val="006100"/>
                <w:sz w:val="20"/>
                <w:szCs w:val="20"/>
              </w:rPr>
              <w:t>инвестиционни планове в областта на здравеопазването</w:t>
            </w:r>
          </w:p>
        </w:tc>
        <w:tc>
          <w:tcPr>
            <w:tcW w:w="1636"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41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Приоритетен инвестиционен план съгласно методиката за оценка на инвестициите, приета от Министерството на здравеопазването </w:t>
            </w:r>
          </w:p>
        </w:tc>
        <w:tc>
          <w:tcPr>
            <w:tcW w:w="198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план за приоритетни инвестиции, публикуван на уебсайта на Министерството на здравеопазването  </w:t>
            </w: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both"/>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85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488"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p w:rsidR="00D4086A" w:rsidRDefault="00D5307E">
            <w:pPr>
              <w:spacing w:before="120" w:after="12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Планът включва всички инвестиции, които ще бъдат финансирани от плана за възстановяване и устойчивост и структурните фондове на ЕС, и започва да подг</w:t>
            </w:r>
            <w:r>
              <w:rPr>
                <w:rFonts w:ascii="Times New Roman" w:hAnsi="Times New Roman"/>
                <w:noProof/>
                <w:color w:val="006100"/>
                <w:sz w:val="20"/>
                <w:szCs w:val="20"/>
              </w:rPr>
              <w:t>отвя приоритетно тези проекти за изпълнение (свързани с инвестиции 1, 2 и 3).</w:t>
            </w:r>
          </w:p>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Разработва се методология за оценка на инвестициите в здравеопазването, която ще определя критериите за вземане на решения въз основа на финансови, медицински, но също и непреки </w:t>
            </w:r>
            <w:r>
              <w:rPr>
                <w:rFonts w:ascii="Times New Roman" w:hAnsi="Times New Roman"/>
                <w:noProof/>
                <w:color w:val="006100"/>
                <w:sz w:val="20"/>
                <w:szCs w:val="20"/>
              </w:rPr>
              <w:t xml:space="preserve">ползи, включително социални и социално-икономически ползи. Определя се модел за вземане на решения относно икономическата ефективност на инвестициите в сектора на здравеопазването, като се вземат предвид не само преките финансови ползи от инвестицията, но </w:t>
            </w:r>
            <w:r>
              <w:rPr>
                <w:rFonts w:ascii="Times New Roman" w:hAnsi="Times New Roman"/>
                <w:noProof/>
                <w:color w:val="006100"/>
                <w:sz w:val="20"/>
                <w:szCs w:val="20"/>
              </w:rPr>
              <w:t xml:space="preserve">и всички непреки (напр. по-голямо удобство на пациентите). </w:t>
            </w:r>
          </w:p>
          <w:p w:rsidR="00D4086A" w:rsidRDefault="00D4086A">
            <w:pPr>
              <w:spacing w:after="0" w:line="240" w:lineRule="auto"/>
              <w:jc w:val="center"/>
              <w:rPr>
                <w:rFonts w:ascii="Times New Roman" w:eastAsia="Times New Roman" w:hAnsi="Times New Roman"/>
                <w:noProof/>
                <w:color w:val="006100"/>
                <w:sz w:val="20"/>
                <w:szCs w:val="20"/>
              </w:rPr>
            </w:pPr>
          </w:p>
        </w:tc>
      </w:tr>
      <w:tr w:rsidR="00D4086A">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4</w:t>
            </w:r>
          </w:p>
        </w:tc>
        <w:tc>
          <w:tcPr>
            <w:tcW w:w="13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Модерно и достъпно здравеопазване – реформа 3 Централизация на управлението на най-големите болници</w:t>
            </w:r>
          </w:p>
        </w:tc>
        <w:tc>
          <w:tcPr>
            <w:tcW w:w="1636"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41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Създаване на централен орган за управление на болници от организационна, </w:t>
            </w:r>
            <w:r>
              <w:rPr>
                <w:rFonts w:ascii="Times New Roman" w:hAnsi="Times New Roman"/>
                <w:noProof/>
                <w:color w:val="006100"/>
                <w:sz w:val="20"/>
                <w:szCs w:val="20"/>
              </w:rPr>
              <w:t>оперативна и икономическа гледна точка</w:t>
            </w:r>
          </w:p>
        </w:tc>
        <w:tc>
          <w:tcPr>
            <w:tcW w:w="198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Централен орган за управление на болницата, одобрен от Министерството на здравеопазването и напълно функциониращ</w:t>
            </w:r>
          </w:p>
          <w:p w:rsidR="00D4086A" w:rsidRDefault="00D4086A">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85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2023</w:t>
            </w:r>
          </w:p>
        </w:tc>
        <w:tc>
          <w:tcPr>
            <w:tcW w:w="3488" w:type="dxa"/>
            <w:tcBorders>
              <w:top w:val="nil"/>
              <w:left w:val="nil"/>
              <w:bottom w:val="nil"/>
              <w:right w:val="single" w:sz="4" w:space="0" w:color="auto"/>
            </w:tcBorders>
            <w:shd w:val="clear" w:color="auto" w:fill="C6EFCE"/>
            <w:vAlign w:val="center"/>
            <w:hideMark/>
          </w:tcPr>
          <w:p w:rsidR="00D4086A" w:rsidRDefault="00D5307E">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Този орган осигурява ефективно управленска структура за 19-те болници, които се състоят от б</w:t>
            </w:r>
            <w:r>
              <w:rPr>
                <w:rFonts w:ascii="Times New Roman" w:hAnsi="Times New Roman"/>
                <w:noProof/>
                <w:color w:val="006100"/>
                <w:sz w:val="20"/>
                <w:szCs w:val="20"/>
              </w:rPr>
              <w:t>олничната мрежа в пилотната фаза (вж. целта по-долу). Това означава, че това ще: управление, насочване и оценка на планирането и работата на болниците, като финансов контрол, контрол на съответствието, човешки ресурси, управление на качеството и риска с вр</w:t>
            </w:r>
            <w:r>
              <w:rPr>
                <w:rFonts w:ascii="Times New Roman" w:hAnsi="Times New Roman"/>
                <w:noProof/>
                <w:color w:val="006100"/>
                <w:sz w:val="20"/>
                <w:szCs w:val="20"/>
              </w:rPr>
              <w:t xml:space="preserve">ъзка с клиничните процеси. Той също така отправя препоръки за оптимизиране на разходите и инвентарния опис на лекарствата и медицинските изделия. </w:t>
            </w:r>
          </w:p>
        </w:tc>
      </w:tr>
      <w:tr w:rsidR="00D4086A">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5</w:t>
            </w:r>
          </w:p>
        </w:tc>
        <w:tc>
          <w:tcPr>
            <w:tcW w:w="13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Модерно и достъпно здравеопазване – реформа 3 Централизация на управлението на най-големите болници</w:t>
            </w:r>
          </w:p>
        </w:tc>
        <w:tc>
          <w:tcPr>
            <w:tcW w:w="1636"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41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Брой болници, участващи в централната система за управление</w:t>
            </w:r>
          </w:p>
        </w:tc>
        <w:tc>
          <w:tcPr>
            <w:tcW w:w="1984"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992"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19</w:t>
            </w: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85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488" w:type="dxa"/>
            <w:tcBorders>
              <w:top w:val="single" w:sz="4" w:space="0" w:color="auto"/>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Централната система за управление обхваща 19 болници, контролирани от държавата, в пилотната фаза. </w:t>
            </w:r>
          </w:p>
        </w:tc>
      </w:tr>
      <w:tr w:rsidR="00D4086A">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6</w:t>
            </w:r>
          </w:p>
        </w:tc>
        <w:tc>
          <w:tcPr>
            <w:tcW w:w="13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11 – Модерно и достъпно здравеопазване – реформа 4 Оптимизиране на </w:t>
            </w:r>
            <w:r>
              <w:rPr>
                <w:rFonts w:ascii="Times New Roman" w:hAnsi="Times New Roman"/>
                <w:noProof/>
                <w:color w:val="006100"/>
                <w:sz w:val="20"/>
                <w:szCs w:val="20"/>
              </w:rPr>
              <w:t>мрежата за остри здравни грижи и ново определение за спешна медицинска помощ</w:t>
            </w:r>
          </w:p>
        </w:tc>
        <w:tc>
          <w:tcPr>
            <w:tcW w:w="1636"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41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Изменение на Закона за оптималната мрежа от линейки и ново определение за спешната медицинска помощ</w:t>
            </w:r>
          </w:p>
        </w:tc>
        <w:tc>
          <w:tcPr>
            <w:tcW w:w="198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Влиза в сила законодателството относно новата оптимална мрежа за ли</w:t>
            </w:r>
            <w:r>
              <w:rPr>
                <w:rFonts w:ascii="Times New Roman" w:hAnsi="Times New Roman"/>
                <w:noProof/>
                <w:color w:val="006100"/>
                <w:sz w:val="20"/>
                <w:szCs w:val="20"/>
              </w:rPr>
              <w:t xml:space="preserve">нейки. </w:t>
            </w: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Т1</w:t>
            </w:r>
          </w:p>
        </w:tc>
        <w:tc>
          <w:tcPr>
            <w:tcW w:w="85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2023</w:t>
            </w:r>
          </w:p>
        </w:tc>
        <w:tc>
          <w:tcPr>
            <w:tcW w:w="348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Законодателните изменения въвеждат нова мрежа от станции за спешна медицинска помощ и ново определение за спешна медицинска помощ. Новата мрежа гарантира наличието на услуги за спешна помощ в рамките на 15 минути за 90 % от населението. </w:t>
            </w:r>
            <w:r>
              <w:rPr>
                <w:rFonts w:ascii="Times New Roman" w:hAnsi="Times New Roman"/>
                <w:noProof/>
                <w:color w:val="006100"/>
                <w:sz w:val="20"/>
                <w:szCs w:val="20"/>
              </w:rPr>
              <w:t xml:space="preserve">То е географски и процедурно свързано с новата болнична мрежа на ООН. Новото определение за спешни грижи определя броя на упълномощените потребители на услуги за спешна медицинска помощ и начина, по който да се отговори на искането на тези ползватели.  </w:t>
            </w:r>
          </w:p>
        </w:tc>
      </w:tr>
      <w:tr w:rsidR="00D4086A">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7</w:t>
            </w:r>
          </w:p>
        </w:tc>
        <w:tc>
          <w:tcPr>
            <w:tcW w:w="13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Модерно и достъпно здравеопазване – Реформа 5 Реформа на предоставянето на първична медицинска помощ за възрастни, деца и младежи</w:t>
            </w:r>
          </w:p>
        </w:tc>
        <w:tc>
          <w:tcPr>
            <w:tcW w:w="1636"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41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Новият закон за създаване на мрежа от доставчици на общи грижи и въвеждането на зониране</w:t>
            </w:r>
          </w:p>
        </w:tc>
        <w:tc>
          <w:tcPr>
            <w:tcW w:w="198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Влизане в сила на акта </w:t>
            </w: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85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48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Новото законодателство определя правила за мрежата за първична медицинска помощ, за да се определят броят и разпределението на общопрактикуващите лекари въз основа на: — Наличие (максимално време за пътуване на лекар);</w:t>
            </w:r>
          </w:p>
          <w:p w:rsidR="00D4086A" w:rsidRDefault="00D5307E">
            <w:pPr>
              <w:numPr>
                <w:ilvl w:val="0"/>
                <w:numId w:val="37"/>
              </w:numPr>
              <w:spacing w:before="120" w:after="0" w:line="259" w:lineRule="auto"/>
              <w:contextualSpacing/>
              <w:jc w:val="both"/>
              <w:rPr>
                <w:rFonts w:ascii="Times New Roman" w:eastAsia="Times New Roman" w:hAnsi="Times New Roman"/>
                <w:noProof/>
                <w:color w:val="006100"/>
                <w:sz w:val="20"/>
                <w:szCs w:val="20"/>
              </w:rPr>
            </w:pPr>
            <w:r>
              <w:rPr>
                <w:rFonts w:ascii="Times New Roman" w:hAnsi="Times New Roman"/>
                <w:noProof/>
                <w:color w:val="006100"/>
                <w:sz w:val="20"/>
                <w:szCs w:val="20"/>
              </w:rPr>
              <w:t>ну</w:t>
            </w:r>
            <w:r>
              <w:rPr>
                <w:rFonts w:ascii="Times New Roman" w:hAnsi="Times New Roman"/>
                <w:noProof/>
                <w:color w:val="006100"/>
                <w:sz w:val="20"/>
                <w:szCs w:val="20"/>
              </w:rPr>
              <w:t xml:space="preserve">жди от капацитет (броят на общопрактикуващите лекари, от които са необходими възрастните и децата, въз основа на размера и възрастовата структура на населението).     </w:t>
            </w:r>
          </w:p>
        </w:tc>
      </w:tr>
      <w:tr w:rsidR="00D4086A">
        <w:trPr>
          <w:trHeight w:val="173"/>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13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11 – Модерно и достъпно здравеопазване – инвестиции 1 Подкрепа за откриването на нови първични здравни грижи </w:t>
            </w:r>
          </w:p>
        </w:tc>
        <w:tc>
          <w:tcPr>
            <w:tcW w:w="1636"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41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Брой на клиниките за първична помощ за амбулаторно лечение, подкрепени от пилотна програма </w:t>
            </w:r>
          </w:p>
        </w:tc>
        <w:tc>
          <w:tcPr>
            <w:tcW w:w="1984"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992"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153</w:t>
            </w: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85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488" w:type="dxa"/>
            <w:tcBorders>
              <w:top w:val="nil"/>
              <w:left w:val="nil"/>
              <w:bottom w:val="single" w:sz="4" w:space="0" w:color="auto"/>
              <w:right w:val="single" w:sz="4" w:space="0" w:color="auto"/>
            </w:tcBorders>
            <w:shd w:val="clear" w:color="auto" w:fill="C6EFCE"/>
            <w:vAlign w:val="center"/>
            <w:hideMark/>
          </w:tcPr>
          <w:p w:rsidR="00D4086A" w:rsidRDefault="00D5307E">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Общата цел е да се създадат 170 амбулаторно лечение – подкрепата се предоставя за създаването на най-малко 153 нови амбулаторно клиники за общопрактикуващи лекари за възрастни и педиатрични лекари под формата на субсидия за компенсиране на разходите за амб</w:t>
            </w:r>
            <w:r>
              <w:rPr>
                <w:rFonts w:ascii="Times New Roman" w:hAnsi="Times New Roman"/>
                <w:noProof/>
                <w:color w:val="006100"/>
                <w:sz w:val="20"/>
                <w:szCs w:val="20"/>
              </w:rPr>
              <w:t xml:space="preserve">улаторно лечение през първата година от функционирането.   </w:t>
            </w:r>
          </w:p>
        </w:tc>
      </w:tr>
      <w:tr w:rsidR="00D4086A">
        <w:trPr>
          <w:trHeight w:val="2286"/>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9</w:t>
            </w:r>
          </w:p>
        </w:tc>
        <w:tc>
          <w:tcPr>
            <w:tcW w:w="13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Модерно и достъпно здравеопазване – инвестиции 2 Нова болнична мрежа – строителство, реконструкция и оборудване</w:t>
            </w:r>
          </w:p>
        </w:tc>
        <w:tc>
          <w:tcPr>
            <w:tcW w:w="1636"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41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Покана за участие в търг за изграждане и реконструкция на </w:t>
            </w:r>
            <w:r>
              <w:rPr>
                <w:rFonts w:ascii="Times New Roman" w:hAnsi="Times New Roman"/>
                <w:noProof/>
                <w:color w:val="006100"/>
                <w:sz w:val="20"/>
                <w:szCs w:val="20"/>
              </w:rPr>
              <w:t>болници</w:t>
            </w:r>
          </w:p>
        </w:tc>
        <w:tc>
          <w:tcPr>
            <w:tcW w:w="1984"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Уведомление за възлагане на обществена поръчка за проектите в съответствие с критериите за допустимост/подбор </w:t>
            </w: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Т1</w:t>
            </w:r>
          </w:p>
        </w:tc>
        <w:tc>
          <w:tcPr>
            <w:tcW w:w="85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3488" w:type="dxa"/>
            <w:tcBorders>
              <w:top w:val="nil"/>
              <w:left w:val="nil"/>
              <w:bottom w:val="single" w:sz="4" w:space="0" w:color="auto"/>
              <w:right w:val="single" w:sz="4" w:space="0" w:color="auto"/>
            </w:tcBorders>
            <w:shd w:val="clear" w:color="auto" w:fill="C6EFCE"/>
            <w:vAlign w:val="center"/>
            <w:hideMark/>
          </w:tcPr>
          <w:p w:rsidR="00D4086A" w:rsidRDefault="00D5307E">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Уведомление за възлагането на всички обществени поръчки за общата цел 2 666 нови болнични легла, от които най-малко 2400 лег</w:t>
            </w:r>
            <w:r>
              <w:rPr>
                <w:rFonts w:ascii="Times New Roman" w:hAnsi="Times New Roman"/>
                <w:noProof/>
                <w:color w:val="006100"/>
                <w:sz w:val="20"/>
                <w:szCs w:val="20"/>
              </w:rPr>
              <w:t>ла се предоставят, с разбивка:</w:t>
            </w:r>
          </w:p>
          <w:p w:rsidR="00D4086A" w:rsidRDefault="00D5307E">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 най-малко 870 легла в напълно нови болници с пълна физическа годност* в сгради, които отговарят на изискванията за енергийна ефективност на 25-то място на интервенция, сертифицирано от BREEAM (целта е 968 легла) </w:t>
            </w:r>
          </w:p>
          <w:p w:rsidR="00D4086A" w:rsidRDefault="00D5307E">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2. най-ма</w:t>
            </w:r>
            <w:r>
              <w:rPr>
                <w:rFonts w:ascii="Times New Roman" w:hAnsi="Times New Roman"/>
                <w:noProof/>
                <w:color w:val="006100"/>
                <w:sz w:val="20"/>
                <w:szCs w:val="20"/>
              </w:rPr>
              <w:t>лко 1035 легла в напълно нови болници на ниво „груб строеж“** в сгради, отговарящи на изискванията за енергийна ефективност на поле за интервенция 25ter, сертифицирано BREEAM (целта е 1150 легла)</w:t>
            </w:r>
          </w:p>
          <w:p w:rsidR="00D4086A" w:rsidRDefault="00D5307E">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3. Най-малко 495 легла в болници след основен ремонт до пълн</w:t>
            </w:r>
            <w:r>
              <w:rPr>
                <w:rFonts w:ascii="Times New Roman" w:hAnsi="Times New Roman"/>
                <w:noProof/>
                <w:color w:val="006100"/>
                <w:sz w:val="20"/>
                <w:szCs w:val="20"/>
              </w:rPr>
              <w:t xml:space="preserve">а годност*** в сгради, които отговарят на изискванията за енергийна ефективност на област на интервенция 26а (целта е 548 легла)  </w:t>
            </w:r>
          </w:p>
          <w:p w:rsidR="00D4086A" w:rsidRDefault="00D5307E">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*Пълно комплектуване – напълно нова болница с материално оборудване, готово да приема пациенти. **Брутно строителство – основ</w:t>
            </w:r>
            <w:r>
              <w:rPr>
                <w:rFonts w:ascii="Times New Roman" w:hAnsi="Times New Roman"/>
                <w:noProof/>
                <w:color w:val="006100"/>
                <w:sz w:val="20"/>
                <w:szCs w:val="20"/>
              </w:rPr>
              <w:t>и, изграждане, тръбопроводи, изолация, дренаж, външни водопроводни инсталации, без машини, централно отопление, кабели, подове, довършителни операции и оборудване. *** Обширно реновиране до пълно модернизиране на голяма част от сградите, изолация, покриви,</w:t>
            </w:r>
            <w:r>
              <w:rPr>
                <w:rFonts w:ascii="Times New Roman" w:hAnsi="Times New Roman"/>
                <w:noProof/>
                <w:color w:val="006100"/>
                <w:sz w:val="20"/>
                <w:szCs w:val="20"/>
              </w:rPr>
              <w:t xml:space="preserve"> прозорци, врати, осветление, подмяна на технологично оборудване (отопление, кабели, електричество, асансьори). Реконструкцията реорганизира вътрешните процеси на болницата и рехабилитира техническото оборудване. Реконструкцията на сградата подлежи на икон</w:t>
            </w:r>
            <w:r>
              <w:rPr>
                <w:rFonts w:ascii="Times New Roman" w:hAnsi="Times New Roman"/>
                <w:noProof/>
                <w:color w:val="006100"/>
                <w:sz w:val="20"/>
                <w:szCs w:val="20"/>
              </w:rPr>
              <w:t xml:space="preserve">омии на първична енергия от над 30 %, които подлежат на мониторинг със сертификати за енергоспестяване.  </w:t>
            </w:r>
          </w:p>
        </w:tc>
      </w:tr>
      <w:tr w:rsidR="00D4086A">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10</w:t>
            </w:r>
          </w:p>
        </w:tc>
        <w:tc>
          <w:tcPr>
            <w:tcW w:w="13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Модерно и достъпно здравеопазване – инвестиции 2 Нова болнична мрежа – строителство, реконструкция и оборудване</w:t>
            </w:r>
          </w:p>
        </w:tc>
        <w:tc>
          <w:tcPr>
            <w:tcW w:w="1636"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418"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p w:rsidR="00D4086A" w:rsidRDefault="00D4086A">
            <w:pPr>
              <w:spacing w:after="0" w:line="240" w:lineRule="auto"/>
              <w:jc w:val="center"/>
              <w:rPr>
                <w:rFonts w:ascii="Times New Roman" w:eastAsia="Times New Roman" w:hAnsi="Times New Roman"/>
                <w:noProof/>
                <w:color w:val="006100"/>
                <w:sz w:val="20"/>
                <w:szCs w:val="20"/>
              </w:rPr>
            </w:pPr>
          </w:p>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Легла, предоставени в </w:t>
            </w:r>
            <w:r>
              <w:rPr>
                <w:rFonts w:ascii="Times New Roman" w:hAnsi="Times New Roman"/>
                <w:noProof/>
                <w:color w:val="006100"/>
                <w:sz w:val="20"/>
                <w:szCs w:val="20"/>
              </w:rPr>
              <w:t>модернизирани болници</w:t>
            </w:r>
          </w:p>
        </w:tc>
        <w:tc>
          <w:tcPr>
            <w:tcW w:w="1984"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992"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2400 </w:t>
            </w: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85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488" w:type="dxa"/>
            <w:tcBorders>
              <w:top w:val="nil"/>
              <w:left w:val="nil"/>
              <w:bottom w:val="single" w:sz="4" w:space="0" w:color="auto"/>
              <w:right w:val="single" w:sz="4" w:space="0" w:color="auto"/>
            </w:tcBorders>
            <w:shd w:val="clear" w:color="auto" w:fill="C6EFCE"/>
            <w:vAlign w:val="center"/>
            <w:hideMark/>
          </w:tcPr>
          <w:p w:rsidR="00D4086A" w:rsidRDefault="00D5307E">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Легла, предоставени в модернизирани болници с капацитет от най-малко 2 400 легла, разбити по 1. Минимум 870 легла в напълно нови болници с пълна годност* в сгради, които отговарят на изискванията за енергийна ефе</w:t>
            </w:r>
            <w:r>
              <w:rPr>
                <w:rFonts w:ascii="Times New Roman" w:hAnsi="Times New Roman"/>
                <w:noProof/>
                <w:color w:val="006100"/>
                <w:sz w:val="20"/>
                <w:szCs w:val="20"/>
              </w:rPr>
              <w:t>ктивност на 25-то място на интервенция, сертифицирано BREEAM 2. Минимум 1 035 легла в напълно нови болници на ниво „груб строеж“ в сгради, отговарящи на изискванията за енергийна ефективност на поле за интервенция 25ter, сертифицирано BREEAM 3. Най-малко 4</w:t>
            </w:r>
            <w:r>
              <w:rPr>
                <w:rFonts w:ascii="Times New Roman" w:hAnsi="Times New Roman"/>
                <w:noProof/>
                <w:color w:val="006100"/>
                <w:sz w:val="20"/>
                <w:szCs w:val="20"/>
              </w:rPr>
              <w:t xml:space="preserve">95 легла в болници след основен ремонт до пълна пригодност в сгради, отговарящи на изискванията за енергийна ефективност на област на интервенция 26а (най-малко 30 % икономии на енергия в сравнение с настоящия статус). </w:t>
            </w:r>
          </w:p>
          <w:p w:rsidR="00D4086A" w:rsidRDefault="00D4086A">
            <w:pPr>
              <w:spacing w:after="240" w:line="240" w:lineRule="auto"/>
              <w:jc w:val="both"/>
              <w:rPr>
                <w:rFonts w:ascii="Times New Roman" w:eastAsia="Times New Roman" w:hAnsi="Times New Roman"/>
                <w:noProof/>
                <w:color w:val="006100"/>
                <w:sz w:val="20"/>
                <w:szCs w:val="20"/>
              </w:rPr>
            </w:pPr>
          </w:p>
        </w:tc>
      </w:tr>
      <w:tr w:rsidR="00D4086A">
        <w:trPr>
          <w:trHeight w:val="1010"/>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w:t>
            </w:r>
          </w:p>
        </w:tc>
        <w:tc>
          <w:tcPr>
            <w:tcW w:w="13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11 – Модерно и достъпно </w:t>
            </w:r>
            <w:r>
              <w:rPr>
                <w:rFonts w:ascii="Times New Roman" w:hAnsi="Times New Roman"/>
                <w:noProof/>
                <w:color w:val="006100"/>
                <w:sz w:val="20"/>
                <w:szCs w:val="20"/>
              </w:rPr>
              <w:t>здравеопазване – инвестиции 3 Цифровизация в здравеопазването</w:t>
            </w:r>
          </w:p>
        </w:tc>
        <w:tc>
          <w:tcPr>
            <w:tcW w:w="1636"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41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Брой болници, свързани с централната система ERP </w:t>
            </w:r>
          </w:p>
        </w:tc>
        <w:tc>
          <w:tcPr>
            <w:tcW w:w="1984"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992"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19</w:t>
            </w: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85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48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19 обществени болници са свързани с централната система ERP, която дава възможност за централизиране на контролните и други процеси в болниците. </w:t>
            </w:r>
          </w:p>
          <w:p w:rsidR="00D4086A" w:rsidRDefault="00D4086A">
            <w:pPr>
              <w:spacing w:after="0" w:line="240" w:lineRule="auto"/>
              <w:jc w:val="center"/>
              <w:rPr>
                <w:rFonts w:ascii="Times New Roman" w:eastAsia="Times New Roman" w:hAnsi="Times New Roman"/>
                <w:noProof/>
                <w:color w:val="006100"/>
                <w:sz w:val="20"/>
                <w:szCs w:val="20"/>
              </w:rPr>
            </w:pPr>
          </w:p>
        </w:tc>
      </w:tr>
      <w:tr w:rsidR="00D4086A">
        <w:trPr>
          <w:trHeight w:val="1414"/>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12</w:t>
            </w:r>
          </w:p>
        </w:tc>
        <w:tc>
          <w:tcPr>
            <w:tcW w:w="13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Модерно и достъпно здравеопазване – инвестиции 3 Цифровизация в здравеопазването</w:t>
            </w:r>
          </w:p>
        </w:tc>
        <w:tc>
          <w:tcPr>
            <w:tcW w:w="1636"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41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Навигационна </w:t>
            </w:r>
            <w:r>
              <w:rPr>
                <w:rFonts w:ascii="Times New Roman" w:hAnsi="Times New Roman"/>
                <w:noProof/>
                <w:color w:val="006100"/>
                <w:sz w:val="20"/>
                <w:szCs w:val="20"/>
              </w:rPr>
              <w:t>система за лечение на предсърдно мъждене в 3 институции за сърдечносъдови заболявания</w:t>
            </w:r>
          </w:p>
        </w:tc>
        <w:tc>
          <w:tcPr>
            <w:tcW w:w="1984"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992"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85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2023</w:t>
            </w:r>
          </w:p>
        </w:tc>
        <w:tc>
          <w:tcPr>
            <w:tcW w:w="348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FF0000"/>
                <w:sz w:val="20"/>
                <w:szCs w:val="20"/>
              </w:rPr>
            </w:pPr>
            <w:r>
              <w:rPr>
                <w:rFonts w:ascii="Times New Roman" w:hAnsi="Times New Roman"/>
                <w:noProof/>
                <w:color w:val="006100"/>
                <w:sz w:val="20"/>
                <w:szCs w:val="20"/>
              </w:rPr>
              <w:t>Целта е 3 института на сърдечносъдови заболявания да се оборудват с навигационна система за лечение на предсърдно мъждене, което ще намали с 65 % времет</w:t>
            </w:r>
            <w:r>
              <w:rPr>
                <w:rFonts w:ascii="Times New Roman" w:hAnsi="Times New Roman"/>
                <w:noProof/>
                <w:color w:val="006100"/>
                <w:sz w:val="20"/>
                <w:szCs w:val="20"/>
              </w:rPr>
              <w:t>о, прекарано в операция на предсърдно мъждене.</w:t>
            </w:r>
          </w:p>
          <w:p w:rsidR="00D4086A" w:rsidRDefault="00D4086A">
            <w:pPr>
              <w:spacing w:after="0" w:line="240" w:lineRule="auto"/>
              <w:jc w:val="center"/>
              <w:rPr>
                <w:rFonts w:ascii="Times New Roman" w:eastAsia="Times New Roman" w:hAnsi="Times New Roman"/>
                <w:noProof/>
                <w:color w:val="006100"/>
                <w:sz w:val="20"/>
                <w:szCs w:val="20"/>
              </w:rPr>
            </w:pPr>
          </w:p>
        </w:tc>
      </w:tr>
      <w:tr w:rsidR="00D4086A">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13</w:t>
            </w:r>
          </w:p>
        </w:tc>
        <w:tc>
          <w:tcPr>
            <w:tcW w:w="13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Модерни и достъпни здравни грижи – Инвестиции 4 Изграждане и рехабилитация на станции за спешна медицинска помощ (услуги за спешна помощ)</w:t>
            </w:r>
          </w:p>
        </w:tc>
        <w:tc>
          <w:tcPr>
            <w:tcW w:w="1636"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41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Брой на изградените или реконструирани станции за спешна </w:t>
            </w:r>
            <w:r>
              <w:rPr>
                <w:rFonts w:ascii="Times New Roman" w:hAnsi="Times New Roman"/>
                <w:noProof/>
                <w:color w:val="006100"/>
                <w:sz w:val="20"/>
                <w:szCs w:val="20"/>
              </w:rPr>
              <w:t>медицинска помощ</w:t>
            </w:r>
          </w:p>
        </w:tc>
        <w:tc>
          <w:tcPr>
            <w:tcW w:w="1984"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992"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55</w:t>
            </w: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85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48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Целта е да се изградят или реконструират местата на станциите за спешна помощ, които ще бъдат разположени в новата мрежа на службите за спешна помощ. Изградените населени места трябва да бъдат разположени в сгради, които</w:t>
            </w:r>
            <w:r>
              <w:rPr>
                <w:rFonts w:ascii="Times New Roman" w:hAnsi="Times New Roman"/>
                <w:noProof/>
                <w:color w:val="006100"/>
                <w:sz w:val="20"/>
                <w:szCs w:val="20"/>
              </w:rPr>
              <w:t xml:space="preserve"> отговарят на изискванията за енергийна ефективност в поле на интервенция 26а (най-малко 30 % икономии на енергия в сравнение с текущото състояние). Новите населени места се настаняват в сгради, които в съответствие с действащата от 1.1.2021 г. наредба тря</w:t>
            </w:r>
            <w:r>
              <w:rPr>
                <w:rFonts w:ascii="Times New Roman" w:hAnsi="Times New Roman"/>
                <w:noProof/>
                <w:color w:val="006100"/>
                <w:sz w:val="20"/>
                <w:szCs w:val="20"/>
              </w:rPr>
              <w:t>бва да отговарят на клас на енергийна ефективност A0.</w:t>
            </w:r>
          </w:p>
          <w:p w:rsidR="00D4086A" w:rsidRDefault="00D5307E">
            <w:pPr>
              <w:spacing w:before="120"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Справедливото географско разпределение се основава на математически модел за симулация, който има за цел да предложи мрежа, при която: (1) 90 процента от населението, до което има достъп в рамките на 15</w:t>
            </w:r>
            <w:r>
              <w:rPr>
                <w:rFonts w:ascii="Times New Roman" w:hAnsi="Times New Roman"/>
                <w:noProof/>
                <w:color w:val="006100"/>
                <w:sz w:val="20"/>
                <w:szCs w:val="20"/>
              </w:rPr>
              <w:t xml:space="preserve"> минути от изпращането (2) 80 % от пациентите с първа кинточасова диагноза трябва да бъдат достигнати в рамките на 8 минути от изпращането (3), като времето за реагиране на станциите трябва да бъде по-кратко от настоящото положение.  </w:t>
            </w:r>
          </w:p>
        </w:tc>
      </w:tr>
      <w:tr w:rsidR="00D4086A">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highlight w:val="green"/>
              </w:rPr>
            </w:pPr>
            <w:r>
              <w:rPr>
                <w:rFonts w:ascii="Times New Roman" w:hAnsi="Times New Roman"/>
                <w:noProof/>
                <w:color w:val="006100"/>
                <w:sz w:val="20"/>
                <w:szCs w:val="20"/>
              </w:rPr>
              <w:t>14</w:t>
            </w:r>
          </w:p>
        </w:tc>
        <w:tc>
          <w:tcPr>
            <w:tcW w:w="13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11 – Модерно и </w:t>
            </w:r>
            <w:r>
              <w:rPr>
                <w:rFonts w:ascii="Times New Roman" w:hAnsi="Times New Roman"/>
                <w:noProof/>
                <w:color w:val="006100"/>
                <w:sz w:val="20"/>
                <w:szCs w:val="20"/>
              </w:rPr>
              <w:t>достъпно здравеопазване – инвестиции 5 Обновяване на автомобилния парк от линейки</w:t>
            </w:r>
          </w:p>
        </w:tc>
        <w:tc>
          <w:tcPr>
            <w:tcW w:w="1636"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41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Покупка на превозни средства </w:t>
            </w:r>
          </w:p>
        </w:tc>
        <w:tc>
          <w:tcPr>
            <w:tcW w:w="1984"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992"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197</w:t>
            </w:r>
          </w:p>
        </w:tc>
        <w:tc>
          <w:tcPr>
            <w:tcW w:w="1134"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850"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3488"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158 линейки, 9 превозни средства за колективен транспорт на хора и 30 бр. превозни средства с намалена подвижност се закупуват и доставят в съответствие с принципа на DNSH. </w:t>
            </w:r>
          </w:p>
          <w:p w:rsidR="00D4086A" w:rsidRDefault="00D5307E">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За превозните средства Rendez-vous се избират типове превозни средства с нулеви ем</w:t>
            </w:r>
            <w:r>
              <w:rPr>
                <w:rFonts w:ascii="Times New Roman" w:hAnsi="Times New Roman"/>
                <w:noProof/>
                <w:color w:val="006100"/>
                <w:sz w:val="20"/>
                <w:szCs w:val="20"/>
              </w:rPr>
              <w:t>исии (електрически/водородни/горивни клетки) или ниски емисии под 50 g CO2/km (хибридни електрически превозни средства с пълнеж). За останалите случаи процедурата за закупуване е, както следва: първо – дизелово гориво, след това хибриден или електрически –</w:t>
            </w:r>
            <w:r>
              <w:rPr>
                <w:rFonts w:ascii="Times New Roman" w:hAnsi="Times New Roman"/>
                <w:noProof/>
                <w:color w:val="006100"/>
                <w:sz w:val="20"/>
                <w:szCs w:val="20"/>
              </w:rPr>
              <w:t xml:space="preserve"> се прилага най-добрата налична технология в категорията превозно средство.</w:t>
            </w:r>
          </w:p>
          <w:p w:rsidR="00D4086A" w:rsidRDefault="00D4086A">
            <w:pPr>
              <w:spacing w:after="0" w:line="240" w:lineRule="auto"/>
              <w:rPr>
                <w:rFonts w:ascii="Times New Roman" w:eastAsia="Times New Roman" w:hAnsi="Times New Roman"/>
                <w:noProof/>
                <w:color w:val="006100"/>
                <w:sz w:val="20"/>
                <w:szCs w:val="20"/>
              </w:rPr>
            </w:pPr>
          </w:p>
          <w:p w:rsidR="00D4086A" w:rsidRDefault="00D4086A">
            <w:pPr>
              <w:spacing w:after="0" w:line="240" w:lineRule="auto"/>
              <w:rPr>
                <w:rFonts w:ascii="Times New Roman" w:eastAsia="Times New Roman" w:hAnsi="Times New Roman"/>
                <w:noProof/>
                <w:color w:val="006100"/>
                <w:sz w:val="20"/>
                <w:szCs w:val="20"/>
              </w:rPr>
            </w:pPr>
          </w:p>
          <w:p w:rsidR="00D4086A" w:rsidRDefault="00D4086A">
            <w:pPr>
              <w:spacing w:after="0" w:line="240" w:lineRule="auto"/>
              <w:rPr>
                <w:rFonts w:ascii="Times New Roman" w:eastAsia="Times New Roman" w:hAnsi="Times New Roman"/>
                <w:noProof/>
                <w:color w:val="006100"/>
                <w:sz w:val="20"/>
                <w:szCs w:val="20"/>
              </w:rPr>
            </w:pPr>
          </w:p>
        </w:tc>
      </w:tr>
    </w:tbl>
    <w:p w:rsidR="00D4086A" w:rsidRDefault="00D5307E">
      <w:pPr>
        <w:spacing w:before="120" w:after="120" w:line="240" w:lineRule="auto"/>
        <w:jc w:val="both"/>
        <w:rPr>
          <w:noProof/>
        </w:rPr>
      </w:pPr>
      <w:r>
        <w:rPr>
          <w:rFonts w:ascii="Times New Roman" w:hAnsi="Times New Roman"/>
          <w:noProof/>
          <w:sz w:val="24"/>
        </w:rPr>
        <w:fldChar w:fldCharType="begin"/>
      </w:r>
      <w:r>
        <w:rPr>
          <w:rFonts w:ascii="Times New Roman" w:hAnsi="Times New Roman"/>
          <w:noProof/>
          <w:sz w:val="24"/>
        </w:rPr>
        <w:instrText xml:space="preserve"> LINK Excel.Sheet.12 "\\\\NET1.cec.eu.int\\homes\\085\\garcpbl\\Desktop\\CID - Components.xlsx" "Sheet9!R1C1:R15C11" \a \f 4 \h </w:instrText>
      </w:r>
      <w:r>
        <w:rPr>
          <w:rFonts w:ascii="Times New Roman" w:hAnsi="Times New Roman"/>
          <w:noProof/>
          <w:sz w:val="24"/>
        </w:rPr>
        <w:fldChar w:fldCharType="separate"/>
      </w:r>
    </w:p>
    <w:p w:rsidR="00D4086A" w:rsidRDefault="00D5307E">
      <w:pPr>
        <w:jc w:val="both"/>
        <w:rPr>
          <w:noProof/>
        </w:rPr>
      </w:pPr>
      <w:r>
        <w:rPr>
          <w:rFonts w:ascii="Times New Roman" w:hAnsi="Times New Roman"/>
          <w:noProof/>
          <w:sz w:val="24"/>
        </w:rPr>
        <w:fldChar w:fldCharType="end"/>
      </w:r>
      <w:r>
        <w:rPr>
          <w:rFonts w:ascii="Times New Roman" w:hAnsi="Times New Roman"/>
          <w:noProof/>
          <w:sz w:val="24"/>
        </w:rPr>
        <w:fldChar w:fldCharType="begin"/>
      </w:r>
      <w:r>
        <w:rPr>
          <w:rFonts w:ascii="Times New Roman" w:hAnsi="Times New Roman"/>
          <w:noProof/>
          <w:sz w:val="24"/>
        </w:rPr>
        <w:instrText xml:space="preserve"> LINK Excel.Sheet.12 "\\\\NET1.cec.eu.int\\homes\\085\\garcpbl\\Desktop\\CID - Components.xlsx" "T1 Mining and targets (11)!R3C1:R17C11" \a \f 4 \h </w:instrText>
      </w:r>
      <w:r>
        <w:rPr>
          <w:rFonts w:ascii="Times New Roman" w:hAnsi="Times New Roman"/>
          <w:noProof/>
          <w:sz w:val="24"/>
        </w:rPr>
        <w:fldChar w:fldCharType="separate"/>
      </w:r>
    </w:p>
    <w:p w:rsidR="00D4086A" w:rsidRDefault="00D5307E">
      <w:pPr>
        <w:jc w:val="both"/>
        <w:rPr>
          <w:rFonts w:ascii="Times New Roman" w:hAnsi="Times New Roman"/>
          <w:noProof/>
          <w:sz w:val="24"/>
        </w:rPr>
      </w:pPr>
      <w:r>
        <w:rPr>
          <w:rFonts w:ascii="Times New Roman" w:hAnsi="Times New Roman"/>
          <w:noProof/>
          <w:sz w:val="24"/>
        </w:rPr>
        <w:fldChar w:fldCharType="end"/>
      </w:r>
    </w:p>
    <w:p w:rsidR="00D4086A" w:rsidRDefault="00D4086A">
      <w:pPr>
        <w:spacing w:before="120" w:after="120" w:line="240" w:lineRule="auto"/>
        <w:jc w:val="both"/>
        <w:rPr>
          <w:rFonts w:ascii="Times New Roman" w:hAnsi="Times New Roman"/>
          <w:noProof/>
          <w:sz w:val="24"/>
        </w:rPr>
        <w:sectPr w:rsidR="00D4086A">
          <w:headerReference w:type="even" r:id="rId144"/>
          <w:headerReference w:type="default" r:id="rId145"/>
          <w:footerReference w:type="even" r:id="rId146"/>
          <w:footerReference w:type="default" r:id="rId147"/>
          <w:headerReference w:type="first" r:id="rId148"/>
          <w:footerReference w:type="first" r:id="rId149"/>
          <w:pgSz w:w="16839" w:h="11907" w:orient="landscape"/>
          <w:pgMar w:top="568" w:right="1134" w:bottom="1418" w:left="1134" w:header="709" w:footer="709" w:gutter="0"/>
          <w:cols w:space="720"/>
          <w:docGrid w:linePitch="360"/>
        </w:sectPr>
      </w:pPr>
    </w:p>
    <w:p w:rsidR="00D4086A" w:rsidRDefault="00D5307E">
      <w:pPr>
        <w:keepNext/>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КОМПОНЕНТ 12: Грижи за човешкото, модерното и </w:t>
      </w:r>
      <w:r>
        <w:rPr>
          <w:rFonts w:ascii="Times New Roman" w:hAnsi="Times New Roman"/>
          <w:b/>
          <w:smallCaps/>
          <w:noProof/>
          <w:sz w:val="24"/>
        </w:rPr>
        <w:t>достъпно психично здраве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Целта на компонента на словашкия план за възстановяване и устойчивост е да се насърчат системните подобрения в областта на грижите за психичното здраве в Словакия, подкрепени от сътрудничество между различни сектори на публичната а</w:t>
      </w:r>
      <w:r>
        <w:rPr>
          <w:rFonts w:ascii="Times New Roman" w:hAnsi="Times New Roman"/>
          <w:noProof/>
          <w:sz w:val="24"/>
        </w:rPr>
        <w:t>дминистрация и професионалните организации. Мерките имат за цел модернизиране на психиатричните и психологическите социално-медицински грижи, насърчаване на психичното здраве и превенцията на психичните разстройства сред населението като цяло, укрепване на</w:t>
      </w:r>
      <w:r>
        <w:rPr>
          <w:rFonts w:ascii="Times New Roman" w:hAnsi="Times New Roman"/>
          <w:noProof/>
          <w:sz w:val="24"/>
        </w:rPr>
        <w:t xml:space="preserve"> социално-медицинските грижи и увеличаване на достъпността им.</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w:t>
      </w:r>
      <w:r>
        <w:rPr>
          <w:rFonts w:ascii="Times New Roman" w:hAnsi="Times New Roman"/>
          <w:noProof/>
          <w:sz w:val="24"/>
          <w:szCs w:val="24"/>
        </w:rPr>
        <w:t xml:space="preserve">ъзстановяване и устойчивост в съответствие с Техническите насоки на DNSH (2021/C58/01).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Мерките в този компонент ще допринесат за изпълнението на специфичните за всяка държава препоръки към Словакия, по-специално по отношение на устойчивостта на системат</w:t>
      </w:r>
      <w:r>
        <w:rPr>
          <w:rFonts w:ascii="Times New Roman" w:hAnsi="Times New Roman"/>
          <w:noProof/>
          <w:sz w:val="24"/>
        </w:rPr>
        <w:t>а на здравеопазване и координацията между видовете грижи (специфична за всяка държава препоръка 1, 2020 г.) и дългосрочните грижи (специфична за всяка държава препоръка 2, 2019 г.).</w:t>
      </w:r>
    </w:p>
    <w:p w:rsidR="00D4086A" w:rsidRDefault="00D4086A">
      <w:pPr>
        <w:spacing w:before="120" w:after="120" w:line="240" w:lineRule="auto"/>
        <w:jc w:val="both"/>
        <w:rPr>
          <w:rFonts w:ascii="Times New Roman" w:hAnsi="Times New Roman"/>
          <w:noProof/>
          <w:sz w:val="24"/>
        </w:rPr>
      </w:pPr>
    </w:p>
    <w:p w:rsidR="00D4086A" w:rsidRDefault="00D5307E">
      <w:pPr>
        <w:spacing w:before="120" w:after="120" w:line="240" w:lineRule="auto"/>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Описание на реформите и инвестициите за безвъзмездна финансова подк</w:t>
      </w:r>
      <w:r>
        <w:rPr>
          <w:rFonts w:ascii="Times New Roman" w:hAnsi="Times New Roman"/>
          <w:b/>
          <w:noProof/>
          <w:sz w:val="24"/>
          <w:u w:val="single"/>
        </w:rPr>
        <w:t>репа</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Реформа 1: Координирано междуведомствено сътрудничество и регулиране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Целта на тази реформа е да се координира политиката в областта на психичното здраве и да се подобри сътрудничеството между различните сектори на публичната администрация. Това се изв</w:t>
      </w:r>
      <w:r>
        <w:rPr>
          <w:rFonts w:ascii="Times New Roman" w:hAnsi="Times New Roman"/>
          <w:noProof/>
          <w:sz w:val="24"/>
        </w:rPr>
        <w:t xml:space="preserve">ършва чрез: </w:t>
      </w:r>
    </w:p>
    <w:p w:rsidR="00D4086A" w:rsidRDefault="00D5307E">
      <w:pPr>
        <w:numPr>
          <w:ilvl w:val="0"/>
          <w:numId w:val="30"/>
        </w:numPr>
        <w:spacing w:before="120" w:after="120" w:line="240" w:lineRule="auto"/>
        <w:ind w:left="0"/>
        <w:jc w:val="both"/>
        <w:rPr>
          <w:rFonts w:ascii="Times New Roman" w:hAnsi="Times New Roman"/>
          <w:noProof/>
          <w:sz w:val="24"/>
        </w:rPr>
      </w:pPr>
      <w:r>
        <w:rPr>
          <w:rFonts w:ascii="Times New Roman" w:hAnsi="Times New Roman"/>
          <w:noProof/>
          <w:sz w:val="24"/>
        </w:rPr>
        <w:t>създаване на междуведомствен координационен орган, отговарящ за психичното здраве. Съветът на правителството за психично здраве трябваше да бъде създаден на 24 февруари 2021 г. Реформата включва привеждане в действие на нейното управление. Едн</w:t>
      </w:r>
      <w:r>
        <w:rPr>
          <w:rFonts w:ascii="Times New Roman" w:hAnsi="Times New Roman"/>
          <w:noProof/>
          <w:sz w:val="24"/>
        </w:rPr>
        <w:t xml:space="preserve">а от първите задачи на Съвета е да координира изготвянето на националната програма за психично здраве за периода 2022—2030 г., която се представя на правителството за одобрение до 31 декември 2022 г. </w:t>
      </w:r>
    </w:p>
    <w:p w:rsidR="00D4086A" w:rsidRDefault="00D5307E">
      <w:pPr>
        <w:numPr>
          <w:ilvl w:val="0"/>
          <w:numId w:val="30"/>
        </w:numPr>
        <w:spacing w:before="120" w:after="120" w:line="240" w:lineRule="auto"/>
        <w:ind w:left="0"/>
        <w:jc w:val="both"/>
        <w:rPr>
          <w:rFonts w:ascii="Times New Roman" w:hAnsi="Times New Roman"/>
          <w:noProof/>
          <w:sz w:val="24"/>
        </w:rPr>
      </w:pPr>
      <w:r>
        <w:rPr>
          <w:rFonts w:ascii="Times New Roman" w:hAnsi="Times New Roman"/>
          <w:noProof/>
          <w:sz w:val="24"/>
        </w:rPr>
        <w:t xml:space="preserve">създаване на професионална организация на психолозите, </w:t>
      </w:r>
      <w:r>
        <w:rPr>
          <w:rFonts w:ascii="Times New Roman" w:hAnsi="Times New Roman"/>
          <w:noProof/>
          <w:sz w:val="24"/>
        </w:rPr>
        <w:t>чиято основна цел е да се повиши професионализмът и да се осигури регулиране на образованието, дисциплинарния надзор и предоставянето на правна помощ за тези професии, независимо от сектора, в който те се извършват.</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С цел по-добро насочване на тази реформа</w:t>
      </w:r>
      <w:r>
        <w:rPr>
          <w:rFonts w:ascii="Times New Roman" w:hAnsi="Times New Roman"/>
          <w:noProof/>
          <w:sz w:val="24"/>
        </w:rPr>
        <w:t xml:space="preserve"> и инвестициите в този компонент, до 31 декември 2022 г. се изготвя първото епидемиологично изследване в областта на психичните разстройства. Това проучване представя карта на настоящата епидемиологична ситуация с психичните разстройства в Словакия.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w:t>
      </w:r>
      <w:r>
        <w:rPr>
          <w:rFonts w:ascii="Times New Roman" w:hAnsi="Times New Roman"/>
          <w:noProof/>
          <w:sz w:val="24"/>
        </w:rPr>
        <w:t>нението на реформата приключва до 30 юни 2025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Реформа 2: Развитие на области с остър подценен капацитет в областта на грижите за психичното здраве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Целта на тази реформа е да се развият достъпни социално-медицински грижи за психичното здраве с акцент вър</w:t>
      </w:r>
      <w:r>
        <w:rPr>
          <w:rFonts w:ascii="Times New Roman" w:hAnsi="Times New Roman"/>
          <w:noProof/>
          <w:sz w:val="24"/>
        </w:rPr>
        <w:t>ху увеличаването на обхвата на грижите в общността. Това се постига, като се даде приоритет на картографирането на крайно оскъдните услуги в Словакия и се разработи стратегия за тяхното приоритетно развитие.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31 декемв</w:t>
      </w:r>
      <w:r>
        <w:rPr>
          <w:rFonts w:ascii="Times New Roman" w:hAnsi="Times New Roman"/>
          <w:noProof/>
          <w:sz w:val="24"/>
        </w:rPr>
        <w:t>ри 2025 г.</w:t>
      </w:r>
    </w:p>
    <w:p w:rsidR="00D4086A" w:rsidRDefault="00D4086A">
      <w:pPr>
        <w:spacing w:before="120" w:after="120" w:line="240" w:lineRule="auto"/>
        <w:jc w:val="both"/>
        <w:rPr>
          <w:rFonts w:ascii="Times New Roman" w:hAnsi="Times New Roman"/>
          <w:noProof/>
          <w:sz w:val="24"/>
        </w:rPr>
      </w:pP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Реформа 3: Модернизиране на диагностичните методи и лечения</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Целта на тази реформа е да се осигури цялостна модернизация на стандартните диагностични и терапевтични процедури и да се гарантира тяхното прилагане на практика. Създават се работни </w:t>
      </w:r>
      <w:r>
        <w:rPr>
          <w:rFonts w:ascii="Times New Roman" w:hAnsi="Times New Roman"/>
          <w:noProof/>
          <w:sz w:val="24"/>
        </w:rPr>
        <w:t>групи за преглед на международните психодиагностични методи за различните възрастови групи и различни приложения и се правят препоръки за адаптиране на националните методи. Създава се работна група за определяне на специфични институционални психиатрични з</w:t>
      </w:r>
      <w:r>
        <w:rPr>
          <w:rFonts w:ascii="Times New Roman" w:hAnsi="Times New Roman"/>
          <w:noProof/>
          <w:sz w:val="24"/>
        </w:rPr>
        <w:t>аведения, в които се осъществява хуманизация и подмяна на леглата в загражденията.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30 юни 2025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1: Управление на проекти и подготовка на инвестиции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Създава се изпълнително звено за управление </w:t>
      </w:r>
      <w:r>
        <w:rPr>
          <w:rFonts w:ascii="Times New Roman" w:hAnsi="Times New Roman"/>
          <w:noProof/>
          <w:sz w:val="24"/>
        </w:rPr>
        <w:t>на инвестиционни проекти в рамките на плана за възстановяване и устойчивост, което обхваща медицинското, процедурно и информационно-технологичното проектиране на тези здравни заведения. Предприятието координира проектантските и инженерните дейности, центра</w:t>
      </w:r>
      <w:r>
        <w:rPr>
          <w:rFonts w:ascii="Times New Roman" w:hAnsi="Times New Roman"/>
          <w:noProof/>
          <w:sz w:val="24"/>
        </w:rPr>
        <w:t>лния подбор на изпълнител, сътрудничи при организирането на строителни и контролни дейности с цел постигане на икономии от мащаба и спестяване на време.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30 юни 2026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2: Създаване на центрове з</w:t>
      </w:r>
      <w:r>
        <w:rPr>
          <w:rFonts w:ascii="Times New Roman" w:hAnsi="Times New Roman"/>
          <w:b/>
          <w:noProof/>
          <w:sz w:val="24"/>
        </w:rPr>
        <w:t>а задържане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Целта е да се осигурят подходящи грижи за малка група психиатрични пациенти, извършили тежки престъпления. Създаването на центрове за задържане не е част от процеса на деинституционализация, а е необходима и допълнителна мярка за безопасност и </w:t>
      </w:r>
      <w:r>
        <w:rPr>
          <w:rFonts w:ascii="Times New Roman" w:hAnsi="Times New Roman"/>
          <w:noProof/>
          <w:sz w:val="24"/>
        </w:rPr>
        <w:t>здравеопазване за малка група пациенти.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Създават се два центъра за задържане с капацитет от 75 легла, като единият вече е в процес на изграждане.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31 декември 2025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3: Изграждане на психо-социа</w:t>
      </w:r>
      <w:r>
        <w:rPr>
          <w:rFonts w:ascii="Times New Roman" w:hAnsi="Times New Roman"/>
          <w:b/>
          <w:noProof/>
          <w:sz w:val="24"/>
        </w:rPr>
        <w:t>лни центрове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Целта на тази мярка е да се осигурят подходящи грижи за пациентите в дома им от мобилни екипи, като по този начин се ограничи настаняването в институционални съоръжения или се подобри качеството на живот в тези заведения. Мярката предотвратява</w:t>
      </w:r>
      <w:r>
        <w:rPr>
          <w:rFonts w:ascii="Times New Roman" w:hAnsi="Times New Roman"/>
          <w:noProof/>
          <w:sz w:val="24"/>
        </w:rPr>
        <w:t xml:space="preserve"> необходимостта от или намалява продължителността на хоспитализацията. Мярката е насочена към възрастни и педиатрични пациенти с ограничена социална адаптация.</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Центровете предоставят здравни и социални услуги чрез мултидисциплинарен екип (психиатър, психол</w:t>
      </w:r>
      <w:r>
        <w:rPr>
          <w:rFonts w:ascii="Times New Roman" w:hAnsi="Times New Roman"/>
          <w:noProof/>
          <w:sz w:val="24"/>
          <w:szCs w:val="24"/>
        </w:rPr>
        <w:t>ог, медицинска сестра, социален работник, специален и терапевтичен възпитател). Създават се общо 38 центъра. При реновирането на сгради минималната цел е да се постигне средно спестяване на първична енергия от 30 %.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w:t>
      </w:r>
      <w:r>
        <w:rPr>
          <w:rFonts w:ascii="Times New Roman" w:hAnsi="Times New Roman"/>
          <w:noProof/>
          <w:sz w:val="24"/>
        </w:rPr>
        <w:t>риключи до 31 декември 2025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4: Завършване на психиатричната неподвижна мрежа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Целта на тази инвестиция е да се завърши мрежата от психиатрични стационарни съоръжения, като се предоставят ежедневни психиатрични грижи като междинна стъпка между институционалните и амбулаторните психиатрични грижи.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Изграждат се общо 15 стационарни съо</w:t>
      </w:r>
      <w:r>
        <w:rPr>
          <w:rFonts w:ascii="Times New Roman" w:hAnsi="Times New Roman"/>
          <w:noProof/>
          <w:sz w:val="24"/>
          <w:szCs w:val="24"/>
        </w:rPr>
        <w:t>ръжения. При реновирането на сгради минималната цел е да се постигне средно спестяване на първична енергия от 30 %.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31 декември 2025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Инвестиция 5: Създаване на специализирани центрове за разстройства на</w:t>
      </w:r>
      <w:r>
        <w:rPr>
          <w:rFonts w:ascii="Times New Roman" w:hAnsi="Times New Roman"/>
          <w:b/>
          <w:noProof/>
          <w:sz w:val="24"/>
        </w:rPr>
        <w:t xml:space="preserve"> аутистичния спектър</w:t>
      </w:r>
      <w:r>
        <w:rPr>
          <w:rFonts w:ascii="Times New Roman" w:hAnsi="Times New Roman"/>
          <w:noProof/>
          <w:sz w:val="24"/>
        </w:rPr>
        <w:t xml:space="preserve">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Целта е да се увеличи наличието на специализирани заведения за грижи за разстройства на аутистичния спектър, за да се гарантира подходящо лечение на това заболяване. Създават се общо 3 нови центъра за диагностична интервенция за хора </w:t>
      </w:r>
      <w:r>
        <w:rPr>
          <w:rFonts w:ascii="Times New Roman" w:hAnsi="Times New Roman"/>
          <w:noProof/>
          <w:sz w:val="24"/>
        </w:rPr>
        <w:t>с разстройства на аутистичния спектър. Персоналът трябва да бъде обучен по най-новите диагностични и интервенционни методи за това заболяване.</w:t>
      </w:r>
      <w:r>
        <w:rPr>
          <w:rFonts w:ascii="Times New Roman" w:hAnsi="Times New Roman"/>
          <w:noProof/>
          <w:sz w:val="24"/>
          <w:szCs w:val="24"/>
        </w:rPr>
        <w:t xml:space="preserve"> При реновирането на сгради минималната цел е да се постигне средно спестяване на първична енергия от 30 %.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w:t>
      </w:r>
      <w:r>
        <w:rPr>
          <w:rFonts w:ascii="Times New Roman" w:hAnsi="Times New Roman"/>
          <w:noProof/>
          <w:sz w:val="24"/>
        </w:rPr>
        <w:t>ението на инвестицията трябва да приключи до 31 декември 2025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6: Създаване на хранилище за психодиагностични методи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Целта е да се създаде актуализирано хранилище с психодиагностични методи, които да са на разположение на специалистите и на за</w:t>
      </w:r>
      <w:r>
        <w:rPr>
          <w:rFonts w:ascii="Times New Roman" w:hAnsi="Times New Roman"/>
          <w:noProof/>
          <w:sz w:val="24"/>
        </w:rPr>
        <w:t>веденията за психологическа помощ. Наличните понастоящем методи се преразглеждат и актуализират. Липсващите методи се допълват от придобиването и превода на чуждоезикови методи. Хранилището се управлява от компетентната професионална организация (Словашкат</w:t>
      </w:r>
      <w:r>
        <w:rPr>
          <w:rFonts w:ascii="Times New Roman" w:hAnsi="Times New Roman"/>
          <w:noProof/>
          <w:sz w:val="24"/>
        </w:rPr>
        <w:t>а асоциация на психолозите) и включва цифрова версия, достъпна онлайн.</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За да се смекчат последиците от кризата, предизвикана от COVID-19, по време на пандемията се използва национална линия за насърчаване на психичното здраве, която предоставя психологичес</w:t>
      </w:r>
      <w:r>
        <w:rPr>
          <w:rFonts w:ascii="Times New Roman" w:hAnsi="Times New Roman"/>
          <w:noProof/>
          <w:sz w:val="24"/>
        </w:rPr>
        <w:t>ка подкрепа по телефона и онлайн.</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30 юни 2025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 xml:space="preserve">Инвестиция 7: Хуманизиране на институционалните психиатрични грижи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Целта на инвестицията е реновиране на институционалните психиатрични заведения с цел под</w:t>
      </w:r>
      <w:r>
        <w:rPr>
          <w:rFonts w:ascii="Times New Roman" w:hAnsi="Times New Roman"/>
          <w:noProof/>
          <w:sz w:val="24"/>
        </w:rPr>
        <w:t>обряване на условията за хоспитализация. Това се постига чрез намаляване на броя на пациентите в стая с независими санитарни възли. Общият капацитет на пациентите остава непроменен. Друга мярка е подмяната на леглата на заграждението с обезопасени изолацио</w:t>
      </w:r>
      <w:r>
        <w:rPr>
          <w:rFonts w:ascii="Times New Roman" w:hAnsi="Times New Roman"/>
          <w:noProof/>
          <w:sz w:val="24"/>
        </w:rPr>
        <w:t xml:space="preserve">нни помещения.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Ремонтът се извършва при общ капацитет за 244 пациенти. При реновирането на сгради минималната цел е да се постигне средно спестяване на първична енергия от 30 %.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31 декември 2025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Инвестиция 8: Обучение на персонала в областта на психичното здраве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Целта на тази инвестиция е да се увеличи броят на професионалния персонал с модерно образование, като се даде възможност за увеличаване на наличността и качеството на предоставяните грижи.</w:t>
      </w:r>
      <w:r>
        <w:rPr>
          <w:rFonts w:ascii="Times New Roman" w:hAnsi="Times New Roman"/>
          <w:noProof/>
          <w:sz w:val="24"/>
        </w:rPr>
        <w:t xml:space="preserve"> Целта се постига чрез актуализиране на учебните програми спрямо изискванията на съвременните практики и въвеждане на нови видове грижи. Законодателните пречки пред признаването на чуждестранни квалификации се премахват и клиничните обучения в сектора на з</w:t>
      </w:r>
      <w:r>
        <w:rPr>
          <w:rFonts w:ascii="Times New Roman" w:hAnsi="Times New Roman"/>
          <w:noProof/>
          <w:sz w:val="24"/>
        </w:rPr>
        <w:t>дравеопазването се предоставят на специалистите в областта на психичното здраве от всички сектори. На работещите в сектора на здравеопазването, както и на специалистите извън сектора на здравеопазването, се предоставя преквалификация в областта на психично</w:t>
      </w:r>
      <w:r>
        <w:rPr>
          <w:rFonts w:ascii="Times New Roman" w:hAnsi="Times New Roman"/>
          <w:noProof/>
          <w:sz w:val="24"/>
        </w:rPr>
        <w:t>то здраве.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Общо най-малко 900 работници в сектора на здравеопазването се преквалифицират в различни видове програми в областта на психичното здраве.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тази мярка приключва до 30 юни 2025 г.</w:t>
      </w:r>
    </w:p>
    <w:p w:rsidR="00D4086A" w:rsidRDefault="00D4086A">
      <w:pPr>
        <w:spacing w:before="120" w:after="120" w:line="240" w:lineRule="auto"/>
        <w:jc w:val="both"/>
        <w:rPr>
          <w:rFonts w:ascii="Times New Roman" w:hAnsi="Times New Roman"/>
          <w:noProof/>
          <w:sz w:val="24"/>
        </w:rPr>
      </w:pPr>
    </w:p>
    <w:p w:rsidR="00D4086A" w:rsidRDefault="00D4086A">
      <w:pPr>
        <w:spacing w:before="120" w:after="120" w:line="240" w:lineRule="auto"/>
        <w:ind w:left="850"/>
        <w:jc w:val="both"/>
        <w:rPr>
          <w:rFonts w:ascii="Times New Roman" w:hAnsi="Times New Roman"/>
          <w:noProof/>
          <w:sz w:val="24"/>
        </w:rPr>
      </w:pPr>
    </w:p>
    <w:p w:rsidR="00D4086A" w:rsidRDefault="00D4086A">
      <w:pPr>
        <w:spacing w:before="120" w:after="120" w:line="240" w:lineRule="auto"/>
        <w:jc w:val="both"/>
        <w:rPr>
          <w:rFonts w:ascii="Times New Roman" w:hAnsi="Times New Roman"/>
          <w:b/>
          <w:noProof/>
          <w:sz w:val="24"/>
          <w:u w:val="single"/>
        </w:rPr>
      </w:pPr>
    </w:p>
    <w:p w:rsidR="00D4086A" w:rsidRDefault="00D4086A">
      <w:pPr>
        <w:spacing w:before="120" w:after="120" w:line="240" w:lineRule="auto"/>
        <w:ind w:left="850"/>
        <w:jc w:val="both"/>
        <w:rPr>
          <w:rFonts w:ascii="Times New Roman" w:hAnsi="Times New Roman"/>
          <w:b/>
          <w:noProof/>
          <w:sz w:val="24"/>
          <w:u w:val="single"/>
        </w:rPr>
        <w:sectPr w:rsidR="00D4086A">
          <w:headerReference w:type="even" r:id="rId150"/>
          <w:headerReference w:type="default" r:id="rId151"/>
          <w:footerReference w:type="even" r:id="rId152"/>
          <w:footerReference w:type="default" r:id="rId153"/>
          <w:headerReference w:type="first" r:id="rId154"/>
          <w:footerReference w:type="first" r:id="rId155"/>
          <w:pgSz w:w="11907" w:h="16839"/>
          <w:pgMar w:top="1134" w:right="1418" w:bottom="1134" w:left="1418" w:header="709" w:footer="709" w:gutter="0"/>
          <w:cols w:space="720"/>
          <w:docGrid w:linePitch="360"/>
        </w:sectPr>
      </w:pPr>
    </w:p>
    <w:p w:rsidR="00D4086A" w:rsidRDefault="00D5307E">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Ключови етапи, цели, показатели и график за мониторинг и изпълнение на безвъзмездната финансова подкрепа</w:t>
      </w:r>
    </w:p>
    <w:p w:rsidR="00D4086A" w:rsidRDefault="00D4086A">
      <w:pPr>
        <w:spacing w:before="120" w:after="120" w:line="240" w:lineRule="auto"/>
        <w:ind w:left="850"/>
        <w:jc w:val="both"/>
        <w:rPr>
          <w:rFonts w:ascii="Times New Roman" w:hAnsi="Times New Roman"/>
          <w:i/>
          <w:iCs/>
          <w:noProof/>
          <w:color w:val="4F81BD"/>
          <w:sz w:val="24"/>
        </w:rPr>
      </w:pPr>
    </w:p>
    <w:tbl>
      <w:tblPr>
        <w:tblW w:w="15877" w:type="dxa"/>
        <w:tblInd w:w="-459" w:type="dxa"/>
        <w:tblLook w:val="04A0" w:firstRow="1" w:lastRow="0" w:firstColumn="1" w:lastColumn="0" w:noHBand="0" w:noVBand="1"/>
      </w:tblPr>
      <w:tblGrid>
        <w:gridCol w:w="689"/>
        <w:gridCol w:w="1904"/>
        <w:gridCol w:w="1050"/>
        <w:gridCol w:w="1904"/>
        <w:gridCol w:w="1649"/>
        <w:gridCol w:w="2185"/>
        <w:gridCol w:w="905"/>
        <w:gridCol w:w="1007"/>
        <w:gridCol w:w="1296"/>
        <w:gridCol w:w="875"/>
        <w:gridCol w:w="2413"/>
      </w:tblGrid>
      <w:tr w:rsidR="00D4086A">
        <w:trPr>
          <w:trHeight w:val="900"/>
        </w:trPr>
        <w:tc>
          <w:tcPr>
            <w:tcW w:w="689" w:type="dxa"/>
            <w:vMerge w:val="restart"/>
            <w:tcBorders>
              <w:top w:val="single" w:sz="4" w:space="0" w:color="auto"/>
              <w:left w:val="single" w:sz="4" w:space="0" w:color="auto"/>
              <w:right w:val="single" w:sz="4" w:space="0" w:color="auto"/>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w:t>
            </w:r>
          </w:p>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605" w:type="dxa"/>
            <w:vMerge w:val="restart"/>
            <w:tcBorders>
              <w:top w:val="single" w:sz="4" w:space="0" w:color="auto"/>
              <w:left w:val="nil"/>
              <w:right w:val="single" w:sz="4" w:space="0" w:color="auto"/>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Свързана мярка (реформа или инвестиция)</w:t>
            </w:r>
          </w:p>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050" w:type="dxa"/>
            <w:vMerge w:val="restart"/>
            <w:tcBorders>
              <w:top w:val="single" w:sz="4" w:space="0" w:color="auto"/>
              <w:left w:val="nil"/>
              <w:right w:val="single" w:sz="4" w:space="0" w:color="auto"/>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Ключов етап / Цел</w:t>
            </w:r>
          </w:p>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611" w:type="dxa"/>
            <w:vMerge w:val="restart"/>
            <w:tcBorders>
              <w:top w:val="single" w:sz="4" w:space="0" w:color="auto"/>
              <w:left w:val="nil"/>
              <w:right w:val="single" w:sz="4" w:space="0" w:color="auto"/>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Наименование</w:t>
            </w:r>
          </w:p>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649" w:type="dxa"/>
            <w:vMerge w:val="restart"/>
            <w:tcBorders>
              <w:top w:val="single" w:sz="4" w:space="0" w:color="auto"/>
              <w:left w:val="nil"/>
              <w:right w:val="single" w:sz="4" w:space="0" w:color="auto"/>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Качествени показатели (за ключовите етапи)</w:t>
            </w:r>
          </w:p>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4097" w:type="dxa"/>
            <w:gridSpan w:val="3"/>
            <w:tcBorders>
              <w:top w:val="single" w:sz="4" w:space="0" w:color="auto"/>
              <w:left w:val="nil"/>
              <w:bottom w:val="single" w:sz="4" w:space="0" w:color="auto"/>
              <w:right w:val="single" w:sz="4" w:space="0" w:color="000000"/>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Качествени показатели (за целите)</w:t>
            </w:r>
          </w:p>
        </w:tc>
        <w:tc>
          <w:tcPr>
            <w:tcW w:w="1554" w:type="dxa"/>
            <w:gridSpan w:val="2"/>
            <w:tcBorders>
              <w:top w:val="single" w:sz="4" w:space="0" w:color="auto"/>
              <w:left w:val="nil"/>
              <w:bottom w:val="single" w:sz="4" w:space="0" w:color="auto"/>
              <w:right w:val="single" w:sz="4" w:space="0" w:color="000000"/>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 xml:space="preserve">Ориентировъчен график за приключване </w:t>
            </w:r>
          </w:p>
        </w:tc>
        <w:tc>
          <w:tcPr>
            <w:tcW w:w="3622" w:type="dxa"/>
            <w:vMerge w:val="restart"/>
            <w:tcBorders>
              <w:top w:val="single" w:sz="4" w:space="0" w:color="auto"/>
              <w:left w:val="nil"/>
              <w:right w:val="single" w:sz="4" w:space="0" w:color="auto"/>
            </w:tcBorders>
            <w:shd w:val="clear" w:color="B4C7E7"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Описание и ясно определяне на всеки ключов етап и цел</w:t>
            </w:r>
          </w:p>
          <w:p w:rsidR="00D4086A" w:rsidRDefault="00D5307E">
            <w:pPr>
              <w:spacing w:after="0"/>
              <w:rPr>
                <w:rFonts w:ascii="Times New Roman" w:eastAsia="Times New Roman" w:hAnsi="Times New Roman"/>
                <w:b/>
                <w:noProof/>
                <w:sz w:val="20"/>
                <w:szCs w:val="20"/>
              </w:rPr>
            </w:pPr>
            <w:r>
              <w:rPr>
                <w:rFonts w:ascii="Times New Roman" w:hAnsi="Times New Roman"/>
                <w:noProof/>
                <w:sz w:val="20"/>
                <w:szCs w:val="20"/>
              </w:rPr>
              <w:t> </w:t>
            </w:r>
          </w:p>
        </w:tc>
      </w:tr>
      <w:tr w:rsidR="00D4086A">
        <w:trPr>
          <w:trHeight w:val="983"/>
        </w:trPr>
        <w:tc>
          <w:tcPr>
            <w:tcW w:w="689" w:type="dxa"/>
            <w:vMerge/>
            <w:tcBorders>
              <w:left w:val="single" w:sz="4" w:space="0" w:color="auto"/>
              <w:bottom w:val="single" w:sz="4" w:space="0" w:color="auto"/>
              <w:right w:val="single" w:sz="4" w:space="0" w:color="auto"/>
            </w:tcBorders>
            <w:shd w:val="clear" w:color="000000" w:fill="BDD7EE"/>
            <w:vAlign w:val="center"/>
            <w:hideMark/>
          </w:tcPr>
          <w:p w:rsidR="00D4086A" w:rsidRDefault="00D4086A">
            <w:pPr>
              <w:spacing w:after="0"/>
              <w:jc w:val="center"/>
              <w:rPr>
                <w:rFonts w:ascii="Times New Roman" w:eastAsia="Times New Roman" w:hAnsi="Times New Roman"/>
                <w:b/>
                <w:noProof/>
                <w:sz w:val="20"/>
                <w:szCs w:val="20"/>
              </w:rPr>
            </w:pPr>
          </w:p>
        </w:tc>
        <w:tc>
          <w:tcPr>
            <w:tcW w:w="1605" w:type="dxa"/>
            <w:vMerge/>
            <w:tcBorders>
              <w:left w:val="nil"/>
              <w:bottom w:val="single" w:sz="4" w:space="0" w:color="auto"/>
              <w:right w:val="single" w:sz="4" w:space="0" w:color="auto"/>
            </w:tcBorders>
            <w:shd w:val="clear" w:color="000000" w:fill="BDD7EE"/>
            <w:vAlign w:val="center"/>
            <w:hideMark/>
          </w:tcPr>
          <w:p w:rsidR="00D4086A" w:rsidRDefault="00D4086A">
            <w:pPr>
              <w:spacing w:after="0"/>
              <w:jc w:val="center"/>
              <w:rPr>
                <w:rFonts w:ascii="Times New Roman" w:eastAsia="Times New Roman" w:hAnsi="Times New Roman"/>
                <w:b/>
                <w:noProof/>
                <w:sz w:val="20"/>
                <w:szCs w:val="20"/>
              </w:rPr>
            </w:pPr>
          </w:p>
        </w:tc>
        <w:tc>
          <w:tcPr>
            <w:tcW w:w="1050" w:type="dxa"/>
            <w:vMerge/>
            <w:tcBorders>
              <w:left w:val="nil"/>
              <w:bottom w:val="single" w:sz="4" w:space="0" w:color="auto"/>
              <w:right w:val="single" w:sz="4" w:space="0" w:color="auto"/>
            </w:tcBorders>
            <w:shd w:val="clear" w:color="000000" w:fill="BDD7EE"/>
            <w:vAlign w:val="center"/>
            <w:hideMark/>
          </w:tcPr>
          <w:p w:rsidR="00D4086A" w:rsidRDefault="00D4086A">
            <w:pPr>
              <w:spacing w:after="0"/>
              <w:jc w:val="center"/>
              <w:rPr>
                <w:rFonts w:ascii="Times New Roman" w:eastAsia="Times New Roman" w:hAnsi="Times New Roman"/>
                <w:b/>
                <w:noProof/>
                <w:sz w:val="20"/>
                <w:szCs w:val="20"/>
              </w:rPr>
            </w:pPr>
          </w:p>
        </w:tc>
        <w:tc>
          <w:tcPr>
            <w:tcW w:w="1611" w:type="dxa"/>
            <w:vMerge/>
            <w:tcBorders>
              <w:left w:val="nil"/>
              <w:bottom w:val="single" w:sz="4" w:space="0" w:color="auto"/>
              <w:right w:val="single" w:sz="4" w:space="0" w:color="auto"/>
            </w:tcBorders>
            <w:shd w:val="clear" w:color="000000" w:fill="BDD7EE"/>
            <w:vAlign w:val="center"/>
            <w:hideMark/>
          </w:tcPr>
          <w:p w:rsidR="00D4086A" w:rsidRDefault="00D4086A">
            <w:pPr>
              <w:spacing w:after="0"/>
              <w:jc w:val="center"/>
              <w:rPr>
                <w:rFonts w:ascii="Times New Roman" w:eastAsia="Times New Roman" w:hAnsi="Times New Roman"/>
                <w:b/>
                <w:noProof/>
                <w:sz w:val="20"/>
                <w:szCs w:val="20"/>
              </w:rPr>
            </w:pPr>
          </w:p>
        </w:tc>
        <w:tc>
          <w:tcPr>
            <w:tcW w:w="1649" w:type="dxa"/>
            <w:vMerge/>
            <w:tcBorders>
              <w:left w:val="nil"/>
              <w:bottom w:val="single" w:sz="4" w:space="0" w:color="auto"/>
              <w:right w:val="single" w:sz="4" w:space="0" w:color="auto"/>
            </w:tcBorders>
            <w:shd w:val="clear" w:color="000000" w:fill="BDD7EE"/>
            <w:vAlign w:val="center"/>
            <w:hideMark/>
          </w:tcPr>
          <w:p w:rsidR="00D4086A" w:rsidRDefault="00D4086A">
            <w:pPr>
              <w:spacing w:after="0"/>
              <w:jc w:val="center"/>
              <w:rPr>
                <w:rFonts w:ascii="Times New Roman" w:eastAsia="Times New Roman" w:hAnsi="Times New Roman"/>
                <w:b/>
                <w:noProof/>
                <w:sz w:val="20"/>
                <w:szCs w:val="20"/>
              </w:rPr>
            </w:pPr>
          </w:p>
        </w:tc>
        <w:tc>
          <w:tcPr>
            <w:tcW w:w="2185" w:type="dxa"/>
            <w:tcBorders>
              <w:top w:val="nil"/>
              <w:left w:val="nil"/>
              <w:bottom w:val="single" w:sz="4" w:space="0" w:color="auto"/>
              <w:right w:val="single" w:sz="4" w:space="0" w:color="auto"/>
            </w:tcBorders>
            <w:shd w:val="clear" w:color="000000"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Мерна единица</w:t>
            </w:r>
          </w:p>
        </w:tc>
        <w:tc>
          <w:tcPr>
            <w:tcW w:w="905" w:type="dxa"/>
            <w:tcBorders>
              <w:top w:val="nil"/>
              <w:left w:val="nil"/>
              <w:bottom w:val="single" w:sz="4" w:space="0" w:color="auto"/>
              <w:right w:val="single" w:sz="4" w:space="0" w:color="auto"/>
            </w:tcBorders>
            <w:shd w:val="clear" w:color="000000"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Базова линия</w:t>
            </w:r>
          </w:p>
        </w:tc>
        <w:tc>
          <w:tcPr>
            <w:tcW w:w="1007" w:type="dxa"/>
            <w:tcBorders>
              <w:top w:val="nil"/>
              <w:left w:val="nil"/>
              <w:bottom w:val="single" w:sz="4" w:space="0" w:color="auto"/>
              <w:right w:val="single" w:sz="4" w:space="0" w:color="auto"/>
            </w:tcBorders>
            <w:shd w:val="clear" w:color="000000"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Цел</w:t>
            </w:r>
          </w:p>
        </w:tc>
        <w:tc>
          <w:tcPr>
            <w:tcW w:w="916" w:type="dxa"/>
            <w:tcBorders>
              <w:top w:val="nil"/>
              <w:left w:val="nil"/>
              <w:bottom w:val="single" w:sz="4" w:space="0" w:color="auto"/>
              <w:right w:val="single" w:sz="4" w:space="0" w:color="auto"/>
            </w:tcBorders>
            <w:shd w:val="clear" w:color="000000"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Тримесечие</w:t>
            </w:r>
          </w:p>
        </w:tc>
        <w:tc>
          <w:tcPr>
            <w:tcW w:w="638" w:type="dxa"/>
            <w:tcBorders>
              <w:top w:val="nil"/>
              <w:left w:val="nil"/>
              <w:bottom w:val="single" w:sz="4" w:space="0" w:color="auto"/>
              <w:right w:val="single" w:sz="4" w:space="0" w:color="auto"/>
            </w:tcBorders>
            <w:shd w:val="clear" w:color="000000" w:fill="BDD7EE"/>
            <w:vAlign w:val="center"/>
            <w:hideMark/>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Година</w:t>
            </w:r>
          </w:p>
        </w:tc>
        <w:tc>
          <w:tcPr>
            <w:tcW w:w="3622" w:type="dxa"/>
            <w:vMerge/>
            <w:tcBorders>
              <w:left w:val="nil"/>
              <w:bottom w:val="single" w:sz="4" w:space="0" w:color="auto"/>
              <w:right w:val="single" w:sz="4" w:space="0" w:color="auto"/>
            </w:tcBorders>
            <w:shd w:val="clear" w:color="000000" w:fill="BDD7EE"/>
            <w:vAlign w:val="center"/>
            <w:hideMark/>
          </w:tcPr>
          <w:p w:rsidR="00D4086A" w:rsidRDefault="00D4086A">
            <w:pPr>
              <w:spacing w:after="0"/>
              <w:rPr>
                <w:rFonts w:ascii="Times New Roman" w:eastAsia="Times New Roman" w:hAnsi="Times New Roman"/>
                <w:noProof/>
                <w:sz w:val="20"/>
                <w:szCs w:val="20"/>
              </w:rPr>
            </w:pPr>
          </w:p>
        </w:tc>
      </w:tr>
      <w:tr w:rsidR="00D4086A">
        <w:trPr>
          <w:trHeight w:val="2214"/>
        </w:trPr>
        <w:tc>
          <w:tcPr>
            <w:tcW w:w="689" w:type="dxa"/>
            <w:tcBorders>
              <w:top w:val="nil"/>
              <w:left w:val="single" w:sz="4" w:space="0" w:color="auto"/>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w:t>
            </w:r>
          </w:p>
        </w:tc>
        <w:tc>
          <w:tcPr>
            <w:tcW w:w="1605"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12 – Човешки, модерни и достъпни грижи за психичното здраве – </w:t>
            </w:r>
            <w:r>
              <w:rPr>
                <w:rFonts w:ascii="Times New Roman" w:hAnsi="Times New Roman"/>
                <w:noProof/>
                <w:color w:val="006100"/>
                <w:sz w:val="20"/>
                <w:szCs w:val="20"/>
              </w:rPr>
              <w:t>реформа 1: Координирано междуведомствено сътрудничество и регулиране</w:t>
            </w:r>
          </w:p>
        </w:tc>
        <w:tc>
          <w:tcPr>
            <w:tcW w:w="1050"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611"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Създаване на две координационни звена в областта на психичното здраве</w:t>
            </w:r>
          </w:p>
        </w:tc>
        <w:tc>
          <w:tcPr>
            <w:tcW w:w="1649"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Пълно привеждане в действие на субектите</w:t>
            </w:r>
          </w:p>
        </w:tc>
        <w:tc>
          <w:tcPr>
            <w:tcW w:w="2185" w:type="dxa"/>
            <w:tcBorders>
              <w:top w:val="nil"/>
              <w:left w:val="nil"/>
              <w:bottom w:val="single" w:sz="4" w:space="0" w:color="auto"/>
              <w:right w:val="single" w:sz="4" w:space="0" w:color="auto"/>
            </w:tcBorders>
            <w:shd w:val="clear" w:color="auto" w:fill="C6EFCE"/>
            <w:noWrap/>
            <w:hideMark/>
          </w:tcPr>
          <w:p w:rsidR="00D4086A" w:rsidRDefault="00D4086A">
            <w:pPr>
              <w:spacing w:after="0"/>
              <w:rPr>
                <w:rFonts w:ascii="Times New Roman" w:eastAsia="Times New Roman" w:hAnsi="Times New Roman"/>
                <w:noProof/>
                <w:color w:val="006100"/>
                <w:sz w:val="20"/>
                <w:szCs w:val="20"/>
              </w:rPr>
            </w:pPr>
          </w:p>
        </w:tc>
        <w:tc>
          <w:tcPr>
            <w:tcW w:w="905" w:type="dxa"/>
            <w:tcBorders>
              <w:top w:val="nil"/>
              <w:left w:val="nil"/>
              <w:bottom w:val="single" w:sz="4" w:space="0" w:color="auto"/>
              <w:right w:val="single" w:sz="4" w:space="0" w:color="auto"/>
            </w:tcBorders>
            <w:shd w:val="clear" w:color="auto" w:fill="C6EFCE"/>
            <w:noWrap/>
            <w:hideMark/>
          </w:tcPr>
          <w:p w:rsidR="00D4086A" w:rsidRDefault="00D4086A">
            <w:pPr>
              <w:spacing w:after="0"/>
              <w:rPr>
                <w:rFonts w:ascii="Times New Roman" w:eastAsia="Times New Roman" w:hAnsi="Times New Roman"/>
                <w:noProof/>
                <w:color w:val="006100"/>
                <w:sz w:val="20"/>
                <w:szCs w:val="20"/>
              </w:rPr>
            </w:pPr>
          </w:p>
        </w:tc>
        <w:tc>
          <w:tcPr>
            <w:tcW w:w="1007" w:type="dxa"/>
            <w:tcBorders>
              <w:top w:val="nil"/>
              <w:left w:val="nil"/>
              <w:bottom w:val="single" w:sz="4" w:space="0" w:color="auto"/>
              <w:right w:val="single" w:sz="4" w:space="0" w:color="auto"/>
            </w:tcBorders>
            <w:shd w:val="clear" w:color="auto" w:fill="C6EFCE"/>
            <w:noWrap/>
            <w:hideMark/>
          </w:tcPr>
          <w:p w:rsidR="00D4086A" w:rsidRDefault="00D4086A">
            <w:pPr>
              <w:spacing w:after="0"/>
              <w:rPr>
                <w:rFonts w:ascii="Times New Roman" w:eastAsia="Times New Roman" w:hAnsi="Times New Roman"/>
                <w:noProof/>
                <w:color w:val="006100"/>
                <w:sz w:val="20"/>
                <w:szCs w:val="20"/>
              </w:rPr>
            </w:pPr>
          </w:p>
        </w:tc>
        <w:tc>
          <w:tcPr>
            <w:tcW w:w="916"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638"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Създават се два координационни органа: </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1.Съвет на правителството за психично здраве; </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2.Асоциация на психолозите </w:t>
            </w:r>
          </w:p>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Съветът координира политиките на компетентните министерства в областта на психичното здраве. Тя изготвя Националната програма за психично здраве и плана за действие, които се одобр</w:t>
            </w:r>
            <w:r>
              <w:rPr>
                <w:rFonts w:ascii="Times New Roman" w:hAnsi="Times New Roman"/>
                <w:noProof/>
                <w:color w:val="006100"/>
                <w:sz w:val="20"/>
                <w:szCs w:val="20"/>
              </w:rPr>
              <w:t>яват от словашкото правителство.</w:t>
            </w:r>
          </w:p>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Асоциацията е регистрирана професионална организация на психолозите във всички функционални сектори (т.е. не само в сектора на здравеопазването). Той поддържа цифров регистър на професионалните психолози, работещи в област</w:t>
            </w:r>
            <w:r>
              <w:rPr>
                <w:rFonts w:ascii="Times New Roman" w:hAnsi="Times New Roman"/>
                <w:noProof/>
                <w:color w:val="006100"/>
                <w:sz w:val="20"/>
                <w:szCs w:val="20"/>
              </w:rPr>
              <w:t xml:space="preserve">та на здравеопазването, образованието, социалните въпроси, правосъдието, вътрешните работи, отбраната и др.  </w:t>
            </w:r>
          </w:p>
        </w:tc>
      </w:tr>
      <w:tr w:rsidR="00D4086A">
        <w:trPr>
          <w:trHeight w:val="2078"/>
        </w:trPr>
        <w:tc>
          <w:tcPr>
            <w:tcW w:w="689" w:type="dxa"/>
            <w:tcBorders>
              <w:top w:val="nil"/>
              <w:left w:val="single" w:sz="4" w:space="0" w:color="auto"/>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1605"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12 – Човешки, модерни и достъпни грижи за психичното здраве – инвестиции 1: Управление на проекти и подготовка на инвестиции</w:t>
            </w:r>
          </w:p>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12 – Човешки, </w:t>
            </w:r>
            <w:r>
              <w:rPr>
                <w:rFonts w:ascii="Times New Roman" w:hAnsi="Times New Roman"/>
                <w:noProof/>
                <w:color w:val="006100"/>
                <w:sz w:val="20"/>
                <w:szCs w:val="20"/>
              </w:rPr>
              <w:t>модерни и достъпни грижи за психичното здраве – инвестиции 2: Създаване на центрове за задържане</w:t>
            </w:r>
          </w:p>
        </w:tc>
        <w:tc>
          <w:tcPr>
            <w:tcW w:w="1050"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611"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Капацитет на центровете за задържане на пациенти</w:t>
            </w:r>
          </w:p>
        </w:tc>
        <w:tc>
          <w:tcPr>
            <w:tcW w:w="1649" w:type="dxa"/>
            <w:tcBorders>
              <w:top w:val="nil"/>
              <w:left w:val="nil"/>
              <w:bottom w:val="single" w:sz="4" w:space="0" w:color="auto"/>
              <w:right w:val="single" w:sz="4" w:space="0" w:color="auto"/>
            </w:tcBorders>
            <w:shd w:val="clear" w:color="auto" w:fill="C6EFCE"/>
            <w:noWrap/>
            <w:hideMark/>
          </w:tcPr>
          <w:p w:rsidR="00D4086A" w:rsidRDefault="00D4086A">
            <w:pPr>
              <w:spacing w:after="0"/>
              <w:rPr>
                <w:rFonts w:ascii="Times New Roman" w:eastAsia="Times New Roman" w:hAnsi="Times New Roman"/>
                <w:noProof/>
                <w:color w:val="006100"/>
                <w:sz w:val="20"/>
                <w:szCs w:val="20"/>
              </w:rPr>
            </w:pPr>
          </w:p>
        </w:tc>
        <w:tc>
          <w:tcPr>
            <w:tcW w:w="2185"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905"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1007"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150</w:t>
            </w:r>
          </w:p>
        </w:tc>
        <w:tc>
          <w:tcPr>
            <w:tcW w:w="916"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638"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Въвеждане в експлоатация на нови центрове за задържане с капацитет 150 психиатрични па</w:t>
            </w:r>
            <w:r>
              <w:rPr>
                <w:rFonts w:ascii="Times New Roman" w:hAnsi="Times New Roman"/>
                <w:noProof/>
                <w:color w:val="006100"/>
                <w:sz w:val="20"/>
                <w:szCs w:val="20"/>
              </w:rPr>
              <w:t xml:space="preserve">циенти.    </w:t>
            </w:r>
          </w:p>
        </w:tc>
      </w:tr>
      <w:tr w:rsidR="00D4086A">
        <w:trPr>
          <w:trHeight w:val="1436"/>
        </w:trPr>
        <w:tc>
          <w:tcPr>
            <w:tcW w:w="689" w:type="dxa"/>
            <w:tcBorders>
              <w:top w:val="nil"/>
              <w:left w:val="single" w:sz="4" w:space="0" w:color="auto"/>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605"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12 – Човешки, модерни и достъпни грижи за психичното здраве – реформа 2: Развитие на области с остър подценен капацитет в областта на грижите за психичното здраве </w:t>
            </w:r>
          </w:p>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12 – Човешки, модерни и достъпни грижи за психичното здраве – инвестиции 1: </w:t>
            </w:r>
            <w:r>
              <w:rPr>
                <w:rFonts w:ascii="Times New Roman" w:hAnsi="Times New Roman"/>
                <w:noProof/>
                <w:color w:val="006100"/>
                <w:sz w:val="20"/>
                <w:szCs w:val="20"/>
              </w:rPr>
              <w:t>Управление на проекти и подготовка на инвестиции</w:t>
            </w:r>
          </w:p>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12 – Човешки, модерни и достъпни грижи за психичното здраве – инвестиции 3: Изграждане на психо-социални центрове; </w:t>
            </w:r>
          </w:p>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12 – Човешки, модерни и достъпни грижи за психичното здраве – инвестиции 4: Завършване на</w:t>
            </w:r>
            <w:r>
              <w:rPr>
                <w:rFonts w:ascii="Times New Roman" w:hAnsi="Times New Roman"/>
                <w:noProof/>
                <w:color w:val="006100"/>
                <w:sz w:val="20"/>
                <w:szCs w:val="20"/>
              </w:rPr>
              <w:t xml:space="preserve"> психиатричната неподвижна мрежа;</w:t>
            </w:r>
          </w:p>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12 – Човешки, модерни и достъпни грижи за психичното здраве – инвестиции 5: Създаване на специализирани центрове за разстройства на аутистичния спектър </w:t>
            </w:r>
          </w:p>
          <w:p w:rsidR="00D4086A" w:rsidRDefault="00D4086A">
            <w:pPr>
              <w:spacing w:after="0"/>
              <w:rPr>
                <w:rFonts w:ascii="Times New Roman" w:eastAsia="Times New Roman" w:hAnsi="Times New Roman"/>
                <w:noProof/>
                <w:color w:val="006100"/>
                <w:sz w:val="20"/>
                <w:szCs w:val="20"/>
              </w:rPr>
            </w:pPr>
          </w:p>
          <w:p w:rsidR="00D4086A" w:rsidRDefault="00D4086A">
            <w:pPr>
              <w:spacing w:after="0"/>
              <w:rPr>
                <w:rFonts w:ascii="Times New Roman" w:eastAsia="Times New Roman" w:hAnsi="Times New Roman"/>
                <w:noProof/>
                <w:color w:val="006100"/>
                <w:sz w:val="20"/>
                <w:szCs w:val="20"/>
              </w:rPr>
            </w:pPr>
          </w:p>
        </w:tc>
        <w:tc>
          <w:tcPr>
            <w:tcW w:w="1050"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611"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 на създадените в общността центрове за грижи за психичнот</w:t>
            </w:r>
            <w:r>
              <w:rPr>
                <w:rFonts w:ascii="Times New Roman" w:hAnsi="Times New Roman"/>
                <w:noProof/>
                <w:color w:val="006100"/>
                <w:sz w:val="20"/>
                <w:szCs w:val="20"/>
              </w:rPr>
              <w:t>о здраве</w:t>
            </w:r>
          </w:p>
        </w:tc>
        <w:tc>
          <w:tcPr>
            <w:tcW w:w="1649" w:type="dxa"/>
            <w:tcBorders>
              <w:top w:val="nil"/>
              <w:left w:val="nil"/>
              <w:bottom w:val="single" w:sz="4" w:space="0" w:color="auto"/>
              <w:right w:val="single" w:sz="4" w:space="0" w:color="auto"/>
            </w:tcBorders>
            <w:shd w:val="clear" w:color="auto" w:fill="C6EFCE"/>
            <w:hideMark/>
          </w:tcPr>
          <w:p w:rsidR="00D4086A" w:rsidRDefault="00D4086A">
            <w:pPr>
              <w:spacing w:after="0"/>
              <w:rPr>
                <w:rFonts w:ascii="Times New Roman" w:eastAsia="Times New Roman" w:hAnsi="Times New Roman"/>
                <w:noProof/>
                <w:color w:val="006100"/>
                <w:sz w:val="20"/>
                <w:szCs w:val="20"/>
              </w:rPr>
            </w:pPr>
          </w:p>
        </w:tc>
        <w:tc>
          <w:tcPr>
            <w:tcW w:w="2185"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905"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1007"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56</w:t>
            </w:r>
          </w:p>
        </w:tc>
        <w:tc>
          <w:tcPr>
            <w:tcW w:w="916"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638"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Въвеждане в експлоатация на 56 центъра за здравни и социални грижи в рамките на общността: психо-социални центрове, стационарно оборудване през деня и съоръжения за разстройства от аутистичния тип.</w:t>
            </w:r>
          </w:p>
        </w:tc>
      </w:tr>
      <w:tr w:rsidR="00D4086A">
        <w:trPr>
          <w:trHeight w:val="2853"/>
        </w:trPr>
        <w:tc>
          <w:tcPr>
            <w:tcW w:w="689" w:type="dxa"/>
            <w:tcBorders>
              <w:top w:val="nil"/>
              <w:left w:val="single" w:sz="4" w:space="0" w:color="auto"/>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4</w:t>
            </w:r>
          </w:p>
        </w:tc>
        <w:tc>
          <w:tcPr>
            <w:tcW w:w="1605"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12 – Човешки, модерни и </w:t>
            </w:r>
            <w:r>
              <w:rPr>
                <w:rFonts w:ascii="Times New Roman" w:hAnsi="Times New Roman"/>
                <w:noProof/>
                <w:color w:val="006100"/>
                <w:sz w:val="20"/>
                <w:szCs w:val="20"/>
              </w:rPr>
              <w:t>достъпни грижи за психичното здраве – реформа 3: Модернизиране на диагностичните методи и лечения</w:t>
            </w:r>
          </w:p>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12 – Човешки, модерни и достъпни грижи за психичното здраве – инвестиции 6: Създаване на хранилище за психодиагностични методи</w:t>
            </w:r>
          </w:p>
        </w:tc>
        <w:tc>
          <w:tcPr>
            <w:tcW w:w="1050"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611"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Брой регистрирани и </w:t>
            </w:r>
            <w:r>
              <w:rPr>
                <w:rFonts w:ascii="Times New Roman" w:hAnsi="Times New Roman"/>
                <w:noProof/>
                <w:color w:val="006100"/>
                <w:sz w:val="20"/>
                <w:szCs w:val="20"/>
              </w:rPr>
              <w:t>стандартизирани психодиагностични методи</w:t>
            </w:r>
          </w:p>
        </w:tc>
        <w:tc>
          <w:tcPr>
            <w:tcW w:w="1649" w:type="dxa"/>
            <w:tcBorders>
              <w:top w:val="nil"/>
              <w:left w:val="nil"/>
              <w:bottom w:val="nil"/>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w:t>
            </w:r>
          </w:p>
        </w:tc>
        <w:tc>
          <w:tcPr>
            <w:tcW w:w="2185"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905"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1007"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112</w:t>
            </w:r>
          </w:p>
        </w:tc>
        <w:tc>
          <w:tcPr>
            <w:tcW w:w="916"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638"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Създаване на цифров регистър на методите за физикодиагностика. </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От общата цел за 125 нови и актуализирани стандартизирани метода се осигурява стандартизация за методите 112, които се избират от експертна група. </w:t>
            </w:r>
          </w:p>
          <w:p w:rsidR="00D4086A" w:rsidRDefault="00D4086A">
            <w:pPr>
              <w:spacing w:after="0"/>
              <w:rPr>
                <w:rFonts w:ascii="Times New Roman" w:eastAsia="Times New Roman" w:hAnsi="Times New Roman"/>
                <w:noProof/>
                <w:color w:val="006100"/>
                <w:sz w:val="20"/>
                <w:szCs w:val="20"/>
              </w:rPr>
            </w:pPr>
          </w:p>
          <w:p w:rsidR="00D4086A" w:rsidRDefault="00D4086A">
            <w:pPr>
              <w:spacing w:after="0"/>
              <w:rPr>
                <w:rFonts w:ascii="Times New Roman" w:eastAsia="Times New Roman" w:hAnsi="Times New Roman"/>
                <w:noProof/>
                <w:color w:val="006100"/>
                <w:sz w:val="20"/>
                <w:szCs w:val="20"/>
              </w:rPr>
            </w:pPr>
          </w:p>
        </w:tc>
      </w:tr>
      <w:tr w:rsidR="00D4086A">
        <w:trPr>
          <w:trHeight w:val="2381"/>
        </w:trPr>
        <w:tc>
          <w:tcPr>
            <w:tcW w:w="689" w:type="dxa"/>
            <w:tcBorders>
              <w:top w:val="nil"/>
              <w:left w:val="single" w:sz="4" w:space="0" w:color="auto"/>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5</w:t>
            </w:r>
          </w:p>
        </w:tc>
        <w:tc>
          <w:tcPr>
            <w:tcW w:w="1605"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12 – Човешки, модерни и достъпни грижи за психичното здраве – реформа 3: Модернизиране на </w:t>
            </w:r>
            <w:r>
              <w:rPr>
                <w:rFonts w:ascii="Times New Roman" w:hAnsi="Times New Roman"/>
                <w:noProof/>
                <w:color w:val="006100"/>
                <w:sz w:val="20"/>
                <w:szCs w:val="20"/>
              </w:rPr>
              <w:t>диагностичните методи и лечения</w:t>
            </w:r>
          </w:p>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12 – Човешки, модерни и достъпни грижи за психичното здраве – инвестиции 1: Управление на проекти и подготовка на инвестиции</w:t>
            </w:r>
          </w:p>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12 – Човешки, модерни и достъпни грижи за психичното здраве – инвестиции 7: Хуманизиране на инсти</w:t>
            </w:r>
            <w:r>
              <w:rPr>
                <w:rFonts w:ascii="Times New Roman" w:hAnsi="Times New Roman"/>
                <w:noProof/>
                <w:color w:val="006100"/>
                <w:sz w:val="20"/>
                <w:szCs w:val="20"/>
              </w:rPr>
              <w:t>туционалните психиатрични грижи</w:t>
            </w:r>
          </w:p>
        </w:tc>
        <w:tc>
          <w:tcPr>
            <w:tcW w:w="1050"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611"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Капацитет на пациентите в преобразувани стаи в институционални психиатрични грижи.</w:t>
            </w:r>
          </w:p>
        </w:tc>
        <w:tc>
          <w:tcPr>
            <w:tcW w:w="1649" w:type="dxa"/>
            <w:tcBorders>
              <w:top w:val="single" w:sz="4" w:space="0" w:color="auto"/>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w:t>
            </w:r>
          </w:p>
        </w:tc>
        <w:tc>
          <w:tcPr>
            <w:tcW w:w="2185"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905"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1007"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244</w:t>
            </w:r>
          </w:p>
        </w:tc>
        <w:tc>
          <w:tcPr>
            <w:tcW w:w="916"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638"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Завършено възстановяване на помещения в помещения с 2 легла в институционални психиатрични грижи със санитарно обору</w:t>
            </w:r>
            <w:r>
              <w:rPr>
                <w:rFonts w:ascii="Times New Roman" w:hAnsi="Times New Roman"/>
                <w:noProof/>
                <w:color w:val="006100"/>
                <w:sz w:val="20"/>
                <w:szCs w:val="20"/>
              </w:rPr>
              <w:t>дване и подмяна на леглата на загражденията с изолационни помещения.</w:t>
            </w:r>
          </w:p>
          <w:p w:rsidR="00D4086A" w:rsidRDefault="00D4086A">
            <w:pPr>
              <w:spacing w:after="0"/>
              <w:rPr>
                <w:rFonts w:ascii="Times New Roman" w:eastAsia="Times New Roman" w:hAnsi="Times New Roman"/>
                <w:noProof/>
                <w:color w:val="006100"/>
                <w:sz w:val="20"/>
                <w:szCs w:val="20"/>
              </w:rPr>
            </w:pPr>
          </w:p>
          <w:p w:rsidR="00D4086A" w:rsidRDefault="00D4086A">
            <w:pPr>
              <w:spacing w:after="0"/>
              <w:rPr>
                <w:rFonts w:ascii="Times New Roman" w:eastAsia="Times New Roman" w:hAnsi="Times New Roman"/>
                <w:noProof/>
                <w:color w:val="006100"/>
                <w:sz w:val="20"/>
                <w:szCs w:val="20"/>
              </w:rPr>
            </w:pPr>
          </w:p>
        </w:tc>
      </w:tr>
      <w:tr w:rsidR="00D4086A">
        <w:trPr>
          <w:trHeight w:val="2569"/>
        </w:trPr>
        <w:tc>
          <w:tcPr>
            <w:tcW w:w="689" w:type="dxa"/>
            <w:tcBorders>
              <w:top w:val="nil"/>
              <w:left w:val="single" w:sz="4" w:space="0" w:color="auto"/>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6</w:t>
            </w:r>
          </w:p>
        </w:tc>
        <w:tc>
          <w:tcPr>
            <w:tcW w:w="1605"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12 – Човешки, модерни и достъпни грижи за психичното здраве – инвестиции 8: Обучение на персонала в областта на психичното здраве</w:t>
            </w:r>
          </w:p>
        </w:tc>
        <w:tc>
          <w:tcPr>
            <w:tcW w:w="1050"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611"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Брой на работещите в здравния сектор, обучени в областта на психичното здраве </w:t>
            </w:r>
          </w:p>
        </w:tc>
        <w:tc>
          <w:tcPr>
            <w:tcW w:w="1649" w:type="dxa"/>
            <w:tcBorders>
              <w:top w:val="nil"/>
              <w:left w:val="nil"/>
              <w:bottom w:val="single" w:sz="4" w:space="0" w:color="auto"/>
              <w:right w:val="single" w:sz="4" w:space="0" w:color="auto"/>
            </w:tcBorders>
            <w:shd w:val="clear" w:color="auto" w:fill="C6EFCE"/>
            <w:noWrap/>
            <w:hideMark/>
          </w:tcPr>
          <w:p w:rsidR="00D4086A" w:rsidRDefault="00D4086A">
            <w:pPr>
              <w:spacing w:after="0"/>
              <w:rPr>
                <w:rFonts w:ascii="Times New Roman" w:eastAsia="Times New Roman" w:hAnsi="Times New Roman"/>
                <w:noProof/>
                <w:color w:val="006100"/>
                <w:sz w:val="20"/>
                <w:szCs w:val="20"/>
              </w:rPr>
            </w:pPr>
          </w:p>
        </w:tc>
        <w:tc>
          <w:tcPr>
            <w:tcW w:w="2185"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905"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1007"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900</w:t>
            </w:r>
          </w:p>
        </w:tc>
        <w:tc>
          <w:tcPr>
            <w:tcW w:w="916"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638" w:type="dxa"/>
            <w:tcBorders>
              <w:top w:val="nil"/>
              <w:left w:val="nil"/>
              <w:bottom w:val="single" w:sz="4" w:space="0" w:color="auto"/>
              <w:right w:val="single" w:sz="4" w:space="0" w:color="auto"/>
            </w:tcBorders>
            <w:shd w:val="clear" w:color="auto" w:fill="C6EFCE"/>
            <w:noWrap/>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От общата цел за предоставяне на обучение в областта на психичното здраве на 1000 работници, краткосрочното или дългосрочното сертифицирано обучение по психи</w:t>
            </w:r>
            <w:r>
              <w:rPr>
                <w:rFonts w:ascii="Times New Roman" w:hAnsi="Times New Roman"/>
                <w:noProof/>
                <w:color w:val="006100"/>
                <w:sz w:val="20"/>
                <w:szCs w:val="20"/>
              </w:rPr>
              <w:t xml:space="preserve">чно здраве се извършва за 900 здравни работници. </w:t>
            </w:r>
          </w:p>
          <w:p w:rsidR="00D4086A" w:rsidRDefault="00D4086A">
            <w:pPr>
              <w:spacing w:after="0"/>
              <w:rPr>
                <w:rFonts w:ascii="Times New Roman" w:eastAsia="Times New Roman" w:hAnsi="Times New Roman"/>
                <w:noProof/>
                <w:color w:val="006100"/>
                <w:sz w:val="20"/>
                <w:szCs w:val="20"/>
              </w:rPr>
            </w:pPr>
          </w:p>
        </w:tc>
      </w:tr>
    </w:tbl>
    <w:p w:rsidR="00D4086A" w:rsidRDefault="00D4086A">
      <w:pPr>
        <w:spacing w:before="120" w:after="120" w:line="240" w:lineRule="auto"/>
        <w:jc w:val="both"/>
        <w:rPr>
          <w:rFonts w:ascii="Times New Roman" w:hAnsi="Times New Roman"/>
          <w:noProof/>
          <w:sz w:val="24"/>
        </w:rPr>
        <w:sectPr w:rsidR="00D4086A">
          <w:headerReference w:type="even" r:id="rId156"/>
          <w:headerReference w:type="default" r:id="rId157"/>
          <w:footerReference w:type="even" r:id="rId158"/>
          <w:footerReference w:type="default" r:id="rId159"/>
          <w:headerReference w:type="first" r:id="rId160"/>
          <w:footerReference w:type="first" r:id="rId161"/>
          <w:pgSz w:w="16839" w:h="11907" w:orient="landscape"/>
          <w:pgMar w:top="567" w:right="1134" w:bottom="1134" w:left="1134" w:header="709" w:footer="709" w:gutter="0"/>
          <w:cols w:space="720"/>
          <w:docGrid w:linePitch="360"/>
        </w:sectPr>
      </w:pPr>
    </w:p>
    <w:p w:rsidR="00D4086A" w:rsidRDefault="00D5307E">
      <w:pPr>
        <w:keepNext/>
        <w:tabs>
          <w:tab w:val="left" w:pos="1134"/>
        </w:tabs>
        <w:spacing w:before="120" w:after="120" w:line="240" w:lineRule="auto"/>
        <w:ind w:firstLine="142"/>
        <w:jc w:val="both"/>
        <w:outlineLvl w:val="0"/>
        <w:rPr>
          <w:rFonts w:ascii="Times New Roman" w:hAnsi="Times New Roman"/>
          <w:b/>
          <w:smallCaps/>
          <w:noProof/>
          <w:sz w:val="24"/>
          <w:szCs w:val="24"/>
        </w:rPr>
      </w:pPr>
      <w:r>
        <w:rPr>
          <w:rFonts w:ascii="Times New Roman" w:hAnsi="Times New Roman"/>
          <w:b/>
          <w:smallCaps/>
          <w:noProof/>
          <w:sz w:val="24"/>
          <w:szCs w:val="24"/>
        </w:rPr>
        <w:t>КОМПОНЕНТ 13: Достъпни и висококачествени дългосрочни социално-здравни грижи</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Системата за дългосрочни грижи в Словакия не е готова за очакваното </w:t>
      </w:r>
      <w:r>
        <w:rPr>
          <w:rFonts w:ascii="Times New Roman" w:hAnsi="Times New Roman"/>
          <w:noProof/>
          <w:sz w:val="24"/>
          <w:szCs w:val="24"/>
        </w:rPr>
        <w:t xml:space="preserve">бързо застаряване на населението. Делът на населението на възраст над 65 години се увеличава от сегашните 16 % на над 24 % до 2040 г. Достъпът до качествени дългосрочни грижи на достъпни цени е недостатъчен поради общия недостиг на финансиране на услугите </w:t>
      </w:r>
      <w:r>
        <w:rPr>
          <w:rFonts w:ascii="Times New Roman" w:hAnsi="Times New Roman"/>
          <w:noProof/>
          <w:sz w:val="24"/>
          <w:szCs w:val="24"/>
        </w:rPr>
        <w:t>за полагане на грижи в общността и в домашни условия, фрагментираното управление и липсата на системна координация на социалните и здравните услуги. Липсва всеобхватна и адекватна стратегия, която да обхваща както социалните, така и здравните аспекти. Оцен</w:t>
      </w:r>
      <w:r>
        <w:rPr>
          <w:rFonts w:ascii="Times New Roman" w:hAnsi="Times New Roman"/>
          <w:noProof/>
          <w:sz w:val="24"/>
          <w:szCs w:val="24"/>
        </w:rPr>
        <w:t>ката на нуждите от дългосрочни грижи за хората с увреждания също е непоследователна. Надзорът на социалните грижи е неефективен и особено недостатъчен по отношение на грижите в домашни условия. Освен това системата за финансиране е фрагментирана и благопри</w:t>
      </w:r>
      <w:r>
        <w:rPr>
          <w:rFonts w:ascii="Times New Roman" w:hAnsi="Times New Roman"/>
          <w:noProof/>
          <w:sz w:val="24"/>
          <w:szCs w:val="24"/>
        </w:rPr>
        <w:t>ятства институционализираните грижи в условията на липса на подкрепа за услуги, предоставяни в домашни условия и в общността. Поради тази причина липсват подходящи дългосрочни и палиативни услуги за полагане на грижи, особено в домовете и в общността.</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Този</w:t>
      </w:r>
      <w:r>
        <w:rPr>
          <w:rFonts w:ascii="Times New Roman" w:hAnsi="Times New Roman"/>
          <w:noProof/>
          <w:sz w:val="24"/>
          <w:szCs w:val="24"/>
        </w:rPr>
        <w:t xml:space="preserve"> компонент от словашкия план за възстановяване и устойчивост подготвя Словакия за бързо застаряващо население, като осигурява висококачествена, достъпна и всеобхватна подкрепа за хората, нуждаещи се от дългосрочни и палиативни грижи. Предоставянето на таки</w:t>
      </w:r>
      <w:r>
        <w:rPr>
          <w:rFonts w:ascii="Times New Roman" w:hAnsi="Times New Roman"/>
          <w:noProof/>
          <w:sz w:val="24"/>
          <w:szCs w:val="24"/>
        </w:rPr>
        <w:t>ва грижи увеличава също така приобщаването на хората с увреждания в обществото, както и тяхното равнище на социална закрила. Регулаторните реформи имат за цел по-съгласувана и по-добре координирана система за предоставяне на грижи, която да свързва социалн</w:t>
      </w:r>
      <w:r>
        <w:rPr>
          <w:rFonts w:ascii="Times New Roman" w:hAnsi="Times New Roman"/>
          <w:noProof/>
          <w:sz w:val="24"/>
          <w:szCs w:val="24"/>
        </w:rPr>
        <w:t>ите и здравните грижи, подобрена схема за финансиране, насочена към нуждите на хората и предоставяне на по-добри стимули за грижи в общността, по-съгласувана оценка на нуждите от грижи за хората с увреждания и подобрен надзор на социалните грижи. Инвестици</w:t>
      </w:r>
      <w:r>
        <w:rPr>
          <w:rFonts w:ascii="Times New Roman" w:hAnsi="Times New Roman"/>
          <w:noProof/>
          <w:sz w:val="24"/>
          <w:szCs w:val="24"/>
        </w:rPr>
        <w:t>ите водят до допълнителни възможности за дългосрочни грижи, палиативни грижи и последващи грижи, по-специално за предоставяне на грижи в домашни условия и в общността.</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Очаква се, че нито една мярка в този компонент не вреди в значителна степен на екологичн</w:t>
      </w:r>
      <w:r>
        <w:rPr>
          <w:rFonts w:ascii="Times New Roman" w:hAnsi="Times New Roman"/>
          <w:noProof/>
          <w:sz w:val="24"/>
          <w:szCs w:val="24"/>
        </w:rPr>
        <w:t xml:space="preserve">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на DNSH (2021/C58/01). </w:t>
      </w:r>
      <w:r>
        <w:rPr>
          <w:rFonts w:ascii="Times New Roman" w:hAnsi="Times New Roman"/>
          <w:noProof/>
          <w:sz w:val="24"/>
          <w:szCs w:val="24"/>
        </w:rPr>
        <w:t xml:space="preserve">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Компонентът допринася за изпълнението на специфична за всяка държава препоръка № 2 от 2019 г., като се подобрява достъпът до финансово достъпни и качествени дългосрочни грижи, и за изпълнението на специфична за всяка държава препоръка № 1 от 2020 г., кат</w:t>
      </w:r>
      <w:r>
        <w:rPr>
          <w:rFonts w:ascii="Times New Roman" w:hAnsi="Times New Roman"/>
          <w:noProof/>
          <w:sz w:val="24"/>
          <w:szCs w:val="24"/>
        </w:rPr>
        <w:t>о се подобрява координацията между видовете грижи. Тя също така допринася за гарантиране на дългосрочната устойчивост на публичните финанси, по-специално на системата на здравеопазването, както се препоръчва в специфична за всяка държава препоръка № 1 от 2</w:t>
      </w:r>
      <w:r>
        <w:rPr>
          <w:rFonts w:ascii="Times New Roman" w:hAnsi="Times New Roman"/>
          <w:noProof/>
          <w:sz w:val="24"/>
          <w:szCs w:val="24"/>
        </w:rPr>
        <w:t>019 г.</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 </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Реформа 1: Интеграция и финансиране на дългосрочните социални и здравни грижи</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Целта на тази реформа е да се преразгледат структурите на дългосрочните социални и здравни грижи, за да се гарантира по-добра координация между видовете грижи и да се по</w:t>
      </w:r>
      <w:r>
        <w:rPr>
          <w:rFonts w:ascii="Times New Roman" w:hAnsi="Times New Roman"/>
          <w:noProof/>
          <w:sz w:val="24"/>
          <w:szCs w:val="24"/>
        </w:rPr>
        <w:t>виши ефективността на финансирането. По-специално, тя установява съгласувана рамка, обхващаща както социалните, така и здравните грижи. Основната промяна в системата за финансиране се отнася до въвеждането на личен бюджет за лицата, нуждаещи се от грижи, а</w:t>
      </w:r>
      <w:r>
        <w:rPr>
          <w:rFonts w:ascii="Times New Roman" w:hAnsi="Times New Roman"/>
          <w:noProof/>
          <w:sz w:val="24"/>
          <w:szCs w:val="24"/>
        </w:rPr>
        <w:t xml:space="preserve"> не до настоящото фрагментирано финансиране на доставчиците на грижи. Реформираната схема за финансиране също така увеличава усилията за деинституционализация на грижите чрез подобряване на стимулите за грижи в домашни условия и в общността.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Новият закон </w:t>
      </w:r>
      <w:r>
        <w:rPr>
          <w:rFonts w:ascii="Times New Roman" w:hAnsi="Times New Roman"/>
          <w:noProof/>
          <w:sz w:val="24"/>
          <w:szCs w:val="24"/>
        </w:rPr>
        <w:t>за дългосрочните и палиативните грижи влиза в сила до 31 март 2023 г., а новото законодателство относно финансирането на социалните услуги влиза в сила до 31 декември 2025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Реформа 2: Оценка на нуждите от грижи</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Оценката на нуждите от дългосрочни грижи за</w:t>
      </w:r>
      <w:r>
        <w:rPr>
          <w:rFonts w:ascii="Times New Roman" w:hAnsi="Times New Roman"/>
          <w:noProof/>
          <w:sz w:val="24"/>
          <w:szCs w:val="24"/>
        </w:rPr>
        <w:t xml:space="preserve"> хората с увреждания е несъгласувана в условията на фрагментирана система. Макар и да не се отнася до предоставянето на социални услуги, признаването на тежките увреждания е предварително условие за предоставянето на лични асистенти и помощи за полагане на</w:t>
      </w:r>
      <w:r>
        <w:rPr>
          <w:rFonts w:ascii="Times New Roman" w:hAnsi="Times New Roman"/>
          <w:noProof/>
          <w:sz w:val="24"/>
          <w:szCs w:val="24"/>
        </w:rPr>
        <w:t xml:space="preserve"> грижи.</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Тази реформа ще подобри и рационализира начина, по който хората с тежки увреждания се признават. Тя въвежда единна рамка и система за оценка на личната помощ и грижите за лица с тежки увреждания. Основната оценка се извършва от бюрата по труда, соц</w:t>
      </w:r>
      <w:r>
        <w:rPr>
          <w:rFonts w:ascii="Times New Roman" w:hAnsi="Times New Roman"/>
          <w:noProof/>
          <w:sz w:val="24"/>
          <w:szCs w:val="24"/>
        </w:rPr>
        <w:t>иалните и семейните служби и в съответствие с единна методология, основана на списъка за оценка на уврежданията на Световната здравна организация 2.0, в който се прави оценка на широк спектър от нужди. За да се намали административната тежест и като част о</w:t>
      </w:r>
      <w:r>
        <w:rPr>
          <w:rFonts w:ascii="Times New Roman" w:hAnsi="Times New Roman"/>
          <w:noProof/>
          <w:sz w:val="24"/>
          <w:szCs w:val="24"/>
        </w:rPr>
        <w:t>т усилията за цифровизация, оценителите използват системата за електронно здравеопазване. Оценителите в 46-те клона получават необходимото оборудване за извършване на тяхната работа.</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Изпълнението на реформата приключва до 31 март 2024 г.</w:t>
      </w:r>
    </w:p>
    <w:p w:rsidR="00D4086A" w:rsidRDefault="00D4086A">
      <w:pPr>
        <w:spacing w:before="120" w:after="120" w:line="240" w:lineRule="auto"/>
        <w:jc w:val="both"/>
        <w:rPr>
          <w:rFonts w:ascii="Times New Roman" w:eastAsia="Times New Roman" w:hAnsi="Times New Roman"/>
          <w:noProof/>
          <w:sz w:val="24"/>
          <w:szCs w:val="24"/>
        </w:rPr>
      </w:pP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Реформа 3: Консол</w:t>
      </w:r>
      <w:r>
        <w:rPr>
          <w:rFonts w:ascii="Times New Roman" w:hAnsi="Times New Roman"/>
          <w:b/>
          <w:noProof/>
          <w:sz w:val="24"/>
        </w:rPr>
        <w:t>идиране на надзора на социалните грижи и осигуряване на необходимата инфраструктура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Системата за надзор на предоставянето на социални грижи е фрагментирана и неефикасна. Надзорът и контролът понастоящем се извършват от различни органи на национално и регио</w:t>
      </w:r>
      <w:r>
        <w:rPr>
          <w:rFonts w:ascii="Times New Roman" w:hAnsi="Times New Roman"/>
          <w:noProof/>
          <w:sz w:val="24"/>
          <w:szCs w:val="24"/>
        </w:rPr>
        <w:t>нално равнище без ясно разпределение на компетентностите. Капацитетът за надзор е недостатъчен. Неофициалните грижи и личната помощ, по-специално грижите в домашни условия, предоставяни от членове на семейството, не са обхванати.</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Тази реформа консолидира н</w:t>
      </w:r>
      <w:r>
        <w:rPr>
          <w:rFonts w:ascii="Times New Roman" w:hAnsi="Times New Roman"/>
          <w:noProof/>
          <w:sz w:val="24"/>
          <w:szCs w:val="24"/>
        </w:rPr>
        <w:t xml:space="preserve">адзора на социалните грижи. Създава се единен надзорен орган. Той следи за предоставянето на социални услуги и тяхното качество, качество и обхват на помощта за лицата, които получават личен бюджет за нуждите от грижи, както и за предоставянето на здравни </w:t>
      </w:r>
      <w:r>
        <w:rPr>
          <w:rFonts w:ascii="Times New Roman" w:hAnsi="Times New Roman"/>
          <w:noProof/>
          <w:sz w:val="24"/>
          <w:szCs w:val="24"/>
        </w:rPr>
        <w:t>грижи в социалните услуги (заедно с Органа за надзор на здравеопазването). Качеството на грижите се оценява съгласно методика, разработена в съответствие с инструментариума на СЗО за правата на качество. Мярката също така осигурява необходимата инфраструкт</w:t>
      </w:r>
      <w:r>
        <w:rPr>
          <w:rFonts w:ascii="Times New Roman" w:hAnsi="Times New Roman"/>
          <w:noProof/>
          <w:sz w:val="24"/>
          <w:szCs w:val="24"/>
        </w:rPr>
        <w:t>ура за новата система за надзор, състояща се от централата и осем регионални клона, включително сгради, превозни средства и информационно-технологично оборудване.</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Изпълнението на реформата приключва до 31 март 2024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Инвестиция 1: Повишаване на капацитета</w:t>
      </w:r>
      <w:r>
        <w:rPr>
          <w:rFonts w:ascii="Times New Roman" w:hAnsi="Times New Roman"/>
          <w:b/>
          <w:noProof/>
          <w:sz w:val="24"/>
        </w:rPr>
        <w:t xml:space="preserve"> за социални грижи в общността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В Словакия предоставянето на официални социални услуги е свързано с услуги за настаняване от институционален характер, доминирани от големи заведения за полагане на грижи, а не от по-малки общински заведения. Липсват услуги з</w:t>
      </w:r>
      <w:r>
        <w:rPr>
          <w:rFonts w:ascii="Times New Roman" w:hAnsi="Times New Roman"/>
          <w:noProof/>
          <w:sz w:val="24"/>
          <w:szCs w:val="24"/>
        </w:rPr>
        <w:t>а амбулаторно лечение.</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Въз основа на реформа 1 на компонент 13 </w:t>
      </w:r>
      <w:r>
        <w:rPr>
          <w:rFonts w:ascii="Times New Roman" w:hAnsi="Times New Roman"/>
          <w:i/>
          <w:noProof/>
          <w:sz w:val="24"/>
          <w:szCs w:val="24"/>
        </w:rPr>
        <w:t>Интеграция и финансиране на дългосрочни социални и здравни грижи</w:t>
      </w:r>
      <w:r>
        <w:rPr>
          <w:rFonts w:ascii="Times New Roman" w:hAnsi="Times New Roman"/>
          <w:noProof/>
          <w:sz w:val="24"/>
          <w:szCs w:val="24"/>
        </w:rPr>
        <w:t xml:space="preserve">, тези инвестиции ще увеличат капацитета на предоставяните в общността грижи и амбулаторно оборудване, което ще позволи </w:t>
      </w:r>
      <w:r>
        <w:rPr>
          <w:rFonts w:ascii="Times New Roman" w:hAnsi="Times New Roman"/>
          <w:noProof/>
          <w:sz w:val="24"/>
          <w:szCs w:val="24"/>
        </w:rPr>
        <w:t>пациентите да бъдат прехвърлени от широкомащабни съоръжения към по-малки съоръжения от типа на общността, ще осигури допълнителен капацитет за нови бенефициери и ще намали тежестта за лицата, полагащи неформални грижи. По-конкретно, чрез построяването на н</w:t>
      </w:r>
      <w:r>
        <w:rPr>
          <w:rFonts w:ascii="Times New Roman" w:hAnsi="Times New Roman"/>
          <w:noProof/>
          <w:sz w:val="24"/>
          <w:szCs w:val="24"/>
        </w:rPr>
        <w:t>ови сгради и реновирането на съществуващи сгради се създават най-малко 1400 нови места в съоръжения в общността и в здравни заведения с нисък капацитет. Освен това най-малко 2580 места се създават в нови, с малък капацитет амбулаторно оборудване със среден</w:t>
      </w:r>
      <w:r>
        <w:rPr>
          <w:rFonts w:ascii="Times New Roman" w:hAnsi="Times New Roman"/>
          <w:noProof/>
          <w:sz w:val="24"/>
          <w:szCs w:val="24"/>
        </w:rPr>
        <w:t xml:space="preserve"> капацитет от 20 места чрез построяване на нови сгради или реновиране на съществуващи сгради.</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При реновирането на сгради минималната цел е да се постигне средно спестяване на първична енергия от 30 %.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Изпълнението на инвестицията трябва да приключи до 30 ю</w:t>
      </w:r>
      <w:r>
        <w:rPr>
          <w:rFonts w:ascii="Times New Roman" w:hAnsi="Times New Roman"/>
          <w:noProof/>
          <w:sz w:val="24"/>
          <w:szCs w:val="24"/>
        </w:rPr>
        <w:t>ни 2026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Инвестиция 2: Разширяване и подновяване на капацитета за последващи грижи и сестрински грижи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Липсва законодателна яснота и капацитет за последващи грижи за пациентите след хоспитализацията, за да се гарантира възможно най-добрата рехабилитация. </w:t>
      </w:r>
      <w:r>
        <w:rPr>
          <w:rFonts w:ascii="Times New Roman" w:hAnsi="Times New Roman"/>
          <w:noProof/>
          <w:sz w:val="24"/>
        </w:rPr>
        <w:t>Тази липса допринася за ненужна и неефективна повторна хоспитализация, която претоварва болниците. Липсва и капацитет за домашни сестрински грижи.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Тази инвестиция укрепва капацитета за полагане на грижи, за да се осигурят добри последващи грижи за нуждаещите се лица след освобождаването им от болницата, както и да се увеличи капацитетът за здравни грижи в домашни условия. По-конкретно се създават най</w:t>
      </w:r>
      <w:r>
        <w:rPr>
          <w:rFonts w:ascii="Times New Roman" w:hAnsi="Times New Roman"/>
          <w:noProof/>
          <w:sz w:val="24"/>
        </w:rPr>
        <w:t>-малко 650 нови легла за последващи грижи, като се използва освободеният капацитет за хронични и интензивни грижи след оптимизирането на болничната мрежа, както е посочено в компонент 11 от словашкия план за възстановяване и устойчивост. Освен това най-мал</w:t>
      </w:r>
      <w:r>
        <w:rPr>
          <w:rFonts w:ascii="Times New Roman" w:hAnsi="Times New Roman"/>
          <w:noProof/>
          <w:sz w:val="24"/>
        </w:rPr>
        <w:t xml:space="preserve">ко 91 доставчици на здравни грижи по домовете получават подкрепа. Това включва създаването на най-малко 11 нови доставчици на здравни грижи в домашни условия и пълното оборудване на най-малко 80 съществуващи такива.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Изпълнението на инвестицията трябва да </w:t>
      </w:r>
      <w:r>
        <w:rPr>
          <w:rFonts w:ascii="Times New Roman" w:hAnsi="Times New Roman"/>
          <w:noProof/>
          <w:sz w:val="24"/>
        </w:rPr>
        <w:t>приключи до 30 юни 2026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 xml:space="preserve">Инвестиция 3: Укрепване и възстановяване на капацитета за палиативни грижи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Мрежата от палиативни услуги за пациенти с терминално заболяване е недостатъчна и не отговаря на международните препоръки. Има по-малко от половината от </w:t>
      </w:r>
      <w:r>
        <w:rPr>
          <w:rFonts w:ascii="Times New Roman" w:hAnsi="Times New Roman"/>
          <w:noProof/>
          <w:sz w:val="24"/>
          <w:szCs w:val="24"/>
        </w:rPr>
        <w:t>броя на препоръчителните амбулантни хосписи и тяхното качество се компрометира от тяхното разположение, като същевременно е предпочитаният вид хоспис за по-голямата част от пациентите. Освен това съществуват значителни регионални различия по отношение на н</w:t>
      </w:r>
      <w:r>
        <w:rPr>
          <w:rFonts w:ascii="Times New Roman" w:hAnsi="Times New Roman"/>
          <w:noProof/>
          <w:sz w:val="24"/>
          <w:szCs w:val="24"/>
        </w:rPr>
        <w:t xml:space="preserve">аличието на услуги. Отделенията за палиативни грижи са създадени само в три от осемте региона.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Въз основа на реформа 1 на компонент 13 </w:t>
      </w:r>
      <w:r>
        <w:rPr>
          <w:rFonts w:ascii="Times New Roman" w:hAnsi="Times New Roman"/>
          <w:i/>
          <w:noProof/>
          <w:sz w:val="24"/>
          <w:szCs w:val="24"/>
        </w:rPr>
        <w:t>Интеграция и финансиране на дългосрочни социални и здравни грижи</w:t>
      </w:r>
      <w:r>
        <w:rPr>
          <w:rFonts w:ascii="Times New Roman" w:hAnsi="Times New Roman"/>
          <w:noProof/>
          <w:sz w:val="24"/>
          <w:szCs w:val="24"/>
        </w:rPr>
        <w:t>, тази инвестиция ще разшири и подобри капацитета за пал</w:t>
      </w:r>
      <w:r>
        <w:rPr>
          <w:rFonts w:ascii="Times New Roman" w:hAnsi="Times New Roman"/>
          <w:noProof/>
          <w:sz w:val="24"/>
          <w:szCs w:val="24"/>
        </w:rPr>
        <w:t>иативни грижи в условията на липса на такива услуги, в съответствие със стратегията за деинституционализация, привилегироване на грижите в домашни условия и в общността. Инвестицията включва:</w:t>
      </w:r>
    </w:p>
    <w:p w:rsidR="00D4086A" w:rsidRDefault="00D5307E">
      <w:pPr>
        <w:numPr>
          <w:ilvl w:val="0"/>
          <w:numId w:val="40"/>
        </w:numPr>
        <w:spacing w:before="120" w:after="120" w:line="240" w:lineRule="auto"/>
        <w:ind w:left="0"/>
        <w:jc w:val="both"/>
        <w:rPr>
          <w:rFonts w:ascii="Times New Roman" w:eastAsia="Times New Roman" w:hAnsi="Times New Roman"/>
          <w:noProof/>
          <w:sz w:val="24"/>
        </w:rPr>
      </w:pPr>
      <w:r>
        <w:rPr>
          <w:rFonts w:ascii="Times New Roman" w:hAnsi="Times New Roman"/>
          <w:noProof/>
          <w:sz w:val="24"/>
        </w:rPr>
        <w:t xml:space="preserve">Създаване на най-малко 270 нови палиативни легла за полагане на </w:t>
      </w:r>
      <w:r>
        <w:rPr>
          <w:rFonts w:ascii="Times New Roman" w:hAnsi="Times New Roman"/>
          <w:noProof/>
          <w:sz w:val="24"/>
        </w:rPr>
        <w:t>грижи в нискокапацитетни хосписи със среден капацитет от 20 легла за всеки хоспис, в слабо обслужвани райони чрез изграждане на нови хосписи и реновиране на съществуващите такива. Палиативните отделения и леглата за полагане на грижи в болниците се създава</w:t>
      </w:r>
      <w:r>
        <w:rPr>
          <w:rFonts w:ascii="Times New Roman" w:hAnsi="Times New Roman"/>
          <w:noProof/>
          <w:sz w:val="24"/>
        </w:rPr>
        <w:t>т чрез реконструкция на съществуващите легла, освободени чрез реорганизация на болничната мрежа.</w:t>
      </w:r>
    </w:p>
    <w:p w:rsidR="00D4086A" w:rsidRDefault="00D5307E">
      <w:pPr>
        <w:numPr>
          <w:ilvl w:val="0"/>
          <w:numId w:val="40"/>
        </w:numPr>
        <w:spacing w:before="120" w:after="120" w:line="240" w:lineRule="auto"/>
        <w:ind w:left="0"/>
        <w:jc w:val="both"/>
        <w:rPr>
          <w:rFonts w:ascii="Times New Roman" w:eastAsia="Times New Roman" w:hAnsi="Times New Roman"/>
          <w:noProof/>
          <w:sz w:val="24"/>
        </w:rPr>
      </w:pPr>
      <w:r>
        <w:rPr>
          <w:rFonts w:ascii="Times New Roman" w:hAnsi="Times New Roman"/>
          <w:noProof/>
          <w:sz w:val="24"/>
        </w:rPr>
        <w:t>Удължаване и обновяване на амбулантни палиативни грижи чрез поставяне на най-малко 20 нови амбулантни хосписа и чрез подновяване на поне 6 съществуващи такива.</w:t>
      </w:r>
      <w:r>
        <w:rPr>
          <w:rFonts w:ascii="Times New Roman" w:hAnsi="Times New Roman"/>
          <w:noProof/>
          <w:sz w:val="24"/>
        </w:rPr>
        <w:t xml:space="preserve"> Това включва осигуряване на необходимото физическо и техническо оборудване. Чрез поставяне на новоустановени амбулантни палиативни грижи в хосписи или палиативни отделения, качеството на техните грижи се подобрява.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При реновирането на сгради минималната ц</w:t>
      </w:r>
      <w:r>
        <w:rPr>
          <w:rFonts w:ascii="Times New Roman" w:hAnsi="Times New Roman"/>
          <w:noProof/>
          <w:sz w:val="24"/>
          <w:szCs w:val="24"/>
        </w:rPr>
        <w:t>ел е да се постигне средно спестяване на първична енергия от 30 %.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Изпълнението на инвестицията трябва да приключи до 30 септември 2025 г.</w:t>
      </w:r>
    </w:p>
    <w:p w:rsidR="00D4086A" w:rsidRDefault="00D4086A">
      <w:pPr>
        <w:spacing w:before="120" w:after="120" w:line="240" w:lineRule="auto"/>
        <w:jc w:val="both"/>
        <w:rPr>
          <w:rFonts w:ascii="Times New Roman" w:eastAsia="Times New Roman" w:hAnsi="Times New Roman"/>
          <w:noProof/>
          <w:sz w:val="24"/>
          <w:szCs w:val="24"/>
        </w:rPr>
      </w:pPr>
    </w:p>
    <w:p w:rsidR="00D4086A" w:rsidRDefault="00D4086A">
      <w:pPr>
        <w:spacing w:before="120" w:after="120" w:line="240" w:lineRule="auto"/>
        <w:jc w:val="both"/>
        <w:rPr>
          <w:rFonts w:ascii="Times New Roman" w:eastAsia="Times New Roman" w:hAnsi="Times New Roman"/>
          <w:noProof/>
          <w:sz w:val="24"/>
        </w:rPr>
        <w:sectPr w:rsidR="00D4086A">
          <w:headerReference w:type="even" r:id="rId162"/>
          <w:headerReference w:type="default" r:id="rId163"/>
          <w:footerReference w:type="even" r:id="rId164"/>
          <w:footerReference w:type="default" r:id="rId165"/>
          <w:headerReference w:type="first" r:id="rId166"/>
          <w:footerReference w:type="first" r:id="rId167"/>
          <w:pgSz w:w="11907" w:h="16839"/>
          <w:pgMar w:top="1134" w:right="1418" w:bottom="1134" w:left="1418" w:header="709" w:footer="709" w:gutter="0"/>
          <w:cols w:space="720"/>
          <w:docGrid w:linePitch="360"/>
        </w:sectPr>
      </w:pPr>
    </w:p>
    <w:p w:rsidR="00D4086A" w:rsidRDefault="00D4086A">
      <w:pPr>
        <w:spacing w:before="120" w:after="120" w:line="240" w:lineRule="auto"/>
        <w:jc w:val="both"/>
        <w:rPr>
          <w:rFonts w:ascii="Times New Roman" w:hAnsi="Times New Roman"/>
          <w:noProof/>
          <w:sz w:val="24"/>
          <w:szCs w:val="24"/>
        </w:rPr>
      </w:pPr>
    </w:p>
    <w:p w:rsidR="00D4086A" w:rsidRDefault="00D5307E">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Ключови етапи, цели, показатели и график за мониторинг</w:t>
      </w:r>
      <w:r>
        <w:rPr>
          <w:rFonts w:ascii="Times New Roman" w:hAnsi="Times New Roman"/>
          <w:b/>
          <w:noProof/>
          <w:sz w:val="24"/>
          <w:u w:val="single"/>
        </w:rPr>
        <w:t xml:space="preserve"> и изпълнение на безвъзмездната финансова подкрепа</w:t>
      </w:r>
    </w:p>
    <w:p w:rsidR="00D4086A" w:rsidRDefault="00D4086A">
      <w:pPr>
        <w:spacing w:before="120" w:after="120" w:line="240" w:lineRule="auto"/>
        <w:ind w:left="850"/>
        <w:jc w:val="both"/>
        <w:rPr>
          <w:rFonts w:ascii="Times New Roman" w:hAnsi="Times New Roman"/>
          <w:b/>
          <w:bCs/>
          <w:noProof/>
          <w:sz w:val="24"/>
          <w:szCs w:val="24"/>
        </w:rPr>
      </w:pPr>
    </w:p>
    <w:tbl>
      <w:tblPr>
        <w:tblW w:w="14893" w:type="dxa"/>
        <w:tblLayout w:type="fixed"/>
        <w:tblLook w:val="04A0" w:firstRow="1" w:lastRow="0" w:firstColumn="1" w:lastColumn="0" w:noHBand="0" w:noVBand="1"/>
      </w:tblPr>
      <w:tblGrid>
        <w:gridCol w:w="817"/>
        <w:gridCol w:w="1701"/>
        <w:gridCol w:w="1134"/>
        <w:gridCol w:w="827"/>
        <w:gridCol w:w="268"/>
        <w:gridCol w:w="1173"/>
        <w:gridCol w:w="1418"/>
        <w:gridCol w:w="1275"/>
        <w:gridCol w:w="1417"/>
        <w:gridCol w:w="993"/>
        <w:gridCol w:w="851"/>
        <w:gridCol w:w="3019"/>
      </w:tblGrid>
      <w:tr w:rsidR="00D4086A">
        <w:trPr>
          <w:trHeight w:val="870"/>
        </w:trPr>
        <w:tc>
          <w:tcPr>
            <w:tcW w:w="817"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701"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Свързана мярка (реформа или инвестиция)</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134"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Ключов етап / Цел</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827"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Наименование</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441" w:type="dxa"/>
            <w:gridSpan w:val="2"/>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w:t>
            </w:r>
            <w:r>
              <w:rPr>
                <w:rFonts w:ascii="Times New Roman" w:hAnsi="Times New Roman"/>
                <w:noProof/>
                <w:sz w:val="20"/>
                <w:szCs w:val="20"/>
              </w:rPr>
              <w:t xml:space="preserve">  </w:t>
            </w:r>
            <w:r>
              <w:rPr>
                <w:rFonts w:ascii="Times New Roman" w:hAnsi="Times New Roman"/>
                <w:b/>
                <w:bCs/>
                <w:noProof/>
                <w:sz w:val="20"/>
                <w:szCs w:val="20"/>
              </w:rPr>
              <w:t xml:space="preserve"> (за ключовите етапи)</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4110"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 (за целите)</w:t>
            </w:r>
          </w:p>
        </w:tc>
        <w:tc>
          <w:tcPr>
            <w:tcW w:w="1844" w:type="dxa"/>
            <w:gridSpan w:val="2"/>
            <w:tcBorders>
              <w:top w:val="single" w:sz="8" w:space="0" w:color="auto"/>
              <w:left w:val="nil"/>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Ориентировъчен график за приключване </w:t>
            </w:r>
          </w:p>
        </w:tc>
        <w:tc>
          <w:tcPr>
            <w:tcW w:w="3019" w:type="dxa"/>
            <w:vMerge w:val="restart"/>
            <w:tcBorders>
              <w:top w:val="single" w:sz="8" w:space="0" w:color="auto"/>
              <w:left w:val="nil"/>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Описание и ясно определяне на всеки ключов етап и цел</w:t>
            </w:r>
          </w:p>
          <w:p w:rsidR="00D4086A" w:rsidRDefault="00D5307E">
            <w:pPr>
              <w:rPr>
                <w:rFonts w:ascii="Times New Roman" w:hAnsi="Times New Roman"/>
                <w:noProof/>
                <w:sz w:val="20"/>
                <w:szCs w:val="20"/>
              </w:rPr>
            </w:pPr>
            <w:r>
              <w:rPr>
                <w:rFonts w:ascii="Times New Roman" w:hAnsi="Times New Roman"/>
                <w:noProof/>
                <w:sz w:val="20"/>
                <w:szCs w:val="20"/>
              </w:rPr>
              <w:t xml:space="preserve"> </w:t>
            </w:r>
          </w:p>
        </w:tc>
      </w:tr>
      <w:tr w:rsidR="00D4086A">
        <w:trPr>
          <w:trHeight w:val="240"/>
        </w:trPr>
        <w:tc>
          <w:tcPr>
            <w:tcW w:w="817"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701"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134"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827"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441" w:type="dxa"/>
            <w:gridSpan w:val="2"/>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Мерна единица</w:t>
            </w:r>
          </w:p>
        </w:tc>
        <w:tc>
          <w:tcPr>
            <w:tcW w:w="1275" w:type="dxa"/>
            <w:tcBorders>
              <w:top w:val="nil"/>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Контекст</w:t>
            </w:r>
          </w:p>
        </w:tc>
        <w:tc>
          <w:tcPr>
            <w:tcW w:w="1417" w:type="dxa"/>
            <w:tcBorders>
              <w:top w:val="nil"/>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Цел</w:t>
            </w:r>
          </w:p>
        </w:tc>
        <w:tc>
          <w:tcPr>
            <w:tcW w:w="993"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Тримесечие</w:t>
            </w:r>
          </w:p>
        </w:tc>
        <w:tc>
          <w:tcPr>
            <w:tcW w:w="851" w:type="dxa"/>
            <w:tcBorders>
              <w:top w:val="nil"/>
              <w:left w:val="nil"/>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Година</w:t>
            </w:r>
          </w:p>
        </w:tc>
        <w:tc>
          <w:tcPr>
            <w:tcW w:w="3019" w:type="dxa"/>
            <w:vMerge/>
            <w:tcBorders>
              <w:left w:val="nil"/>
              <w:bottom w:val="single" w:sz="8" w:space="0" w:color="auto"/>
              <w:right w:val="single" w:sz="8" w:space="0" w:color="auto"/>
            </w:tcBorders>
            <w:shd w:val="clear" w:color="auto" w:fill="BDD7EE"/>
            <w:vAlign w:val="center"/>
          </w:tcPr>
          <w:p w:rsidR="00D4086A" w:rsidRDefault="00D4086A">
            <w:pPr>
              <w:rPr>
                <w:rFonts w:ascii="Times New Roman" w:hAnsi="Times New Roman"/>
                <w:noProof/>
                <w:sz w:val="20"/>
                <w:szCs w:val="20"/>
              </w:rPr>
            </w:pPr>
          </w:p>
        </w:tc>
      </w:tr>
      <w:tr w:rsidR="00D4086A">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13 – достъпни и висококачествени дългосрочни социално-здравни грижи – реформа 1: Налични и качествени дългосрочни социално-здравни грижи – Реформа на интеграцията и финансиране на дългосрочните социални и здравни грижи</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Нова законодателн</w:t>
            </w:r>
            <w:r>
              <w:rPr>
                <w:rFonts w:ascii="Times New Roman" w:hAnsi="Times New Roman"/>
                <w:noProof/>
                <w:color w:val="006100"/>
                <w:sz w:val="20"/>
                <w:szCs w:val="20"/>
              </w:rPr>
              <w:t>а рамка за дългосрочно здравеопазване и палиативни грижи</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нов закон за дългосрочните и палиативните грижи и на регулирането на финансирането на палиативни и сестрински грижи</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Т1</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2023</w:t>
            </w:r>
          </w:p>
        </w:tc>
        <w:tc>
          <w:tcPr>
            <w:tcW w:w="3019"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Първият етап от прилагането на реформата се състои </w:t>
            </w:r>
            <w:r>
              <w:rPr>
                <w:rFonts w:ascii="Times New Roman" w:hAnsi="Times New Roman"/>
                <w:noProof/>
                <w:color w:val="006100"/>
                <w:sz w:val="20"/>
                <w:szCs w:val="20"/>
              </w:rPr>
              <w:t>в регулиране на възстановяването от страна на здравноосигурителните дружества на медицинските грижи в заведенията за социални услуги, условията за сключване на договор за сестрински грижи от страна на застрахователните дружества и адаптирането на възстанов</w:t>
            </w:r>
            <w:r>
              <w:rPr>
                <w:rFonts w:ascii="Times New Roman" w:hAnsi="Times New Roman"/>
                <w:noProof/>
                <w:color w:val="006100"/>
                <w:sz w:val="20"/>
                <w:szCs w:val="20"/>
              </w:rPr>
              <w:t xml:space="preserve">яването на разходите от здравноосигурителните дружества за палиативни, амбулаторни и болнични грижи. Приемането на това законодателно изменение е предвидено за първото тримесечие на 2022 г. </w:t>
            </w:r>
          </w:p>
          <w:p w:rsidR="00D4086A" w:rsidRDefault="00D5307E">
            <w:pPr>
              <w:rPr>
                <w:rFonts w:ascii="Times New Roman" w:hAnsi="Times New Roman"/>
                <w:noProof/>
                <w:sz w:val="20"/>
                <w:szCs w:val="20"/>
              </w:rPr>
            </w:pPr>
            <w:r>
              <w:rPr>
                <w:rFonts w:ascii="Times New Roman" w:hAnsi="Times New Roman"/>
                <w:noProof/>
                <w:color w:val="006100"/>
                <w:sz w:val="20"/>
                <w:szCs w:val="20"/>
              </w:rPr>
              <w:t>Следващият етап на прилагане се състои в разработването и одобряв</w:t>
            </w:r>
            <w:r>
              <w:rPr>
                <w:rFonts w:ascii="Times New Roman" w:hAnsi="Times New Roman"/>
                <w:noProof/>
                <w:color w:val="006100"/>
                <w:sz w:val="20"/>
                <w:szCs w:val="20"/>
              </w:rPr>
              <w:t>ането на ново законодателство. В нов закон за здравеопазването се определя обхватът на дългосрочните здравни и палиативни грижи и се определят последващите грижи и връзката им с други видове грижи. Този закон се приема до първото тримесечие на 2023 г. Зако</w:t>
            </w:r>
            <w:r>
              <w:rPr>
                <w:rFonts w:ascii="Times New Roman" w:hAnsi="Times New Roman"/>
                <w:noProof/>
                <w:color w:val="006100"/>
                <w:sz w:val="20"/>
                <w:szCs w:val="20"/>
              </w:rPr>
              <w:t>нодателните изменения уреждат областите, понастоящем определени със Закон № 576/2004 за здравеопазването и услугите, свързани с предоставянето на здравно обслужване.</w:t>
            </w:r>
          </w:p>
        </w:tc>
      </w:tr>
      <w:tr w:rsidR="00D4086A">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13 – достъпни и висококачествени дългосрочни социално-здравни грижи – реформа 1: </w:t>
            </w:r>
            <w:r>
              <w:rPr>
                <w:rFonts w:ascii="Times New Roman" w:hAnsi="Times New Roman"/>
                <w:noProof/>
                <w:color w:val="006100"/>
                <w:sz w:val="20"/>
                <w:szCs w:val="20"/>
              </w:rPr>
              <w:t>Налични и качествени дългосрочни социално-здравни грижи – Реформа на интеграцията и финансирането на дългосрочните социални и здравни грижи</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Публикуване на концепцията за финансиране на социалните услуги за обществен дебат</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Публикувана концепция </w:t>
            </w:r>
            <w:r>
              <w:rPr>
                <w:rFonts w:ascii="Times New Roman" w:hAnsi="Times New Roman"/>
                <w:noProof/>
                <w:color w:val="006100"/>
                <w:sz w:val="20"/>
                <w:szCs w:val="20"/>
              </w:rPr>
              <w:t>за финансирането на социалните услуги</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Т4</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2023</w:t>
            </w:r>
          </w:p>
        </w:tc>
        <w:tc>
          <w:tcPr>
            <w:tcW w:w="3019"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В резултат на първия етап от подготовката на реформата на финансирането на социалните услуги правителството предлага нова концепция за финансирането на социалните услуги за консултация със </w:t>
            </w:r>
            <w:r>
              <w:rPr>
                <w:rFonts w:ascii="Times New Roman" w:hAnsi="Times New Roman"/>
                <w:noProof/>
                <w:color w:val="006100"/>
                <w:sz w:val="20"/>
                <w:szCs w:val="20"/>
              </w:rPr>
              <w:t>заинтересованите страни.</w:t>
            </w:r>
          </w:p>
        </w:tc>
      </w:tr>
      <w:tr w:rsidR="00D4086A">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3</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13 – достъпни и висококачествени дългосрочни социално-здравни грижи – реформа 1: Налични и качествени дългосрочни социално-здравни грижи – Реформа на интеграцията и финансиране на дългосрочните социални и здравни грижи</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Ключов </w:t>
            </w:r>
            <w:r>
              <w:rPr>
                <w:rFonts w:ascii="Times New Roman" w:hAnsi="Times New Roman"/>
                <w:noProof/>
                <w:color w:val="006100"/>
                <w:sz w:val="20"/>
                <w:szCs w:val="20"/>
              </w:rPr>
              <w:t>етап</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Новата система за финансиране на социалните услуги – въвеждане на личен бюджет</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Закона за финансирането на социалните услуги</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Т4</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2025</w:t>
            </w:r>
          </w:p>
        </w:tc>
        <w:tc>
          <w:tcPr>
            <w:tcW w:w="3019"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законодателство в областта на социалните услуги, което въвежда нова система з</w:t>
            </w:r>
            <w:r>
              <w:rPr>
                <w:rFonts w:ascii="Times New Roman" w:hAnsi="Times New Roman"/>
                <w:noProof/>
                <w:color w:val="006100"/>
                <w:sz w:val="20"/>
                <w:szCs w:val="20"/>
              </w:rPr>
              <w:t>а финансиране, основана на личен бюджет за нуждаещото се лице. Реформата премахва голям брой различни вноски и създава пространство за целенасочена и всеобхватна подкрепа за хората, нуждаещи се от дългосрочни грижи. Реформата на финансирането подкрепя появ</w:t>
            </w:r>
            <w:r>
              <w:rPr>
                <w:rFonts w:ascii="Times New Roman" w:hAnsi="Times New Roman"/>
                <w:noProof/>
                <w:color w:val="006100"/>
                <w:sz w:val="20"/>
                <w:szCs w:val="20"/>
              </w:rPr>
              <w:t>ата и развитието на услуги в общността. Законодателните изменения уреждат областите, понастоящем определени по-специално със Закон № 448/2008 относно социалните услуги и Закон № 447/2008 Сб. относно паричните помощи за компенсиране на тежки увреждания.</w:t>
            </w:r>
          </w:p>
        </w:tc>
      </w:tr>
      <w:tr w:rsidR="00D4086A">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4</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13 – достъпни и висококачествени дългосрочни социално-здравни грижи – реформа 2: Налични и висококачествени дългосрочни социално-здравни грижи – оценка на нуждите от грижи</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Уеднаквяване на системата за оценка</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Закона за социални</w:t>
            </w:r>
            <w:r>
              <w:rPr>
                <w:rFonts w:ascii="Times New Roman" w:hAnsi="Times New Roman"/>
                <w:noProof/>
                <w:color w:val="006100"/>
                <w:sz w:val="20"/>
                <w:szCs w:val="20"/>
              </w:rPr>
              <w:t>те услуги и изменение на Закон 447/2008 за обезщетяване на лица с тежки увреждания</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Т1</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2024</w:t>
            </w:r>
          </w:p>
        </w:tc>
        <w:tc>
          <w:tcPr>
            <w:tcW w:w="3019"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Влизане в сила на законодателство в областта на социалните услуги, което да обедини извършената до момента работа по оценка от различни органи и същевременно да измени Закон № 447/2008 относно обезщетенията за лица с тежки увреждания. </w:t>
            </w:r>
          </w:p>
          <w:p w:rsidR="00D4086A" w:rsidRDefault="00D5307E">
            <w:pPr>
              <w:rPr>
                <w:rFonts w:ascii="Times New Roman" w:hAnsi="Times New Roman"/>
                <w:noProof/>
                <w:sz w:val="20"/>
                <w:szCs w:val="20"/>
              </w:rPr>
            </w:pPr>
            <w:r>
              <w:rPr>
                <w:rFonts w:ascii="Times New Roman" w:hAnsi="Times New Roman"/>
                <w:noProof/>
                <w:color w:val="006100"/>
                <w:sz w:val="20"/>
                <w:szCs w:val="20"/>
              </w:rPr>
              <w:t>Реформата на работат</w:t>
            </w:r>
            <w:r>
              <w:rPr>
                <w:rFonts w:ascii="Times New Roman" w:hAnsi="Times New Roman"/>
                <w:noProof/>
                <w:color w:val="006100"/>
                <w:sz w:val="20"/>
                <w:szCs w:val="20"/>
              </w:rPr>
              <w:t xml:space="preserve">а по оценяването премахва неефективността и бюрокрацията за медицинските оценители и оценители. Определят се нови единни критерии за субзависимост, за да се направи оценката по-прозрачна. Работата по оценяването трябва да бъде цифровизирана – медицинските </w:t>
            </w:r>
            <w:r>
              <w:rPr>
                <w:rFonts w:ascii="Times New Roman" w:hAnsi="Times New Roman"/>
                <w:noProof/>
                <w:color w:val="006100"/>
                <w:sz w:val="20"/>
                <w:szCs w:val="20"/>
              </w:rPr>
              <w:t>оценители ще използват системата за електронно здравеопазване. За да се гарантира ефективното изпълнение на реформата, финансовите ресурси по тази реформа се използват за осигуряване на компютърно и офис оборудване за 200 служители, извършващи оценки, и на</w:t>
            </w:r>
            <w:r>
              <w:rPr>
                <w:rFonts w:ascii="Times New Roman" w:hAnsi="Times New Roman"/>
                <w:noProof/>
                <w:color w:val="006100"/>
                <w:sz w:val="20"/>
                <w:szCs w:val="20"/>
              </w:rPr>
              <w:t xml:space="preserve"> превозно средство за всеки от 46-те клона. </w:t>
            </w:r>
          </w:p>
        </w:tc>
      </w:tr>
      <w:tr w:rsidR="00D4086A">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5</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13 – достъпни и висококачествени дългосрочни социално-здравни грижи – реформа 3:  Реформиране на надзора на социалните грижи и осигуряване на инфраструктура за неговото прилагане</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Реформа на </w:t>
            </w:r>
            <w:r>
              <w:rPr>
                <w:rFonts w:ascii="Times New Roman" w:hAnsi="Times New Roman"/>
                <w:noProof/>
                <w:color w:val="006100"/>
                <w:sz w:val="20"/>
                <w:szCs w:val="20"/>
              </w:rPr>
              <w:t>надзора на социалните грижи</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Закона за надзор на социалните грижи</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Т2</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2022</w:t>
            </w:r>
          </w:p>
        </w:tc>
        <w:tc>
          <w:tcPr>
            <w:tcW w:w="3019"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Влизане в сила на закон в областта на надзора на социалните грижи, който обединява правомощията за надзор; и Създаване на законодателна основа за </w:t>
            </w:r>
            <w:r>
              <w:rPr>
                <w:rFonts w:ascii="Times New Roman" w:hAnsi="Times New Roman"/>
                <w:noProof/>
                <w:color w:val="006100"/>
                <w:sz w:val="20"/>
                <w:szCs w:val="20"/>
              </w:rPr>
              <w:t>функционирането на новия надзор/инспекция в областта на социалното подпомагане;</w:t>
            </w:r>
            <w:r>
              <w:rPr>
                <w:rFonts w:ascii="Times New Roman" w:hAnsi="Times New Roman"/>
                <w:noProof/>
                <w:sz w:val="20"/>
                <w:szCs w:val="20"/>
              </w:rPr>
              <w:t xml:space="preserve">  </w:t>
            </w:r>
            <w:r>
              <w:rPr>
                <w:rFonts w:ascii="Times New Roman" w:hAnsi="Times New Roman"/>
                <w:noProof/>
                <w:color w:val="006100"/>
                <w:sz w:val="20"/>
                <w:szCs w:val="20"/>
              </w:rPr>
              <w:t xml:space="preserve"> Определяне на нови условия за качество на грижите в социалните услуги и домакинствата;</w:t>
            </w:r>
            <w:r>
              <w:rPr>
                <w:rFonts w:ascii="Times New Roman" w:hAnsi="Times New Roman"/>
                <w:noProof/>
                <w:sz w:val="20"/>
                <w:szCs w:val="20"/>
              </w:rPr>
              <w:t xml:space="preserve"> </w:t>
            </w:r>
            <w:r>
              <w:rPr>
                <w:rFonts w:ascii="Times New Roman" w:hAnsi="Times New Roman"/>
                <w:noProof/>
                <w:color w:val="006100"/>
                <w:sz w:val="20"/>
                <w:szCs w:val="20"/>
              </w:rPr>
              <w:t>— Разширяване на обхвата на надзора, така че да включва и надзора на неформалните грижи</w:t>
            </w:r>
            <w:r>
              <w:rPr>
                <w:rFonts w:ascii="Times New Roman" w:hAnsi="Times New Roman"/>
                <w:noProof/>
                <w:color w:val="006100"/>
                <w:sz w:val="20"/>
                <w:szCs w:val="20"/>
              </w:rPr>
              <w:t xml:space="preserve"> по домовете. </w:t>
            </w:r>
          </w:p>
        </w:tc>
      </w:tr>
      <w:tr w:rsidR="00D4086A">
        <w:trPr>
          <w:trHeight w:val="16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6</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13 – достъпни и висококачествени дългосрочни социално-здравни грижи – реформа 3:  Реформиране на надзора на социалните грижи и осигуряване на инфраструктура за неговото прилагане</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Създаване на единна система за надзор с централно управление и 8 клона </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9</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Т1</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2024</w:t>
            </w:r>
          </w:p>
        </w:tc>
        <w:tc>
          <w:tcPr>
            <w:tcW w:w="3019"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Завършване на необходимата инфраструктура за функционирането на надзорния орган – централа и 8 регионални клона. Разходите включват сгради, автомобили, компютърно об</w:t>
            </w:r>
            <w:r>
              <w:rPr>
                <w:rFonts w:ascii="Times New Roman" w:hAnsi="Times New Roman"/>
                <w:noProof/>
                <w:color w:val="006100"/>
                <w:sz w:val="20"/>
                <w:szCs w:val="20"/>
              </w:rPr>
              <w:t>орудване и други предпоставки.</w:t>
            </w:r>
          </w:p>
        </w:tc>
      </w:tr>
      <w:tr w:rsidR="00D4086A">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7</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13 – достъпни и висококачествени дългосрочни социално-здравни грижи – инвестиции 1: Повишаване на капацитета за социални грижи в общността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Повишаване на капацитета на местните жилищни услуги и на здравните и социални </w:t>
            </w:r>
            <w:r>
              <w:rPr>
                <w:rFonts w:ascii="Times New Roman" w:hAnsi="Times New Roman"/>
                <w:noProof/>
                <w:color w:val="006100"/>
                <w:sz w:val="20"/>
                <w:szCs w:val="20"/>
              </w:rPr>
              <w:t>заведения с нисък капацитет (показател: минимален брой създадени места)</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210</w:t>
            </w:r>
          </w:p>
        </w:tc>
        <w:tc>
          <w:tcPr>
            <w:tcW w:w="993" w:type="dxa"/>
            <w:tcBorders>
              <w:top w:val="nil"/>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Т2</w:t>
            </w:r>
          </w:p>
        </w:tc>
        <w:tc>
          <w:tcPr>
            <w:tcW w:w="851" w:type="dxa"/>
            <w:tcBorders>
              <w:top w:val="nil"/>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2024</w:t>
            </w:r>
          </w:p>
        </w:tc>
        <w:tc>
          <w:tcPr>
            <w:tcW w:w="301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Създават се най-малко 210 нови места в съоръжения в общността и в здравни и социални заведения с нисък капацитет, комбинирани чрез построяване на нови сгради и </w:t>
            </w:r>
            <w:r>
              <w:rPr>
                <w:rFonts w:ascii="Times New Roman" w:hAnsi="Times New Roman"/>
                <w:noProof/>
                <w:color w:val="006100"/>
                <w:sz w:val="20"/>
                <w:szCs w:val="20"/>
              </w:rPr>
              <w:t>реновиране на съществуващи сгради.</w:t>
            </w:r>
            <w:r>
              <w:rPr>
                <w:rFonts w:ascii="Times New Roman" w:hAnsi="Times New Roman"/>
                <w:noProof/>
                <w:sz w:val="20"/>
                <w:szCs w:val="20"/>
              </w:rPr>
              <w:t xml:space="preserve"> </w:t>
            </w:r>
            <w:r>
              <w:rPr>
                <w:rFonts w:ascii="Times New Roman" w:hAnsi="Times New Roman"/>
                <w:noProof/>
                <w:color w:val="006100"/>
                <w:sz w:val="20"/>
                <w:szCs w:val="20"/>
              </w:rPr>
              <w:t>Разположените в общността съоръжения се отнасят главно до семейни жилища с капацитет до 12 места за всяко от тях. Заведенията за здравно-социални грижи имат капацитет до 30 места за всяко от тях.</w:t>
            </w:r>
          </w:p>
          <w:p w:rsidR="00D4086A" w:rsidRDefault="00D5307E">
            <w:pPr>
              <w:rPr>
                <w:rFonts w:ascii="Times New Roman" w:hAnsi="Times New Roman"/>
                <w:noProof/>
                <w:sz w:val="20"/>
                <w:szCs w:val="20"/>
              </w:rPr>
            </w:pPr>
            <w:r>
              <w:rPr>
                <w:rFonts w:ascii="Times New Roman" w:hAnsi="Times New Roman"/>
                <w:noProof/>
                <w:color w:val="006100"/>
                <w:sz w:val="20"/>
                <w:szCs w:val="20"/>
              </w:rPr>
              <w:t>Съоръженията ще бъдат изг</w:t>
            </w:r>
            <w:r>
              <w:rPr>
                <w:rFonts w:ascii="Times New Roman" w:hAnsi="Times New Roman"/>
                <w:noProof/>
                <w:color w:val="006100"/>
                <w:sz w:val="20"/>
                <w:szCs w:val="20"/>
              </w:rPr>
              <w:t xml:space="preserve">радени/реконструирани в съответствие с принципите на универсалния дизайн и ще бъдат с малък капацитет, като по този начин ще отговарят на условията на Конвенцията на ООН за правата на хората с увреждания.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r>
      <w:tr w:rsidR="00D4086A">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8</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13 – достъпни и висококачествени дългосрочни социално-здравни грижи – инвестиции 1: Повишаване на капацитета за социални грижи в общността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Повишаване на капацитета на местните жилищни услуги и на здравните и социални заведения с нисък капацитет (показ</w:t>
            </w:r>
            <w:r>
              <w:rPr>
                <w:rFonts w:ascii="Times New Roman" w:hAnsi="Times New Roman"/>
                <w:noProof/>
                <w:color w:val="006100"/>
                <w:sz w:val="20"/>
                <w:szCs w:val="20"/>
              </w:rPr>
              <w:t>ател: минимален брой създадени места)</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1400</w:t>
            </w:r>
          </w:p>
        </w:tc>
        <w:tc>
          <w:tcPr>
            <w:tcW w:w="993" w:type="dxa"/>
            <w:tcBorders>
              <w:top w:val="nil"/>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Т2</w:t>
            </w:r>
          </w:p>
        </w:tc>
        <w:tc>
          <w:tcPr>
            <w:tcW w:w="851" w:type="dxa"/>
            <w:tcBorders>
              <w:top w:val="nil"/>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2026</w:t>
            </w:r>
          </w:p>
        </w:tc>
        <w:tc>
          <w:tcPr>
            <w:tcW w:w="3019"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От общата цел за създаване на 1480 места в съоръжения в общността (от които 1000 места) и в здравни заведения с малък капацитет (от които 480 места), взети заедно, се създават най-малко 1400 нови </w:t>
            </w:r>
            <w:r>
              <w:rPr>
                <w:rFonts w:ascii="Times New Roman" w:hAnsi="Times New Roman"/>
                <w:noProof/>
                <w:color w:val="006100"/>
                <w:sz w:val="20"/>
                <w:szCs w:val="20"/>
              </w:rPr>
              <w:t>места чрез построяване на нови сгради и реновиране на съществуващи сгради. Разположените в общността съоръжения се отнасят главно до семейни жилища с капацитет до 12 места за всяко от тях. Заведенията за здравно-социални грижи имат капацитет до 30 места за</w:t>
            </w:r>
            <w:r>
              <w:rPr>
                <w:rFonts w:ascii="Times New Roman" w:hAnsi="Times New Roman"/>
                <w:noProof/>
                <w:color w:val="006100"/>
                <w:sz w:val="20"/>
                <w:szCs w:val="20"/>
              </w:rPr>
              <w:t xml:space="preserve"> всяко от тях.</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Съоръженията ще бъдат изградени/реконструирани в съответствие с принципите на универсалния дизайн и ще бъдат с малък капацитет, като по този начин ще отговарят на условията на Конвенцията на ООН за правата на хората с увреждания.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r>
      <w:tr w:rsidR="00D4086A">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9</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13 – достъпни и висококачествени дългосрочни социално-здравни грижи – инвестиции 1: Повишаване на капацитета за социални грижи в общността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Увеличаване на капацитета за амбулаторно обслужване (показател: минимален брой създадени места)</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387</w:t>
            </w:r>
          </w:p>
        </w:tc>
        <w:tc>
          <w:tcPr>
            <w:tcW w:w="993" w:type="dxa"/>
            <w:tcBorders>
              <w:top w:val="nil"/>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Т2</w:t>
            </w:r>
          </w:p>
        </w:tc>
        <w:tc>
          <w:tcPr>
            <w:tcW w:w="851" w:type="dxa"/>
            <w:tcBorders>
              <w:top w:val="nil"/>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2024</w:t>
            </w:r>
          </w:p>
        </w:tc>
        <w:tc>
          <w:tcPr>
            <w:tcW w:w="301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Създават се 387 места за амбулаторно обслужване в нови амбулаторно оборудване (напр. дневни стационарни центрове, рехабилитационни центрове) със среден капацитет от 20 места чрез изграждането на нови сгради или реновирането на съществуващи сгради. Тез</w:t>
            </w:r>
            <w:r>
              <w:rPr>
                <w:rFonts w:ascii="Times New Roman" w:hAnsi="Times New Roman"/>
                <w:noProof/>
                <w:color w:val="006100"/>
                <w:sz w:val="20"/>
                <w:szCs w:val="20"/>
              </w:rPr>
              <w:t>и съоръжения служат отчасти за отдих на лицата, полагащи неформални грижи. Съоръженията се изграждат/реконструират в съответствие с принципите на универсалния дизайн и са с малък капацитет, като по този начин се изпълняват условията на Конвенцията на ООН з</w:t>
            </w:r>
            <w:r>
              <w:rPr>
                <w:rFonts w:ascii="Times New Roman" w:hAnsi="Times New Roman"/>
                <w:noProof/>
                <w:color w:val="006100"/>
                <w:sz w:val="20"/>
                <w:szCs w:val="20"/>
              </w:rPr>
              <w:t>а правата на хората с увреждания.</w:t>
            </w:r>
          </w:p>
        </w:tc>
      </w:tr>
      <w:tr w:rsidR="00D4086A">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10</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13 – достъпни и висококачествени дългосрочни социално-здравни грижи – инвестиции 1: Повишаване на капацитета за социални грижи в общността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Увеличаване на капацитета за амбулаторно обслужване (показател: минимален </w:t>
            </w:r>
            <w:r>
              <w:rPr>
                <w:rFonts w:ascii="Times New Roman" w:hAnsi="Times New Roman"/>
                <w:noProof/>
                <w:color w:val="006100"/>
                <w:sz w:val="20"/>
                <w:szCs w:val="20"/>
              </w:rPr>
              <w:t>брой създадени места)</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2580</w:t>
            </w:r>
          </w:p>
        </w:tc>
        <w:tc>
          <w:tcPr>
            <w:tcW w:w="993" w:type="dxa"/>
            <w:tcBorders>
              <w:top w:val="nil"/>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Т2</w:t>
            </w:r>
          </w:p>
        </w:tc>
        <w:tc>
          <w:tcPr>
            <w:tcW w:w="851" w:type="dxa"/>
            <w:tcBorders>
              <w:top w:val="nil"/>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2026</w:t>
            </w:r>
          </w:p>
        </w:tc>
        <w:tc>
          <w:tcPr>
            <w:tcW w:w="3019"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От общата цел за създаване на 2585 места за амбулаторно обслужване в нови амбулаторно оборудване (напр. дневни стационарно оборудване, рехабилитационни центрове) със среден капацитет от 20 места, най-малко 2580 места се създават чрез изграждането на нови с</w:t>
            </w:r>
            <w:r>
              <w:rPr>
                <w:rFonts w:ascii="Times New Roman" w:hAnsi="Times New Roman"/>
                <w:noProof/>
                <w:color w:val="006100"/>
                <w:sz w:val="20"/>
                <w:szCs w:val="20"/>
              </w:rPr>
              <w:t>гради или реновирането на съществуващи сгради. Тези съоръжения служат отчасти за отдих на лицата, полагащи неформални грижи. Съоръженията се изграждат/реконструират в съответствие с принципите на универсалния дизайн и са с малък капацитет, като по този нач</w:t>
            </w:r>
            <w:r>
              <w:rPr>
                <w:rFonts w:ascii="Times New Roman" w:hAnsi="Times New Roman"/>
                <w:noProof/>
                <w:color w:val="006100"/>
                <w:sz w:val="20"/>
                <w:szCs w:val="20"/>
              </w:rPr>
              <w:t xml:space="preserve">ин се изпълняват условията на Конвенцията на ООН за правата на хората с увреждания. </w:t>
            </w:r>
          </w:p>
        </w:tc>
      </w:tr>
      <w:tr w:rsidR="00D4086A">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11</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13 – достъпни и висококачествени дългосрочни социално-здравни грижи – инвестиции 2: Увеличаване и възстановяване на капацитета за последващи грижи и сестрински грижи</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Удължаване и подновяване на доставчиците на здравни грижи в домашни условия (показател: брой на подпомогнатите доставчици)</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91</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Т1</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2025</w:t>
            </w:r>
          </w:p>
        </w:tc>
        <w:tc>
          <w:tcPr>
            <w:tcW w:w="3019"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Инвестиции във физическо и техническо оборудване на 91 нови и съществуващи агенции за здравни грижи в дома. Т</w:t>
            </w:r>
            <w:r>
              <w:rPr>
                <w:rFonts w:ascii="Times New Roman" w:hAnsi="Times New Roman"/>
                <w:noProof/>
                <w:color w:val="006100"/>
                <w:sz w:val="20"/>
                <w:szCs w:val="20"/>
              </w:rPr>
              <w:t>я ще подкрепи създаването на най-малко 11 нови агенции и повторното оборудване на най-малко 80 съществуващи агенции за здравни грижи в домашни условия.</w:t>
            </w:r>
          </w:p>
        </w:tc>
      </w:tr>
      <w:tr w:rsidR="00D4086A">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12</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13 – достъпни и висококачествени дългосрочни социално-здравни грижи – инвестиции 2: Увеличаване и </w:t>
            </w:r>
            <w:r>
              <w:rPr>
                <w:rFonts w:ascii="Times New Roman" w:hAnsi="Times New Roman"/>
                <w:noProof/>
                <w:color w:val="006100"/>
                <w:sz w:val="20"/>
                <w:szCs w:val="20"/>
              </w:rPr>
              <w:t>възстановяване на капацитета за последващи грижи и сестрински грижи</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Създаване на легла след полагане на грижи чрез реконструиране на съществуващи остри и хронични легла (показател: минимален брой реконструирани легла за последващи грижи)</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650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Т2</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2026</w:t>
            </w:r>
          </w:p>
        </w:tc>
        <w:tc>
          <w:tcPr>
            <w:tcW w:w="3019"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Най-малко 650 легла за последващи грижи се създават чрез използване на освободения капацитет за хронични и остри грижи след оптимизиране на болничната мрежа. Леглата за следдипломна грижа ще служат за лечение на пациенти след хоспитализация в легла</w:t>
            </w:r>
            <w:r>
              <w:rPr>
                <w:rFonts w:ascii="Times New Roman" w:hAnsi="Times New Roman"/>
                <w:noProof/>
                <w:color w:val="006100"/>
                <w:sz w:val="20"/>
                <w:szCs w:val="20"/>
              </w:rPr>
              <w:t xml:space="preserve"> с остри легла. </w:t>
            </w:r>
          </w:p>
        </w:tc>
      </w:tr>
      <w:tr w:rsidR="00D4086A">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13</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13 – достъпни и висококачествени дългосрочни социално-здравни грижи – инвестиции 3: Разширяване и възстановяване на капацитета за палиативни грижи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Разширяване и обновяване на капацитета за палиативни грижи с настаняване </w:t>
            </w:r>
            <w:r>
              <w:rPr>
                <w:rFonts w:ascii="Times New Roman" w:hAnsi="Times New Roman"/>
                <w:noProof/>
                <w:color w:val="006100"/>
                <w:sz w:val="20"/>
                <w:szCs w:val="20"/>
              </w:rPr>
              <w:t>(показател: брой създадени и възстановени места за легло)</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270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Т3</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2025</w:t>
            </w:r>
          </w:p>
        </w:tc>
        <w:tc>
          <w:tcPr>
            <w:tcW w:w="3019"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Тази инвестиция включва създаването на най-малко 270 легла чрез изграждане на нови хосписи средно (20 легла) и реконструкция на съществуващи хосписи. Хосписите се използват за д</w:t>
            </w:r>
            <w:r>
              <w:rPr>
                <w:rFonts w:ascii="Times New Roman" w:hAnsi="Times New Roman"/>
                <w:noProof/>
                <w:color w:val="006100"/>
                <w:sz w:val="20"/>
                <w:szCs w:val="20"/>
              </w:rPr>
              <w:t>ългосрочни палиативни грижи за пациенти, чието състояние или семейно положение не позволява палиативно лечение в домашни условия. Леглата на палиативните отделения се създават чрез реконструиране на съществуващите легла. Някои от тях са резултат от препроф</w:t>
            </w:r>
            <w:r>
              <w:rPr>
                <w:rFonts w:ascii="Times New Roman" w:hAnsi="Times New Roman"/>
                <w:noProof/>
                <w:color w:val="006100"/>
                <w:sz w:val="20"/>
                <w:szCs w:val="20"/>
              </w:rPr>
              <w:t xml:space="preserve">илирането на продължително болните отделения, част от които са резултат от остри легла, освободени от оптимизацията на мрежата. </w:t>
            </w:r>
          </w:p>
        </w:tc>
      </w:tr>
      <w:tr w:rsidR="00D4086A">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14</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13 – достъпни и висококачествени дългосрочни социално-здравни грижи – инвестиции 3: Разширяване и възстановяване на капацитета за палиативни грижи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Разширяване и обновяване на мобилната мрежа от хосписи (показател: брой нови и реконструирани доставчици</w:t>
            </w:r>
            <w:r>
              <w:rPr>
                <w:rFonts w:ascii="Times New Roman" w:hAnsi="Times New Roman"/>
                <w:noProof/>
                <w:color w:val="006100"/>
                <w:sz w:val="20"/>
                <w:szCs w:val="20"/>
              </w:rPr>
              <w:t>)</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26</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Т1</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2025</w:t>
            </w:r>
          </w:p>
        </w:tc>
        <w:tc>
          <w:tcPr>
            <w:tcW w:w="3019"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Като част от тази инвестиция във физическото и техническото оборудване на новите и съществуващите подвижни хосписи ще бъдат подкрепени най-малко 20 нови мобилни хосписа и поне 6 съществуващи такива.</w:t>
            </w:r>
          </w:p>
        </w:tc>
      </w:tr>
    </w:tbl>
    <w:p w:rsidR="00D4086A" w:rsidRDefault="00D4086A">
      <w:pPr>
        <w:spacing w:before="120" w:after="120" w:line="240" w:lineRule="auto"/>
        <w:jc w:val="both"/>
        <w:rPr>
          <w:rFonts w:ascii="Times New Roman" w:hAnsi="Times New Roman"/>
          <w:b/>
          <w:bCs/>
          <w:noProof/>
          <w:sz w:val="24"/>
          <w:szCs w:val="24"/>
        </w:rPr>
        <w:sectPr w:rsidR="00D4086A">
          <w:headerReference w:type="even" r:id="rId168"/>
          <w:headerReference w:type="default" r:id="rId169"/>
          <w:footerReference w:type="even" r:id="rId170"/>
          <w:footerReference w:type="default" r:id="rId171"/>
          <w:headerReference w:type="first" r:id="rId172"/>
          <w:footerReference w:type="first" r:id="rId173"/>
          <w:pgSz w:w="16839" w:h="11907" w:orient="landscape"/>
          <w:pgMar w:top="568" w:right="1134" w:bottom="1418" w:left="1134" w:header="709" w:footer="709" w:gutter="0"/>
          <w:cols w:space="720"/>
          <w:docGrid w:linePitch="360"/>
        </w:sectPr>
      </w:pPr>
    </w:p>
    <w:p w:rsidR="00D4086A" w:rsidRDefault="00D5307E">
      <w:pPr>
        <w:keepNext/>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КОМПОНЕНТ 14: Подобряване на бизнес средата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Бизнес средата в Словакия бавно губи позиции. Честите промени в законодателната среда и голямата регулаторна тежест водят до разходи за предприятията, скъпи и продължителни процедури по несъстоятелност възпрепятстват преразпределянето на ресурсите, а непро</w:t>
      </w:r>
      <w:r>
        <w:rPr>
          <w:rFonts w:ascii="Times New Roman" w:hAnsi="Times New Roman"/>
          <w:noProof/>
          <w:sz w:val="24"/>
          <w:szCs w:val="24"/>
        </w:rPr>
        <w:t xml:space="preserve">зрачната рамка за обществените поръчки забавя инвестициите и води до неоптимални обществени поръчки.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Този компонент на словашкия план за възстановяване и устойчивост има за цел да се направят различни подобрения на бизнес средата. Мерките са насочени към </w:t>
      </w:r>
      <w:r>
        <w:rPr>
          <w:rFonts w:ascii="Times New Roman" w:hAnsi="Times New Roman"/>
          <w:noProof/>
          <w:sz w:val="24"/>
          <w:szCs w:val="24"/>
        </w:rPr>
        <w:t xml:space="preserve">намаляване на административната тежест за предприятията, актуализиране и цифровизиране на рамката за несъстоятелност и подобряване на процедурите за възлагане на обществени поръчки.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Очаква се, че нито една мярка в този компонент не вреди в значителна степ</w:t>
      </w:r>
      <w:r>
        <w:rPr>
          <w:rFonts w:ascii="Times New Roman" w:hAnsi="Times New Roman"/>
          <w:noProof/>
          <w:sz w:val="24"/>
          <w:szCs w:val="24"/>
        </w:rPr>
        <w:t xml:space="preserve">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на DNSH </w:t>
      </w:r>
      <w:r>
        <w:rPr>
          <w:rFonts w:ascii="Times New Roman" w:hAnsi="Times New Roman"/>
          <w:noProof/>
          <w:sz w:val="24"/>
          <w:szCs w:val="24"/>
        </w:rPr>
        <w:t xml:space="preserve">(2021/C58/01).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По този начин компонентът допринася за изпълнението на специфична за всяка държава препоръка 4 от 2020 г., за да се гарантира благоприятна бизнес среда, както и на специфична за всяка държава препоръка 3 от 2019 г. чрез справяне с предизви</w:t>
      </w:r>
      <w:r>
        <w:rPr>
          <w:rFonts w:ascii="Times New Roman" w:hAnsi="Times New Roman"/>
          <w:noProof/>
          <w:sz w:val="24"/>
          <w:szCs w:val="24"/>
        </w:rPr>
        <w:t>кателствата, свързани с обществените поръчки.</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 xml:space="preserve"> Реформа 1: Намаляване на регулаторната тежест за предприятията</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Голямата административна и регулаторна тежест оказва отрицателно въздействие върху инвестициите и иновациите, особено за малките и средните предпр</w:t>
      </w:r>
      <w:r>
        <w:rPr>
          <w:rFonts w:ascii="Times New Roman" w:hAnsi="Times New Roman"/>
          <w:noProof/>
          <w:sz w:val="24"/>
          <w:szCs w:val="24"/>
        </w:rPr>
        <w:t>иятия. Въпреки усилията на правителството административната тежест не намалява в достатъчна степен, а бизнес средата в Словакия бавно губи позиции в международен план.</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Тази реформа ще намали административната тежест за предприятията, като въведе следните и</w:t>
      </w:r>
      <w:r>
        <w:rPr>
          <w:rFonts w:ascii="Times New Roman" w:hAnsi="Times New Roman"/>
          <w:noProof/>
          <w:sz w:val="24"/>
          <w:szCs w:val="24"/>
        </w:rPr>
        <w:t>нструменти: предварителната оценка на планираното законодателство за транспониране с цел предотвратяване на необосновано свръхрегулиране; последващата оценка на ефективността и обосновката на вече въведения регламент; правилото 1-in-2-out, което гарантира,</w:t>
      </w:r>
      <w:r>
        <w:rPr>
          <w:rFonts w:ascii="Times New Roman" w:hAnsi="Times New Roman"/>
          <w:noProof/>
          <w:sz w:val="24"/>
          <w:szCs w:val="24"/>
        </w:rPr>
        <w:t xml:space="preserve"> че новото законодателство не води до увеличаване на административните разходи за предприятията; и пакети от индивидуални мерки, основани на консултации със заинтересованите страни, които са подходящи за опростяване на административните изисквания за предп</w:t>
      </w:r>
      <w:r>
        <w:rPr>
          <w:rFonts w:ascii="Times New Roman" w:hAnsi="Times New Roman"/>
          <w:noProof/>
          <w:sz w:val="24"/>
          <w:szCs w:val="24"/>
        </w:rPr>
        <w:t xml:space="preserve">риятията.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Изпълнението на реформата приключва до 31 декември 2024 г.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Реформа 2: Хармонизиране и цифровизация на процедурите по несъстоятелност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Производствата по несъстоятелност на Словакия са продължителни и скъпи. Липсват подходящи механизми за ранно п</w:t>
      </w:r>
      <w:r>
        <w:rPr>
          <w:rFonts w:ascii="Times New Roman" w:hAnsi="Times New Roman"/>
          <w:noProof/>
          <w:sz w:val="24"/>
          <w:szCs w:val="24"/>
        </w:rPr>
        <w:t>редупреждение, няма специализирани съдилища за разглеждане на производства по несъстоятелност, а липсата на напълно цифровизиран работен процес забавя процесите.</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С тази реформа се създават единни и цифровизирани производства по несъстоятелност и преструкту</w:t>
      </w:r>
      <w:r>
        <w:rPr>
          <w:rFonts w:ascii="Times New Roman" w:hAnsi="Times New Roman"/>
          <w:noProof/>
          <w:sz w:val="24"/>
          <w:szCs w:val="24"/>
        </w:rPr>
        <w:t>риране, които подобряват тяхната прозрачност, време и разходи. Тя въвежда подобрена и хармонизирана рамка в областта на несъстоятелността, включително инструменти за ранно предупреждение и специализация в областта на несъстоятелността в търговските съдилищ</w:t>
      </w:r>
      <w:r>
        <w:rPr>
          <w:rFonts w:ascii="Times New Roman" w:hAnsi="Times New Roman"/>
          <w:noProof/>
          <w:sz w:val="24"/>
          <w:szCs w:val="24"/>
        </w:rPr>
        <w:t xml:space="preserve">а.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Законодателството относно механизмите за ранно предупреждение влиза в сила до 31 януари 2022 г. Съответните законодателни изменения на Закон № 7/2005 относно несъстоятелността и преструктурирането, Закон № 328/1991 за несъстоятелността и конкордата, За</w:t>
      </w:r>
      <w:r>
        <w:rPr>
          <w:rFonts w:ascii="Times New Roman" w:hAnsi="Times New Roman"/>
          <w:noProof/>
          <w:sz w:val="24"/>
          <w:szCs w:val="24"/>
        </w:rPr>
        <w:t xml:space="preserve">кон № 7/2005 за несъстоятелността и преструктурирането и Закон № 8/2005 за синдиците, Закон № 757/2004 за съдилищата и Закон № 371/2004 за седалищата и окръзите на съдилищата на Словашката република влизат в сила до 31 март 2023 г.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Изпълнението на реформа</w:t>
      </w:r>
      <w:r>
        <w:rPr>
          <w:rFonts w:ascii="Times New Roman" w:hAnsi="Times New Roman"/>
          <w:noProof/>
          <w:sz w:val="24"/>
          <w:szCs w:val="24"/>
        </w:rPr>
        <w:t>та приключва до 31 март 2023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 xml:space="preserve"> Реформа 3: Процедури за възлагане на обществени поръчки</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Сложността и продължителността на процедурите за проверка на обществените поръчки остава блокиращ фактор за потенциалните бенефициери. Освен това има възможност за уве</w:t>
      </w:r>
      <w:r>
        <w:rPr>
          <w:rFonts w:ascii="Times New Roman" w:hAnsi="Times New Roman"/>
          <w:noProof/>
          <w:sz w:val="24"/>
          <w:szCs w:val="24"/>
        </w:rPr>
        <w:t>личаване на използването на критерии, свързани с качеството и разходите за целия жизнен цикъл. Същевременно трябва да се осигурят подходящи гаранции. В контекста на недоверие към публичните институции публичните купувачи трябва да положат повече усилия, за</w:t>
      </w:r>
      <w:r>
        <w:rPr>
          <w:rFonts w:ascii="Times New Roman" w:hAnsi="Times New Roman"/>
          <w:noProof/>
          <w:sz w:val="24"/>
          <w:szCs w:val="24"/>
        </w:rPr>
        <w:t xml:space="preserve"> да си възвърнат доверието от страна на предприятията, медиите и широката общественост. Ползите от усилията за професионализация до момента се появяват бавно.</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Реформата на обществените поръчки опростява и ускорява процедурите, като същевременно гарантира п</w:t>
      </w:r>
      <w:r>
        <w:rPr>
          <w:rFonts w:ascii="Times New Roman" w:hAnsi="Times New Roman"/>
          <w:noProof/>
          <w:sz w:val="24"/>
          <w:szCs w:val="24"/>
        </w:rPr>
        <w:t>одходящи гаранции. Тя също така има за цел подобряване на контрола чрез цифровизация и автоматизиране на възлагането и оценката на договорите, както и събиране и анализ на цените. Законодателната реформа регулира както публичните процедури над и под ограни</w:t>
      </w:r>
      <w:r>
        <w:rPr>
          <w:rFonts w:ascii="Times New Roman" w:hAnsi="Times New Roman"/>
          <w:noProof/>
          <w:sz w:val="24"/>
          <w:szCs w:val="24"/>
        </w:rPr>
        <w:t xml:space="preserve">чението, така и тези с ниска стойност. Процедурите за възлагане на обществени поръчки се опростяват и съкращават, процедурите за контрол се подобряват, а прозрачността се увеличава, по-специално чрез създаването на единна, публична електронна платформа за </w:t>
      </w:r>
      <w:r>
        <w:rPr>
          <w:rFonts w:ascii="Times New Roman" w:hAnsi="Times New Roman"/>
          <w:noProof/>
          <w:sz w:val="24"/>
          <w:szCs w:val="24"/>
        </w:rPr>
        <w:t>целия процес на възлагане на обществени поръчки, включително за договори под прага и договори с ниска стойност. Всички промени, особено що се отнася до подходящите гаранции, като например изискванията за прозрачност, процедурите за преразглеждане и разделе</w:t>
      </w:r>
      <w:r>
        <w:rPr>
          <w:rFonts w:ascii="Times New Roman" w:hAnsi="Times New Roman"/>
          <w:noProof/>
          <w:sz w:val="24"/>
          <w:szCs w:val="24"/>
        </w:rPr>
        <w:t>нието на задачите и компетентностите, трябва да са в пълно съответствие с правото на ЕС. За да се подобри използването на критерии за качество, се очаква да бъдат засилени правилата за екологосъобразни обществени поръчки. Очаква се по-нататъшното засилване</w:t>
      </w:r>
      <w:r>
        <w:rPr>
          <w:rFonts w:ascii="Times New Roman" w:hAnsi="Times New Roman"/>
          <w:noProof/>
          <w:sz w:val="24"/>
          <w:szCs w:val="24"/>
        </w:rPr>
        <w:t xml:space="preserve"> на използването на критерии за качество да бъде постигнато чрез нерегулаторни средства. Мярката ще засили допълнително професионализацията на обществените поръчки чрез изграждане на капацитет на Службата за обществени поръчки. По-конкретно, трябва да се п</w:t>
      </w:r>
      <w:r>
        <w:rPr>
          <w:rFonts w:ascii="Times New Roman" w:hAnsi="Times New Roman"/>
          <w:noProof/>
          <w:sz w:val="24"/>
          <w:szCs w:val="24"/>
        </w:rPr>
        <w:t>ровеждат обучения в различни формати, за да се подобри прилагането на реформирани процедури за възлагане на обществени поръчки.</w:t>
      </w:r>
    </w:p>
    <w:p w:rsidR="00D4086A" w:rsidRDefault="00D5307E">
      <w:pPr>
        <w:spacing w:before="120" w:after="120"/>
        <w:jc w:val="both"/>
        <w:rPr>
          <w:rFonts w:ascii="Times New Roman" w:eastAsia="Times New Roman" w:hAnsi="Times New Roman"/>
          <w:noProof/>
          <w:sz w:val="24"/>
          <w:szCs w:val="24"/>
        </w:rPr>
      </w:pPr>
      <w:r>
        <w:rPr>
          <w:rFonts w:ascii="Times New Roman" w:hAnsi="Times New Roman"/>
          <w:noProof/>
          <w:sz w:val="24"/>
          <w:szCs w:val="24"/>
        </w:rPr>
        <w:t>Реформата на Закона за обществените поръчки влиза в сила до 31 март 2022 г. Единната електронна платформа започва да функционира</w:t>
      </w:r>
      <w:r>
        <w:rPr>
          <w:rFonts w:ascii="Times New Roman" w:hAnsi="Times New Roman"/>
          <w:noProof/>
          <w:sz w:val="24"/>
          <w:szCs w:val="24"/>
        </w:rPr>
        <w:t xml:space="preserve"> до 30 юни 2023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 xml:space="preserve">Инвестиция 1: Капацитет за реформи за намаляване на регулаторната тежест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Бързото изпълнение на реформите за намаляване на административната тежест изисква временен капацитет, по-специално юристи и анализатори, в отговорните публични орг</w:t>
      </w:r>
      <w:r>
        <w:rPr>
          <w:rFonts w:ascii="Times New Roman" w:hAnsi="Times New Roman"/>
          <w:noProof/>
          <w:sz w:val="24"/>
        </w:rPr>
        <w:t>ани.</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Следователно тази инвестиция предвижда временни екипи по проекти за разработване и осъществяване на реформа 1. Той се състои от правни експерти и анализатори. Извършват се предварителните и последващите оценки и прилагането на правилото 1-in-2-out. Он</w:t>
      </w:r>
      <w:r>
        <w:rPr>
          <w:rFonts w:ascii="Times New Roman" w:hAnsi="Times New Roman"/>
          <w:noProof/>
          <w:sz w:val="24"/>
          <w:szCs w:val="24"/>
        </w:rPr>
        <w:t xml:space="preserve">лайн докладването на проверката за съответствие на принципа 1-в-2-out (виртуална сметка) потвърждава, че правилото се прилага на практика. </w:t>
      </w:r>
    </w:p>
    <w:p w:rsidR="00D4086A" w:rsidRDefault="00D5307E">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Изпълнението на инвестицията трябва да приключи до 30 юни 2025 г.</w:t>
      </w: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Инвестиция 2: Цифровизация на процедурите по несъс</w:t>
      </w:r>
      <w:r>
        <w:rPr>
          <w:rFonts w:ascii="Times New Roman" w:hAnsi="Times New Roman"/>
          <w:b/>
          <w:noProof/>
          <w:sz w:val="24"/>
        </w:rPr>
        <w:t>тоятелност</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Липсата на всеобхватна цифрова система е една от основните причини за натрупването на производства по несъстоятелност. Настоящият регистър по несъстоятелност функционира основно като платформа за публикуване, но не дава възможност за цифрово раз</w:t>
      </w:r>
      <w:r>
        <w:rPr>
          <w:rFonts w:ascii="Times New Roman" w:hAnsi="Times New Roman"/>
          <w:noProof/>
          <w:sz w:val="24"/>
        </w:rPr>
        <w:t>глеждане на делата между участниците. Това допринася за продължителните процедури с отрицателни последици за бизнес средата и за ефективното преразпределяне на ресурсите.</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Инвестициите изцяло цифровизират процедурите по несъстоятелност, за да ги съкратят и </w:t>
      </w:r>
      <w:r>
        <w:rPr>
          <w:rFonts w:ascii="Times New Roman" w:hAnsi="Times New Roman"/>
          <w:noProof/>
          <w:sz w:val="24"/>
          <w:szCs w:val="24"/>
        </w:rPr>
        <w:t>намалят разходите за предприемачите. Това включва цифровизиране на ликвидацията, несъстоятелността, преструктурирането и опрощаването на задължения, включително производства, предшестващи производството по несъстоятелност. С нея се свързват различни участн</w:t>
      </w:r>
      <w:r>
        <w:rPr>
          <w:rFonts w:ascii="Times New Roman" w:hAnsi="Times New Roman"/>
          <w:noProof/>
          <w:sz w:val="24"/>
          <w:szCs w:val="24"/>
        </w:rPr>
        <w:t>ици, като например съдилища, кредитори и обществеността.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приключва до 30 юни 2024 г.</w:t>
      </w:r>
      <w:r>
        <w:rPr>
          <w:rFonts w:ascii="Times New Roman" w:hAnsi="Times New Roman"/>
          <w:b/>
          <w:noProof/>
          <w:sz w:val="24"/>
        </w:rPr>
        <w:t xml:space="preserve"> </w:t>
      </w:r>
    </w:p>
    <w:p w:rsidR="00D4086A" w:rsidRDefault="00D4086A">
      <w:pPr>
        <w:spacing w:before="120" w:after="120" w:line="240" w:lineRule="auto"/>
        <w:jc w:val="both"/>
        <w:rPr>
          <w:rFonts w:ascii="Times New Roman" w:hAnsi="Times New Roman"/>
          <w:noProof/>
          <w:sz w:val="24"/>
          <w:szCs w:val="24"/>
        </w:rPr>
        <w:sectPr w:rsidR="00D4086A">
          <w:headerReference w:type="even" r:id="rId174"/>
          <w:headerReference w:type="default" r:id="rId175"/>
          <w:footerReference w:type="even" r:id="rId176"/>
          <w:footerReference w:type="default" r:id="rId177"/>
          <w:headerReference w:type="first" r:id="rId178"/>
          <w:footerReference w:type="first" r:id="rId179"/>
          <w:pgSz w:w="11907" w:h="16839"/>
          <w:pgMar w:top="1134" w:right="1418" w:bottom="1134" w:left="1418" w:header="709" w:footer="709" w:gutter="0"/>
          <w:cols w:space="720"/>
          <w:docGrid w:linePitch="360"/>
        </w:sectPr>
      </w:pPr>
    </w:p>
    <w:p w:rsidR="00D4086A" w:rsidRDefault="00D4086A">
      <w:pPr>
        <w:spacing w:before="120" w:after="120" w:line="240" w:lineRule="auto"/>
        <w:jc w:val="both"/>
        <w:rPr>
          <w:rFonts w:ascii="Times New Roman" w:hAnsi="Times New Roman"/>
          <w:noProof/>
          <w:sz w:val="24"/>
          <w:szCs w:val="24"/>
        </w:rPr>
      </w:pPr>
    </w:p>
    <w:p w:rsidR="00D4086A" w:rsidRDefault="00D5307E">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 xml:space="preserve">Ключови етапи, цели, показатели и график за мониторинг и изпълнение на </w:t>
      </w:r>
      <w:r>
        <w:rPr>
          <w:rFonts w:ascii="Times New Roman" w:hAnsi="Times New Roman"/>
          <w:b/>
          <w:noProof/>
          <w:sz w:val="24"/>
          <w:u w:val="single"/>
        </w:rPr>
        <w:t>безвъзмездната финансова подкрепа</w:t>
      </w:r>
    </w:p>
    <w:p w:rsidR="00D4086A" w:rsidRDefault="00D4086A">
      <w:pPr>
        <w:spacing w:before="120" w:after="120" w:line="240" w:lineRule="auto"/>
        <w:ind w:left="850"/>
        <w:jc w:val="both"/>
        <w:rPr>
          <w:rFonts w:ascii="Times New Roman" w:hAnsi="Times New Roman"/>
          <w:b/>
          <w:bCs/>
          <w:noProof/>
          <w:sz w:val="24"/>
          <w:szCs w:val="24"/>
          <w:u w:val="single"/>
        </w:rPr>
      </w:pPr>
    </w:p>
    <w:tbl>
      <w:tblPr>
        <w:tblW w:w="0" w:type="auto"/>
        <w:tblLayout w:type="fixed"/>
        <w:tblLook w:val="04A0" w:firstRow="1" w:lastRow="0" w:firstColumn="1" w:lastColumn="0" w:noHBand="0" w:noVBand="1"/>
      </w:tblPr>
      <w:tblGrid>
        <w:gridCol w:w="675"/>
        <w:gridCol w:w="993"/>
        <w:gridCol w:w="1134"/>
        <w:gridCol w:w="2090"/>
        <w:gridCol w:w="1035"/>
        <w:gridCol w:w="1127"/>
        <w:gridCol w:w="1134"/>
        <w:gridCol w:w="709"/>
        <w:gridCol w:w="992"/>
        <w:gridCol w:w="709"/>
        <w:gridCol w:w="3968"/>
      </w:tblGrid>
      <w:tr w:rsidR="00D4086A">
        <w:trPr>
          <w:trHeight w:val="720"/>
        </w:trPr>
        <w:tc>
          <w:tcPr>
            <w:tcW w:w="675" w:type="dxa"/>
            <w:tcBorders>
              <w:top w:val="single" w:sz="8" w:space="0" w:color="auto"/>
              <w:left w:val="single" w:sz="8" w:space="0" w:color="auto"/>
              <w:bottom w:val="nil"/>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w:t>
            </w:r>
          </w:p>
        </w:tc>
        <w:tc>
          <w:tcPr>
            <w:tcW w:w="993" w:type="dxa"/>
            <w:tcBorders>
              <w:top w:val="single" w:sz="8" w:space="0" w:color="auto"/>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Свързана мярка (реформа или инвестиция)</w:t>
            </w:r>
          </w:p>
        </w:tc>
        <w:tc>
          <w:tcPr>
            <w:tcW w:w="1134" w:type="dxa"/>
            <w:tcBorders>
              <w:top w:val="single" w:sz="8" w:space="0" w:color="auto"/>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Ключов етап / Цел</w:t>
            </w:r>
          </w:p>
        </w:tc>
        <w:tc>
          <w:tcPr>
            <w:tcW w:w="2090" w:type="dxa"/>
            <w:tcBorders>
              <w:top w:val="single" w:sz="8" w:space="0" w:color="auto"/>
              <w:left w:val="single" w:sz="8" w:space="0" w:color="auto"/>
              <w:bottom w:val="nil"/>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Наименование</w:t>
            </w:r>
          </w:p>
        </w:tc>
        <w:tc>
          <w:tcPr>
            <w:tcW w:w="1035" w:type="dxa"/>
            <w:tcBorders>
              <w:top w:val="single" w:sz="8" w:space="0" w:color="auto"/>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w:t>
            </w:r>
            <w:r>
              <w:rPr>
                <w:rFonts w:ascii="Times New Roman" w:hAnsi="Times New Roman"/>
                <w:noProof/>
                <w:sz w:val="20"/>
                <w:szCs w:val="20"/>
              </w:rPr>
              <w:t xml:space="preserve"> </w:t>
            </w:r>
            <w:r>
              <w:rPr>
                <w:rFonts w:ascii="Times New Roman" w:hAnsi="Times New Roman"/>
                <w:b/>
                <w:bCs/>
                <w:noProof/>
                <w:sz w:val="20"/>
                <w:szCs w:val="20"/>
              </w:rPr>
              <w:t>(за ключовите етапи)</w:t>
            </w:r>
          </w:p>
        </w:tc>
        <w:tc>
          <w:tcPr>
            <w:tcW w:w="2970"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w:t>
            </w:r>
            <w:r>
              <w:rPr>
                <w:rFonts w:ascii="Times New Roman" w:hAnsi="Times New Roman"/>
                <w:noProof/>
                <w:sz w:val="20"/>
                <w:szCs w:val="20"/>
              </w:rPr>
              <w:t xml:space="preserve"> </w:t>
            </w:r>
            <w:r>
              <w:rPr>
                <w:rFonts w:ascii="Times New Roman" w:hAnsi="Times New Roman"/>
                <w:b/>
                <w:bCs/>
                <w:noProof/>
                <w:sz w:val="20"/>
                <w:szCs w:val="20"/>
              </w:rPr>
              <w:t>(за целите)</w:t>
            </w:r>
          </w:p>
        </w:tc>
        <w:tc>
          <w:tcPr>
            <w:tcW w:w="1701" w:type="dxa"/>
            <w:gridSpan w:val="2"/>
            <w:tcBorders>
              <w:top w:val="single" w:sz="8" w:space="0" w:color="auto"/>
              <w:left w:val="nil"/>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Ориентировъчен график за приключване </w:t>
            </w:r>
          </w:p>
        </w:tc>
        <w:tc>
          <w:tcPr>
            <w:tcW w:w="3968" w:type="dxa"/>
            <w:vMerge w:val="restart"/>
            <w:tcBorders>
              <w:top w:val="single" w:sz="8" w:space="0" w:color="auto"/>
              <w:left w:val="nil"/>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Описание и ясно определяне на </w:t>
            </w:r>
            <w:r>
              <w:rPr>
                <w:rFonts w:ascii="Times New Roman" w:hAnsi="Times New Roman"/>
                <w:b/>
                <w:bCs/>
                <w:noProof/>
                <w:sz w:val="20"/>
                <w:szCs w:val="20"/>
              </w:rPr>
              <w:t>всеки ключов етап и цел</w:t>
            </w:r>
          </w:p>
          <w:p w:rsidR="00D4086A" w:rsidRDefault="00D5307E">
            <w:pPr>
              <w:rPr>
                <w:rFonts w:ascii="Times New Roman" w:hAnsi="Times New Roman"/>
                <w:noProof/>
                <w:sz w:val="20"/>
                <w:szCs w:val="20"/>
              </w:rPr>
            </w:pPr>
            <w:r>
              <w:rPr>
                <w:rFonts w:ascii="Times New Roman" w:hAnsi="Times New Roman"/>
                <w:noProof/>
                <w:sz w:val="20"/>
                <w:szCs w:val="20"/>
              </w:rPr>
              <w:t xml:space="preserve"> </w:t>
            </w:r>
          </w:p>
        </w:tc>
      </w:tr>
      <w:tr w:rsidR="00D4086A">
        <w:trPr>
          <w:trHeight w:val="540"/>
        </w:trPr>
        <w:tc>
          <w:tcPr>
            <w:tcW w:w="675" w:type="dxa"/>
            <w:tcBorders>
              <w:top w:val="single" w:sz="8" w:space="0" w:color="auto"/>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2090" w:type="dxa"/>
            <w:tcBorders>
              <w:top w:val="single" w:sz="8" w:space="0" w:color="auto"/>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035" w:type="dxa"/>
            <w:tcBorders>
              <w:top w:val="single" w:sz="8" w:space="0" w:color="auto"/>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127"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Мерна единица</w:t>
            </w:r>
          </w:p>
        </w:tc>
        <w:tc>
          <w:tcPr>
            <w:tcW w:w="1134" w:type="dxa"/>
            <w:tcBorders>
              <w:top w:val="nil"/>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Контекст</w:t>
            </w:r>
          </w:p>
        </w:tc>
        <w:tc>
          <w:tcPr>
            <w:tcW w:w="709"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Цел</w:t>
            </w:r>
          </w:p>
        </w:tc>
        <w:tc>
          <w:tcPr>
            <w:tcW w:w="992"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Тримесечие</w:t>
            </w:r>
          </w:p>
        </w:tc>
        <w:tc>
          <w:tcPr>
            <w:tcW w:w="709"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Година</w:t>
            </w:r>
          </w:p>
        </w:tc>
        <w:tc>
          <w:tcPr>
            <w:tcW w:w="3968" w:type="dxa"/>
            <w:vMerge/>
            <w:tcBorders>
              <w:left w:val="single" w:sz="8" w:space="0" w:color="auto"/>
              <w:bottom w:val="single" w:sz="8" w:space="0" w:color="auto"/>
              <w:right w:val="single" w:sz="8" w:space="0" w:color="auto"/>
            </w:tcBorders>
            <w:shd w:val="clear" w:color="auto" w:fill="BDD7EE"/>
            <w:vAlign w:val="center"/>
          </w:tcPr>
          <w:p w:rsidR="00D4086A" w:rsidRDefault="00D4086A">
            <w:pPr>
              <w:rPr>
                <w:rFonts w:ascii="Times New Roman" w:hAnsi="Times New Roman"/>
                <w:noProof/>
                <w:sz w:val="20"/>
                <w:szCs w:val="20"/>
              </w:rPr>
            </w:pPr>
          </w:p>
        </w:tc>
      </w:tr>
      <w:tr w:rsidR="00D4086A">
        <w:trPr>
          <w:trHeight w:val="21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14 – Подобряване на бизнес средата – Реформа 1: Намаляване на регулаторната тежест за предприятията</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въвеждане на нови инструменти за намаляване на регулаторната тежест: – прилагане на правилото „1in-2out“ – Въвеждане на последваща оценка на с</w:t>
            </w:r>
            <w:r>
              <w:rPr>
                <w:rFonts w:ascii="Times New Roman" w:hAnsi="Times New Roman"/>
                <w:noProof/>
                <w:color w:val="006100"/>
                <w:sz w:val="20"/>
                <w:szCs w:val="20"/>
              </w:rPr>
              <w:t>ъществуващите регламенти (законодателни и незаконодателни материали) – Въвеждане на защита срещу необосновано свръхрегулиране</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резолюции за актуализиране на единната методология за оценка на избраните въздействия</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2023</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Влизане в </w:t>
            </w:r>
            <w:r>
              <w:rPr>
                <w:rFonts w:ascii="Times New Roman" w:hAnsi="Times New Roman"/>
                <w:noProof/>
                <w:color w:val="006100"/>
                <w:sz w:val="20"/>
                <w:szCs w:val="20"/>
              </w:rPr>
              <w:t>сила на правителствени резолюции за актуализиране на единната методология за оценка на избраните въздействия и за въвеждане на нови инструменти за намаляване на регулаторната тежест:— Въвеждане на правилото „1-вътре-2 навън“ през първото тримесечие на 2022</w:t>
            </w:r>
            <w:r>
              <w:rPr>
                <w:rFonts w:ascii="Times New Roman" w:hAnsi="Times New Roman"/>
                <w:noProof/>
                <w:color w:val="006100"/>
                <w:sz w:val="20"/>
                <w:szCs w:val="20"/>
              </w:rPr>
              <w:t xml:space="preserve"> г. – Въвеждане на последваща оценка на съществуващите нормативни актове (законодателни материали до първото тримесечие на 2022 г. и незаконодателни материали до първото тримесечие на 2023 г.) по отношение на тяхната ефективност и обосновка – Въвеждане на </w:t>
            </w:r>
            <w:r>
              <w:rPr>
                <w:rFonts w:ascii="Times New Roman" w:hAnsi="Times New Roman"/>
                <w:noProof/>
                <w:color w:val="006100"/>
                <w:sz w:val="20"/>
                <w:szCs w:val="20"/>
              </w:rPr>
              <w:t>защита срещу необосновано свръхрегулиране до четвъртото тримесечие на 2022 г. – Инвестиционна тежест за прилагане.</w:t>
            </w:r>
          </w:p>
        </w:tc>
      </w:tr>
      <w:tr w:rsidR="00D4086A">
        <w:trPr>
          <w:trHeight w:val="21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14 – Подобряване на бизнес средата – Инвестиция 1: Намаляване на регулаторната тежест за предприятията</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Правилото „1in-2“ – предварителна оценка за предотвратяване на свръхрегулирането и последващи оценки на съществуващото регулиране </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Оценки, извършени от Министерството на икономиката </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2025</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Онлайн докладването на проверката за съответствие на </w:t>
            </w:r>
            <w:r>
              <w:rPr>
                <w:rFonts w:ascii="Times New Roman" w:hAnsi="Times New Roman"/>
                <w:noProof/>
                <w:color w:val="006100"/>
                <w:sz w:val="20"/>
                <w:szCs w:val="20"/>
              </w:rPr>
              <w:t>принципа 1-в-2-out (виртуална сметка) потвърждава, че правилото се прилага на практика: Контрол на представените законодателни материали (500 годишно)/подготовка на обучения за подателите на законодателни и незаконодателни материали (1 път годишно)/Брой на</w:t>
            </w:r>
            <w:r>
              <w:rPr>
                <w:rFonts w:ascii="Times New Roman" w:hAnsi="Times New Roman"/>
                <w:noProof/>
                <w:color w:val="006100"/>
                <w:sz w:val="20"/>
                <w:szCs w:val="20"/>
              </w:rPr>
              <w:t xml:space="preserve"> консултациите, предоставени на подателите (100 годишно)/Брой актуализации на виртуалните профили на уебсайта на MH SR (12 годишно) – четвъртото тримесечие на 2024 г.</w:t>
            </w:r>
          </w:p>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Редовна последваща оценка на ефективността и обосновката на съществуващите разпоредби: Пр</w:t>
            </w:r>
            <w:r>
              <w:rPr>
                <w:rFonts w:ascii="Times New Roman" w:hAnsi="Times New Roman"/>
                <w:noProof/>
                <w:color w:val="006100"/>
                <w:sz w:val="20"/>
                <w:szCs w:val="20"/>
              </w:rPr>
              <w:t>еглед на представените законодателни материали (50 през 2022 г., 100 през следващите години). Обучение за подателите на законодателни материали (веднъж годишно) и за предоставяне на консултации. Ще бъде разработен механизъм за контрол на прилагането на при</w:t>
            </w:r>
            <w:r>
              <w:rPr>
                <w:rFonts w:ascii="Times New Roman" w:hAnsi="Times New Roman"/>
                <w:noProof/>
                <w:color w:val="006100"/>
                <w:sz w:val="20"/>
                <w:szCs w:val="20"/>
              </w:rPr>
              <w:t>нципа на последваща оценка – четвъртото тримесечие на 2024 г.</w:t>
            </w:r>
          </w:p>
          <w:p w:rsidR="00D4086A" w:rsidRDefault="00D5307E">
            <w:pPr>
              <w:rPr>
                <w:rFonts w:ascii="Times New Roman" w:hAnsi="Times New Roman"/>
                <w:noProof/>
                <w:sz w:val="20"/>
                <w:szCs w:val="20"/>
              </w:rPr>
            </w:pPr>
            <w:r>
              <w:rPr>
                <w:rFonts w:ascii="Times New Roman" w:hAnsi="Times New Roman"/>
                <w:noProof/>
                <w:color w:val="006100"/>
                <w:sz w:val="20"/>
                <w:szCs w:val="20"/>
              </w:rPr>
              <w:t>Прилагане на защита срещу необосновано свръхрегулиране: Ще бъде разработен контрол на представените оценки на законодателни материали (40 годишно)/Обучения за подателите на законодателни материа</w:t>
            </w:r>
            <w:r>
              <w:rPr>
                <w:rFonts w:ascii="Times New Roman" w:hAnsi="Times New Roman"/>
                <w:noProof/>
                <w:color w:val="006100"/>
                <w:sz w:val="20"/>
                <w:szCs w:val="20"/>
              </w:rPr>
              <w:t>ли (1x годишно)/Брой консултации (30 годишно)/Механизъм за мониторинг на прилагането на принципа на защита срещу необосновано свръхрегулиране. — ВЪПРОС2/2025.</w:t>
            </w:r>
          </w:p>
        </w:tc>
      </w:tr>
      <w:tr w:rsidR="00D4086A">
        <w:trPr>
          <w:trHeight w:val="12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3</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14 – Подобряване на бизнес средата – Реформа 1: Намаляване на регулаторната тежест за </w:t>
            </w:r>
            <w:r>
              <w:rPr>
                <w:rFonts w:ascii="Times New Roman" w:hAnsi="Times New Roman"/>
                <w:noProof/>
                <w:color w:val="006100"/>
                <w:sz w:val="20"/>
                <w:szCs w:val="20"/>
              </w:rPr>
              <w:t>предприятията</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Намаляване на административната тежест за предприемачите</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3 пакета с 300 мерки за намаляване на административната тежест</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2024</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Влизане в сила на три пакета за намаляване на административната тежест за предприятията, всеки от които съдържа най-малко 100 мерки, и води до икономии за предприемачите. </w:t>
            </w:r>
          </w:p>
        </w:tc>
      </w:tr>
      <w:tr w:rsidR="00D4086A">
        <w:trPr>
          <w:trHeight w:val="300"/>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4</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14 – Подобряване на бизнес средата – Реформа 2: Реформа на уредбата на </w:t>
            </w:r>
            <w:r>
              <w:rPr>
                <w:rFonts w:ascii="Times New Roman" w:hAnsi="Times New Roman"/>
                <w:noProof/>
                <w:color w:val="006100"/>
                <w:sz w:val="20"/>
                <w:szCs w:val="20"/>
              </w:rPr>
              <w:t>несъстоятелността – адаптиране на законодателството</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Реформа на нормативната уредба в областта на несъстоятелността </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набор от закони, уреждащи производството по несъстоятелност.</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2023</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закони, с които</w:t>
            </w:r>
            <w:r>
              <w:rPr>
                <w:rFonts w:ascii="Times New Roman" w:hAnsi="Times New Roman"/>
                <w:noProof/>
                <w:color w:val="006100"/>
                <w:sz w:val="20"/>
                <w:szCs w:val="20"/>
              </w:rPr>
              <w:t xml:space="preserve"> се установява правната рамка за уеднаквяване и пълна цифровизация на ликвидацията, несъстоятелността, преструктурирането и опрощаването на задължения и, когато е целесъобразно, за разрешаване на предстоящо обявяване в несъстоятелност, както и за изменение</w:t>
            </w:r>
            <w:r>
              <w:rPr>
                <w:rFonts w:ascii="Times New Roman" w:hAnsi="Times New Roman"/>
                <w:noProof/>
                <w:color w:val="006100"/>
                <w:sz w:val="20"/>
                <w:szCs w:val="20"/>
              </w:rPr>
              <w:t xml:space="preserve"> на правните и процедурните рамки за цифровизацията на процесите на принудителна ликвидация. Тя включва въвеждането на инструменти за ранно предупреждение и създава специализация по несъстоятелност на равнището на търговските съдилища. </w:t>
            </w:r>
          </w:p>
          <w:p w:rsidR="00D4086A" w:rsidRDefault="00D5307E">
            <w:pPr>
              <w:rPr>
                <w:rFonts w:ascii="Times New Roman" w:hAnsi="Times New Roman"/>
                <w:noProof/>
                <w:sz w:val="20"/>
                <w:szCs w:val="20"/>
              </w:rPr>
            </w:pPr>
            <w:r>
              <w:rPr>
                <w:rFonts w:ascii="Times New Roman" w:hAnsi="Times New Roman"/>
                <w:noProof/>
                <w:color w:val="006100"/>
                <w:sz w:val="20"/>
                <w:szCs w:val="20"/>
              </w:rPr>
              <w:t>Правителството и па</w:t>
            </w:r>
            <w:r>
              <w:rPr>
                <w:rFonts w:ascii="Times New Roman" w:hAnsi="Times New Roman"/>
                <w:noProof/>
                <w:color w:val="006100"/>
                <w:sz w:val="20"/>
                <w:szCs w:val="20"/>
              </w:rPr>
              <w:t>рламентът одобряват набор от закони: —Нов закон за непубличното финансово преструктуриране и публичното превантивно преструктуриране; —Изменение на Закон № 7/2005 за несъстоятелността и преструктурирането, – изменение на Закон № 8/2005 за администраторите,</w:t>
            </w:r>
            <w:r>
              <w:rPr>
                <w:rFonts w:ascii="Times New Roman" w:hAnsi="Times New Roman"/>
                <w:noProof/>
                <w:color w:val="006100"/>
                <w:sz w:val="20"/>
                <w:szCs w:val="20"/>
              </w:rPr>
              <w:t xml:space="preserve"> изменение на Закон № 328/1991 за несъстоятелността и предпазния конкордат; —изменение на Закон № 757/2004 за съдилищата; —Изменение на Закон № 371/2004 за седалищата и окръзите на съдилищата на Словашката република.</w:t>
            </w:r>
          </w:p>
        </w:tc>
      </w:tr>
      <w:tr w:rsidR="00D4086A">
        <w:trPr>
          <w:trHeight w:val="235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5</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14 – Подобряване на бизнес средата –</w:t>
            </w:r>
            <w:r>
              <w:rPr>
                <w:rFonts w:ascii="Times New Roman" w:hAnsi="Times New Roman"/>
                <w:noProof/>
                <w:color w:val="006100"/>
                <w:sz w:val="20"/>
                <w:szCs w:val="20"/>
              </w:rPr>
              <w:t xml:space="preserve"> Инвестиция 2: Цифровизация на процедурите по несъстоятелност</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Цел</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Напълно функционира единен, напълно цифровизиран процес по несъстоятелност.</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 на производствата по несъстоятелност, извършени чрез единен цифров процес</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100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2024</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Единният напълно </w:t>
            </w:r>
            <w:r>
              <w:rPr>
                <w:rFonts w:ascii="Times New Roman" w:hAnsi="Times New Roman"/>
                <w:noProof/>
                <w:color w:val="006100"/>
                <w:sz w:val="20"/>
                <w:szCs w:val="20"/>
              </w:rPr>
              <w:t>цифровизиран процес по несъстоятелност е тестван и стартиран и се използва във всички производства по несъстоятелност. Въвеждане в действие на информационна система на публичната администрация (техническа рамка), съсредоточена върху правото в областта на н</w:t>
            </w:r>
            <w:r>
              <w:rPr>
                <w:rFonts w:ascii="Times New Roman" w:hAnsi="Times New Roman"/>
                <w:noProof/>
                <w:color w:val="006100"/>
                <w:sz w:val="20"/>
                <w:szCs w:val="20"/>
              </w:rPr>
              <w:t xml:space="preserve">есъстоятелността и процесите на излизане с множество потребители (попечители, кредитори, съдилища, обществеността, осребряване на активи) и допълнителни функции за ранно предупреждение за предстояща несъстоятелност, опрощаване на задълженията на физически </w:t>
            </w:r>
            <w:r>
              <w:rPr>
                <w:rFonts w:ascii="Times New Roman" w:hAnsi="Times New Roman"/>
                <w:noProof/>
                <w:color w:val="006100"/>
                <w:sz w:val="20"/>
                <w:szCs w:val="20"/>
              </w:rPr>
              <w:t>лица, трансграничен обмен на информация, предоставяне на статистически и аналитични данни и оповестяване на информация.</w:t>
            </w:r>
          </w:p>
        </w:tc>
      </w:tr>
      <w:tr w:rsidR="00D4086A">
        <w:trPr>
          <w:trHeight w:val="7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6</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14 – Подобряване на бизнес средата – Реформа 3: Реформа на обществените поръчки – адаптиране на законодателството</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Реформа на Закона за процедурите за възлагане на обществени поръчки </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преразгледания Закон за обществените поръчки от парламента</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С изменение на Закона за обществените поръчки, одобрено от правителството и парламента и влязло </w:t>
            </w:r>
            <w:r>
              <w:rPr>
                <w:rFonts w:ascii="Times New Roman" w:hAnsi="Times New Roman"/>
                <w:noProof/>
                <w:color w:val="006100"/>
                <w:sz w:val="20"/>
                <w:szCs w:val="20"/>
              </w:rPr>
              <w:t>в сила, ще се гарантира:</w:t>
            </w:r>
          </w:p>
          <w:p w:rsidR="00D4086A" w:rsidRDefault="00D5307E">
            <w:pPr>
              <w:rPr>
                <w:rFonts w:ascii="Times New Roman" w:hAnsi="Times New Roman"/>
                <w:noProof/>
                <w:sz w:val="20"/>
                <w:szCs w:val="20"/>
              </w:rPr>
            </w:pPr>
            <w:r>
              <w:rPr>
                <w:rFonts w:ascii="Times New Roman" w:hAnsi="Times New Roman"/>
                <w:noProof/>
                <w:color w:val="006100"/>
                <w:sz w:val="20"/>
                <w:szCs w:val="20"/>
              </w:rPr>
              <w:t>— Ускоряване и опростяване на процедурата за възлагане на обществени поръчки.</w:t>
            </w:r>
          </w:p>
          <w:p w:rsidR="00D4086A" w:rsidRDefault="00D5307E">
            <w:pPr>
              <w:rPr>
                <w:rFonts w:ascii="Times New Roman" w:hAnsi="Times New Roman"/>
                <w:noProof/>
                <w:sz w:val="20"/>
                <w:szCs w:val="20"/>
              </w:rPr>
            </w:pPr>
            <w:r>
              <w:rPr>
                <w:rFonts w:ascii="Times New Roman" w:hAnsi="Times New Roman"/>
                <w:noProof/>
                <w:color w:val="006100"/>
                <w:sz w:val="20"/>
                <w:szCs w:val="20"/>
              </w:rPr>
              <w:t>— Ускоряване на процеса и с оглед на упражняването на правата на кандидатите, оферентите, участниците и други заинтересовани лица.</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Подобряване на </w:t>
            </w:r>
            <w:r>
              <w:rPr>
                <w:rFonts w:ascii="Times New Roman" w:hAnsi="Times New Roman"/>
                <w:noProof/>
                <w:color w:val="006100"/>
                <w:sz w:val="20"/>
                <w:szCs w:val="20"/>
              </w:rPr>
              <w:t>контрола върху обществените поръчки чрез автоматизиране на възлагането и оценката на договорите и осигуряване на ефективно събиране и анализ на данни за цените.</w:t>
            </w:r>
          </w:p>
          <w:p w:rsidR="00D4086A" w:rsidRDefault="00D5307E">
            <w:pPr>
              <w:rPr>
                <w:rFonts w:ascii="Times New Roman" w:hAnsi="Times New Roman"/>
                <w:noProof/>
                <w:sz w:val="20"/>
                <w:szCs w:val="20"/>
              </w:rPr>
            </w:pPr>
            <w:r>
              <w:rPr>
                <w:rFonts w:ascii="Times New Roman" w:hAnsi="Times New Roman"/>
                <w:noProof/>
                <w:color w:val="006100"/>
                <w:sz w:val="20"/>
                <w:szCs w:val="20"/>
              </w:rPr>
              <w:t>— Да се осигурят подходящи гаранции, по-специално по отношение на прозрачността, и всички предл</w:t>
            </w:r>
            <w:r>
              <w:rPr>
                <w:rFonts w:ascii="Times New Roman" w:hAnsi="Times New Roman"/>
                <w:noProof/>
                <w:color w:val="006100"/>
                <w:sz w:val="20"/>
                <w:szCs w:val="20"/>
              </w:rPr>
              <w:t>ожени изменения ще бъдат в съответствие както със съответните директиви на Европейския парламент и на Съвета, така и с правилата, установени в Договора за функционирането на ЕС.</w:t>
            </w:r>
          </w:p>
        </w:tc>
      </w:tr>
      <w:tr w:rsidR="00D4086A">
        <w:trPr>
          <w:trHeight w:val="1050"/>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7</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14 – Подобряване на бизнес средата – Реформа 3: Реформа на обществените </w:t>
            </w:r>
            <w:r>
              <w:rPr>
                <w:rFonts w:ascii="Times New Roman" w:hAnsi="Times New Roman"/>
                <w:noProof/>
                <w:color w:val="006100"/>
                <w:sz w:val="20"/>
                <w:szCs w:val="20"/>
              </w:rPr>
              <w:t>поръчки – цифровизация на процедурите за възлагане на обществени поръчки</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Цифровизация на процедурите за възлагане на обществени поръчки чрез единна електронна платформа.</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Единната електронна платформа функционира пълноценно по отношение на 7-те </w:t>
            </w:r>
            <w:r>
              <w:rPr>
                <w:rFonts w:ascii="Times New Roman" w:hAnsi="Times New Roman"/>
                <w:noProof/>
                <w:color w:val="006100"/>
                <w:sz w:val="20"/>
                <w:szCs w:val="20"/>
              </w:rPr>
              <w:t xml:space="preserve">нови функционалности. </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2023</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Цифровизацията на процедурите за възлагане на обществени поръчки трябва да бъде изпитана и напълно оперативна, включително оперативна съвместимост с информационната система на Централното управление на референтни данни (IS</w:t>
            </w:r>
            <w:r>
              <w:rPr>
                <w:rFonts w:ascii="Times New Roman" w:hAnsi="Times New Roman"/>
                <w:noProof/>
                <w:color w:val="006100"/>
                <w:sz w:val="20"/>
                <w:szCs w:val="20"/>
              </w:rPr>
              <w:t xml:space="preserve"> CSRÚ) съгласно Закон № 305/2013 Сб., който позволява автоматично попълване на данните на възложителя, разширяване на обхвата за всички стоки и услуги и наблюдение на развитието на цените на стоките и услугите. Очаква се системата за изменение на цените на</w:t>
            </w:r>
            <w:r>
              <w:rPr>
                <w:rFonts w:ascii="Times New Roman" w:hAnsi="Times New Roman"/>
                <w:noProof/>
                <w:color w:val="006100"/>
                <w:sz w:val="20"/>
                <w:szCs w:val="20"/>
              </w:rPr>
              <w:t xml:space="preserve"> стоките и услугите да бъде завършена постепенно. Характеристики:</w:t>
            </w:r>
          </w:p>
          <w:p w:rsidR="00D4086A" w:rsidRDefault="00D5307E">
            <w:pPr>
              <w:rPr>
                <w:rFonts w:ascii="Times New Roman" w:hAnsi="Times New Roman"/>
                <w:noProof/>
                <w:sz w:val="20"/>
                <w:szCs w:val="20"/>
              </w:rPr>
            </w:pPr>
            <w:r>
              <w:rPr>
                <w:rFonts w:ascii="Times New Roman" w:hAnsi="Times New Roman"/>
                <w:noProof/>
                <w:color w:val="006100"/>
                <w:sz w:val="20"/>
                <w:szCs w:val="20"/>
              </w:rPr>
              <w:t>— Представяне на строителство, доставки и услуги под прага, а не само тези, които обичайно се предлагат на пазара;</w:t>
            </w:r>
          </w:p>
          <w:p w:rsidR="00D4086A" w:rsidRDefault="00D5307E">
            <w:pPr>
              <w:rPr>
                <w:rFonts w:ascii="Times New Roman" w:hAnsi="Times New Roman"/>
                <w:noProof/>
                <w:sz w:val="20"/>
                <w:szCs w:val="20"/>
              </w:rPr>
            </w:pPr>
            <w:r>
              <w:rPr>
                <w:rFonts w:ascii="Times New Roman" w:hAnsi="Times New Roman"/>
                <w:noProof/>
                <w:color w:val="006100"/>
                <w:sz w:val="20"/>
                <w:szCs w:val="20"/>
              </w:rPr>
              <w:t>— Възлагане на поръчка с критерий, различен от цената;</w:t>
            </w:r>
          </w:p>
          <w:p w:rsidR="00D4086A" w:rsidRDefault="00D5307E">
            <w:pPr>
              <w:rPr>
                <w:rFonts w:ascii="Times New Roman" w:hAnsi="Times New Roman"/>
                <w:noProof/>
                <w:sz w:val="20"/>
                <w:szCs w:val="20"/>
              </w:rPr>
            </w:pPr>
            <w:r>
              <w:rPr>
                <w:rFonts w:ascii="Times New Roman" w:hAnsi="Times New Roman"/>
                <w:noProof/>
                <w:color w:val="006100"/>
                <w:sz w:val="20"/>
                <w:szCs w:val="20"/>
              </w:rPr>
              <w:t>— Проучване на пазар</w:t>
            </w:r>
            <w:r>
              <w:rPr>
                <w:rFonts w:ascii="Times New Roman" w:hAnsi="Times New Roman"/>
                <w:noProof/>
                <w:color w:val="006100"/>
                <w:sz w:val="20"/>
                <w:szCs w:val="20"/>
              </w:rPr>
              <w:t>а за поръчки с ниска стойност;</w:t>
            </w:r>
          </w:p>
          <w:p w:rsidR="00D4086A" w:rsidRDefault="00D5307E">
            <w:pPr>
              <w:rPr>
                <w:rFonts w:ascii="Times New Roman" w:hAnsi="Times New Roman"/>
                <w:noProof/>
                <w:sz w:val="20"/>
                <w:szCs w:val="20"/>
              </w:rPr>
            </w:pPr>
            <w:r>
              <w:rPr>
                <w:rFonts w:ascii="Times New Roman" w:hAnsi="Times New Roman"/>
                <w:noProof/>
                <w:color w:val="006100"/>
                <w:sz w:val="20"/>
                <w:szCs w:val="20"/>
              </w:rPr>
              <w:t>— Публикуване на поръчки с ниска стойност;</w:t>
            </w:r>
          </w:p>
          <w:p w:rsidR="00D4086A" w:rsidRDefault="00D5307E">
            <w:pPr>
              <w:rPr>
                <w:rFonts w:ascii="Times New Roman" w:hAnsi="Times New Roman"/>
                <w:noProof/>
                <w:sz w:val="20"/>
                <w:szCs w:val="20"/>
              </w:rPr>
            </w:pPr>
            <w:r>
              <w:rPr>
                <w:rFonts w:ascii="Times New Roman" w:hAnsi="Times New Roman"/>
                <w:noProof/>
                <w:color w:val="006100"/>
                <w:sz w:val="20"/>
                <w:szCs w:val="20"/>
              </w:rPr>
              <w:t>— Създаване на функция за наблюдение на цените;</w:t>
            </w:r>
          </w:p>
          <w:p w:rsidR="00D4086A" w:rsidRDefault="00D5307E">
            <w:pPr>
              <w:rPr>
                <w:rFonts w:ascii="Times New Roman" w:hAnsi="Times New Roman"/>
                <w:noProof/>
                <w:sz w:val="20"/>
                <w:szCs w:val="20"/>
              </w:rPr>
            </w:pPr>
            <w:r>
              <w:rPr>
                <w:rFonts w:ascii="Times New Roman" w:hAnsi="Times New Roman"/>
                <w:noProof/>
                <w:color w:val="006100"/>
                <w:sz w:val="20"/>
                <w:szCs w:val="20"/>
              </w:rPr>
              <w:t>— Създаване на функционалност за автоматизирано класиране на офертите;</w:t>
            </w:r>
          </w:p>
          <w:p w:rsidR="00D4086A" w:rsidRDefault="00D5307E">
            <w:pPr>
              <w:rPr>
                <w:rFonts w:ascii="Times New Roman" w:hAnsi="Times New Roman"/>
                <w:noProof/>
                <w:sz w:val="20"/>
                <w:szCs w:val="20"/>
              </w:rPr>
            </w:pPr>
            <w:r>
              <w:rPr>
                <w:rFonts w:ascii="Times New Roman" w:hAnsi="Times New Roman"/>
                <w:noProof/>
                <w:color w:val="006100"/>
                <w:sz w:val="20"/>
                <w:szCs w:val="20"/>
              </w:rPr>
              <w:t>— Интегриране в информационната система на централното управлен</w:t>
            </w:r>
            <w:r>
              <w:rPr>
                <w:rFonts w:ascii="Times New Roman" w:hAnsi="Times New Roman"/>
                <w:noProof/>
                <w:color w:val="006100"/>
                <w:sz w:val="20"/>
                <w:szCs w:val="20"/>
              </w:rPr>
              <w:t>ие на референтни данни (IS CSRÚ) съгласно Закон № 305/2013 Сб.</w:t>
            </w:r>
          </w:p>
        </w:tc>
      </w:tr>
    </w:tbl>
    <w:p w:rsidR="00D4086A" w:rsidRDefault="00D4086A">
      <w:pPr>
        <w:spacing w:before="120" w:after="120" w:line="240" w:lineRule="auto"/>
        <w:jc w:val="both"/>
        <w:rPr>
          <w:rFonts w:ascii="Times New Roman" w:hAnsi="Times New Roman"/>
          <w:noProof/>
          <w:sz w:val="24"/>
          <w:szCs w:val="24"/>
        </w:rPr>
        <w:sectPr w:rsidR="00D4086A">
          <w:headerReference w:type="even" r:id="rId180"/>
          <w:headerReference w:type="default" r:id="rId181"/>
          <w:footerReference w:type="even" r:id="rId182"/>
          <w:footerReference w:type="default" r:id="rId183"/>
          <w:headerReference w:type="first" r:id="rId184"/>
          <w:footerReference w:type="first" r:id="rId185"/>
          <w:pgSz w:w="16839" w:h="11907" w:orient="landscape"/>
          <w:pgMar w:top="568" w:right="1134" w:bottom="1418" w:left="1134" w:header="709" w:footer="709" w:gutter="0"/>
          <w:cols w:space="720"/>
          <w:docGrid w:linePitch="360"/>
        </w:sectPr>
      </w:pPr>
    </w:p>
    <w:p w:rsidR="00D4086A" w:rsidRDefault="00D5307E">
      <w:pPr>
        <w:keepNext/>
        <w:tabs>
          <w:tab w:val="left" w:pos="850"/>
        </w:tabs>
        <w:spacing w:before="360" w:after="120" w:line="240" w:lineRule="auto"/>
        <w:jc w:val="both"/>
        <w:outlineLvl w:val="0"/>
        <w:rPr>
          <w:rFonts w:ascii="Times New Roman" w:hAnsi="Times New Roman"/>
          <w:b/>
          <w:bCs/>
          <w:smallCaps/>
          <w:noProof/>
          <w:sz w:val="24"/>
        </w:rPr>
      </w:pPr>
      <w:r>
        <w:rPr>
          <w:rFonts w:ascii="Times New Roman" w:hAnsi="Times New Roman"/>
          <w:b/>
          <w:smallCaps/>
          <w:noProof/>
          <w:sz w:val="24"/>
        </w:rPr>
        <w:t xml:space="preserve">КОМПОНЕНТ 15: </w:t>
      </w:r>
      <w:r>
        <w:rPr>
          <w:rFonts w:ascii="Times New Roman" w:hAnsi="Times New Roman"/>
          <w:b/>
          <w:bCs/>
          <w:smallCaps/>
          <w:noProof/>
          <w:sz w:val="24"/>
        </w:rPr>
        <w:t>Съдебна реформа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В Словакия бяха изразени конкретни опасения относно цялостната почтеност на нейната правосъдна система, а доверието в съдебната система се нарежда слабо в сравнение с други държави от ЕС. Корупцията продължава да представлява предизвикателство, а възприяти</w:t>
      </w:r>
      <w:r>
        <w:rPr>
          <w:rFonts w:ascii="Times New Roman" w:hAnsi="Times New Roman"/>
          <w:noProof/>
          <w:sz w:val="24"/>
          <w:szCs w:val="24"/>
        </w:rPr>
        <w:t xml:space="preserve">ята за корупция продължават да бъдат проблематични.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Този компонент на словашкия план за възстановяване и устойчивост има за цел по-нататъшно повишаване на ефикасността, интегритета и независимостта на съдебната система, както и борба с корупцията. Целта </w:t>
      </w:r>
      <w:r>
        <w:rPr>
          <w:rFonts w:ascii="Times New Roman" w:hAnsi="Times New Roman"/>
          <w:noProof/>
          <w:sz w:val="24"/>
          <w:szCs w:val="24"/>
        </w:rPr>
        <w:t>на реформата на съдебната карта е да се въведе специализацията на съдиите и по този начин да се създаде възможност за по-добри и по-бързи съдебни решения. Инвестициите, свързани с реформата на съдебната карта, имат две основни цели. Първата цел е да се мод</w:t>
      </w:r>
      <w:r>
        <w:rPr>
          <w:rFonts w:ascii="Times New Roman" w:hAnsi="Times New Roman"/>
          <w:noProof/>
          <w:sz w:val="24"/>
          <w:szCs w:val="24"/>
        </w:rPr>
        <w:t>ернизират съществуващите помещения и да се изградят или набавят нови помещения за ключови съдилища в новата съдебна карта. Втората цел е да се инвестира в аналитичния капацитет, цифровите технологии и електронизирането на съдебните процеси, за да се доприн</w:t>
      </w:r>
      <w:r>
        <w:rPr>
          <w:rFonts w:ascii="Times New Roman" w:hAnsi="Times New Roman"/>
          <w:noProof/>
          <w:sz w:val="24"/>
          <w:szCs w:val="24"/>
        </w:rPr>
        <w:t>есе за по-добро качество и по-бързи услуги и по-голяма прозрачност на процедурите, както и да се намалят възможностите за корупционни практики.</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Очаква се, че нито една мярка в този компонент не вреди в значителна степен на екологичните цели по смисъла на ч</w:t>
      </w:r>
      <w:r>
        <w:rPr>
          <w:rFonts w:ascii="Times New Roman" w:hAnsi="Times New Roman"/>
          <w:noProof/>
          <w:sz w:val="24"/>
          <w:szCs w:val="24"/>
        </w:rPr>
        <w:t xml:space="preserve">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на DNSH (2021/C58/01).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Компонентът допринася </w:t>
      </w:r>
      <w:r>
        <w:rPr>
          <w:rFonts w:ascii="Times New Roman" w:hAnsi="Times New Roman"/>
          <w:noProof/>
          <w:sz w:val="24"/>
        </w:rPr>
        <w:t>за изпълнението на специфична за всяка държава препоръка 2019.4 и специфична за всяка държава препоръка 2020.4, а именно за подобряване на ефективността и преодоляване на опасенията във връзка с почтеността в правосъдната система, както и за увеличаване на</w:t>
      </w:r>
      <w:r>
        <w:rPr>
          <w:rFonts w:ascii="Times New Roman" w:hAnsi="Times New Roman"/>
          <w:noProof/>
          <w:sz w:val="24"/>
        </w:rPr>
        <w:t xml:space="preserve"> усилията за разкриване и наказателно преследване на корупцията, както и за осигуряване на ефективен надзор и прилагане на рамката за борба с изпирането на пари.</w:t>
      </w:r>
    </w:p>
    <w:p w:rsidR="00D4086A" w:rsidRDefault="00D4086A">
      <w:pPr>
        <w:spacing w:before="120" w:after="120" w:line="240" w:lineRule="auto"/>
        <w:jc w:val="both"/>
        <w:rPr>
          <w:rFonts w:ascii="Times New Roman" w:hAnsi="Times New Roman"/>
          <w:noProof/>
          <w:sz w:val="24"/>
        </w:rPr>
      </w:pP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Реформа 1: Реорганизация на съдебната карта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Разпокъсаността на съдебната система на Словакия </w:t>
      </w:r>
      <w:r>
        <w:rPr>
          <w:rFonts w:ascii="Times New Roman" w:hAnsi="Times New Roman"/>
          <w:noProof/>
          <w:sz w:val="24"/>
        </w:rPr>
        <w:t xml:space="preserve">подкопава нейната ефективност. Съдиите не са в състояние да се специализират в достатъчна степен, което възпрепятства ефективността и качеството на съдебните решения. Освен това разнородността на системата води до липса на прозрачност.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Следователно тази р</w:t>
      </w:r>
      <w:r>
        <w:rPr>
          <w:rFonts w:ascii="Times New Roman" w:hAnsi="Times New Roman"/>
          <w:noProof/>
          <w:sz w:val="24"/>
          <w:szCs w:val="24"/>
        </w:rPr>
        <w:t>еформа ще подобри ефикасността и качеството на съдебната власт. За тази цел тя реорганизира системата на съдилищата, като я рационализира и по този начин даде възможност за по-голяма специализация на съдиите в областта на наказателното, гражданското, търго</w:t>
      </w:r>
      <w:r>
        <w:rPr>
          <w:rFonts w:ascii="Times New Roman" w:hAnsi="Times New Roman"/>
          <w:noProof/>
          <w:sz w:val="24"/>
          <w:szCs w:val="24"/>
        </w:rPr>
        <w:t xml:space="preserve">вското и семейното правосъдие, като проправи пътя за по-добри и по-бързи съдебни решения. Тя включва нова мрежа от първоинстанционни административни и обикновени съдилища (включително общински съдилища), апелативни съдилища и Върховен административен съд.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Основното законодателство за прилагане на реформата на съдебната карта влиза в сила до 31 декември 2021 г. Преходът на съдебната система към по-малък брой съдилища и със специализирани съдии приключва до 31 март 2023 г.</w:t>
      </w:r>
    </w:p>
    <w:p w:rsidR="00D4086A" w:rsidRDefault="00D4086A">
      <w:pPr>
        <w:spacing w:before="120" w:after="120" w:line="240" w:lineRule="auto"/>
        <w:jc w:val="both"/>
        <w:rPr>
          <w:rFonts w:ascii="Times New Roman" w:hAnsi="Times New Roman"/>
          <w:noProof/>
          <w:sz w:val="24"/>
        </w:rPr>
      </w:pP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Реформа 2:</w:t>
      </w:r>
      <w:r>
        <w:rPr>
          <w:rFonts w:ascii="Times New Roman" w:hAnsi="Times New Roman"/>
          <w:noProof/>
          <w:sz w:val="24"/>
        </w:rPr>
        <w:t xml:space="preserve"> </w:t>
      </w:r>
      <w:r>
        <w:rPr>
          <w:rFonts w:ascii="Times New Roman" w:hAnsi="Times New Roman"/>
          <w:b/>
          <w:noProof/>
          <w:sz w:val="24"/>
        </w:rPr>
        <w:t>Борба с корупцията и ук</w:t>
      </w:r>
      <w:r>
        <w:rPr>
          <w:rFonts w:ascii="Times New Roman" w:hAnsi="Times New Roman"/>
          <w:b/>
          <w:noProof/>
          <w:sz w:val="24"/>
        </w:rPr>
        <w:t>репване на почтеността и независимостта на съдебната система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Високата степен на усещане за корупция е съчетана с липса на доверие в съдебната система. Особено безпокойство буди липсата на средства за наказателно преследване на корупцията и изпирането на па</w:t>
      </w:r>
      <w:r>
        <w:rPr>
          <w:rFonts w:ascii="Times New Roman" w:hAnsi="Times New Roman"/>
          <w:noProof/>
          <w:sz w:val="24"/>
          <w:szCs w:val="24"/>
        </w:rPr>
        <w:t>ри.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Тази реформа включва пакет от законодателни промени, насочени към подобряване на интегритета и независимостта на съдебната система и към по-ефективна борба с корупцията и изпирането на пари. Тази реформа се осъществява в съответствие с член 19 от ДЕС, </w:t>
      </w:r>
      <w:r>
        <w:rPr>
          <w:rFonts w:ascii="Times New Roman" w:hAnsi="Times New Roman"/>
          <w:noProof/>
          <w:sz w:val="24"/>
        </w:rPr>
        <w:t>за да се гарантира ефективна съдебна защита.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Укрепване на интегритета и независимостта на съдебната система:</w:t>
      </w:r>
    </w:p>
    <w:p w:rsidR="00D4086A" w:rsidRDefault="00D5307E">
      <w:pPr>
        <w:numPr>
          <w:ilvl w:val="0"/>
          <w:numId w:val="33"/>
        </w:numPr>
        <w:spacing w:before="120" w:after="120" w:line="240" w:lineRule="auto"/>
        <w:ind w:left="0"/>
        <w:jc w:val="both"/>
        <w:rPr>
          <w:rFonts w:ascii="Times New Roman" w:hAnsi="Times New Roman"/>
          <w:noProof/>
          <w:sz w:val="24"/>
          <w:szCs w:val="24"/>
        </w:rPr>
      </w:pPr>
      <w:r>
        <w:rPr>
          <w:rFonts w:ascii="Times New Roman" w:hAnsi="Times New Roman"/>
          <w:noProof/>
          <w:sz w:val="24"/>
          <w:szCs w:val="24"/>
        </w:rPr>
        <w:t>Върховният административен съд се създава с правомощия да действа като дисциплинарен съд за съдии, прокурори, съдебни изпълнители, нотариуси и адми</w:t>
      </w:r>
      <w:r>
        <w:rPr>
          <w:rFonts w:ascii="Times New Roman" w:hAnsi="Times New Roman"/>
          <w:noProof/>
          <w:sz w:val="24"/>
          <w:szCs w:val="24"/>
        </w:rPr>
        <w:t>нистратори (във връзка с реформа 1).</w:t>
      </w:r>
    </w:p>
    <w:p w:rsidR="00D4086A" w:rsidRDefault="00D5307E">
      <w:pPr>
        <w:numPr>
          <w:ilvl w:val="0"/>
          <w:numId w:val="33"/>
        </w:numPr>
        <w:spacing w:before="120" w:after="120" w:line="240" w:lineRule="auto"/>
        <w:ind w:left="0"/>
        <w:jc w:val="both"/>
        <w:rPr>
          <w:rFonts w:ascii="Times New Roman" w:hAnsi="Times New Roman"/>
          <w:noProof/>
          <w:sz w:val="24"/>
          <w:szCs w:val="24"/>
        </w:rPr>
      </w:pPr>
      <w:r>
        <w:rPr>
          <w:rFonts w:ascii="Times New Roman" w:hAnsi="Times New Roman"/>
          <w:noProof/>
          <w:sz w:val="24"/>
          <w:szCs w:val="24"/>
        </w:rPr>
        <w:t>Съдебният съвет получава повече правомощия при проверката на имуществото и съдебния опит на съдиите. Освен това при избора на Съдебен съвет се въвежда регионален принцип, за да се гарантира по-добра представителност.</w:t>
      </w:r>
    </w:p>
    <w:p w:rsidR="00D4086A" w:rsidRDefault="00D5307E">
      <w:pPr>
        <w:numPr>
          <w:ilvl w:val="0"/>
          <w:numId w:val="33"/>
        </w:numPr>
        <w:spacing w:before="120" w:after="120" w:line="240" w:lineRule="auto"/>
        <w:ind w:left="0"/>
        <w:jc w:val="both"/>
        <w:rPr>
          <w:rFonts w:ascii="Times New Roman" w:hAnsi="Times New Roman"/>
          <w:noProof/>
          <w:sz w:val="24"/>
          <w:szCs w:val="24"/>
        </w:rPr>
      </w:pPr>
      <w:r>
        <w:rPr>
          <w:rFonts w:ascii="Times New Roman" w:hAnsi="Times New Roman"/>
          <w:noProof/>
          <w:sz w:val="24"/>
          <w:szCs w:val="24"/>
        </w:rPr>
        <w:t>Из</w:t>
      </w:r>
      <w:r>
        <w:rPr>
          <w:rFonts w:ascii="Times New Roman" w:hAnsi="Times New Roman"/>
          <w:noProof/>
          <w:sz w:val="24"/>
          <w:szCs w:val="24"/>
        </w:rPr>
        <w:t>борът на съдии в Конституционния съд се подобрява и става по-прозрачен по няколко начина, като например защита срещу пасивността на парламента при избирането на съдии, въвеждане на принцип на ротация на съдиите, за да се намали рискът от избор на прекалено</w:t>
      </w:r>
      <w:r>
        <w:rPr>
          <w:rFonts w:ascii="Times New Roman" w:hAnsi="Times New Roman"/>
          <w:noProof/>
          <w:sz w:val="24"/>
          <w:szCs w:val="24"/>
        </w:rPr>
        <w:t xml:space="preserve"> много съдии от определена политическа партия. За избора на ключови съдии се въвеждат публични изслушвания (от Конституционния съд, главния прокурор и специалния прокурор).</w:t>
      </w:r>
    </w:p>
    <w:p w:rsidR="00D4086A" w:rsidRDefault="00D5307E">
      <w:pPr>
        <w:numPr>
          <w:ilvl w:val="0"/>
          <w:numId w:val="33"/>
        </w:numPr>
        <w:spacing w:before="120" w:after="120" w:line="240" w:lineRule="auto"/>
        <w:ind w:left="0"/>
        <w:jc w:val="both"/>
        <w:rPr>
          <w:rFonts w:ascii="Times New Roman" w:hAnsi="Times New Roman"/>
          <w:noProof/>
          <w:sz w:val="24"/>
          <w:szCs w:val="24"/>
        </w:rPr>
      </w:pPr>
      <w:r>
        <w:rPr>
          <w:rFonts w:ascii="Times New Roman" w:hAnsi="Times New Roman"/>
          <w:noProof/>
          <w:sz w:val="24"/>
          <w:szCs w:val="24"/>
        </w:rPr>
        <w:t>Изменят се правилата за упражняване на съдебната професия, включително възрастова г</w:t>
      </w:r>
      <w:r>
        <w:rPr>
          <w:rFonts w:ascii="Times New Roman" w:hAnsi="Times New Roman"/>
          <w:noProof/>
          <w:sz w:val="24"/>
          <w:szCs w:val="24"/>
        </w:rPr>
        <w:t>раница от 67 години за съдиите и 72 години за конституционните съдии.</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Да гарантира ефективен надзор и прилагане на уредбата за борба с изпирането на пари:</w:t>
      </w:r>
    </w:p>
    <w:p w:rsidR="00D4086A" w:rsidRDefault="00D5307E">
      <w:pPr>
        <w:numPr>
          <w:ilvl w:val="0"/>
          <w:numId w:val="32"/>
        </w:numPr>
        <w:spacing w:before="120" w:after="120" w:line="240" w:lineRule="auto"/>
        <w:ind w:left="0"/>
        <w:jc w:val="both"/>
        <w:rPr>
          <w:rFonts w:ascii="Times New Roman" w:hAnsi="Times New Roman"/>
          <w:noProof/>
          <w:sz w:val="24"/>
          <w:szCs w:val="24"/>
        </w:rPr>
      </w:pPr>
      <w:r>
        <w:rPr>
          <w:rFonts w:ascii="Times New Roman" w:hAnsi="Times New Roman"/>
          <w:noProof/>
          <w:sz w:val="24"/>
          <w:szCs w:val="24"/>
        </w:rPr>
        <w:t xml:space="preserve">Създава се Служба за управление на иззетите активи, както и подобрена правна рамка, която дава възможност за по-ефективно изземване и управление на активи. </w:t>
      </w:r>
      <w:r>
        <w:rPr>
          <w:rFonts w:ascii="Times New Roman" w:hAnsi="Times New Roman"/>
          <w:noProof/>
          <w:sz w:val="24"/>
        </w:rPr>
        <w:t>Тази мярка е свързана с усилията за борба с изпирането на пари в раздел 16 от словашкия план за възс</w:t>
      </w:r>
      <w:r>
        <w:rPr>
          <w:rFonts w:ascii="Times New Roman" w:hAnsi="Times New Roman"/>
          <w:noProof/>
          <w:sz w:val="24"/>
        </w:rPr>
        <w:t>тановяване и устойчивост.</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Разкриване и наказателно преследване на корупцията:</w:t>
      </w:r>
    </w:p>
    <w:p w:rsidR="00D4086A" w:rsidRDefault="00D5307E">
      <w:pPr>
        <w:numPr>
          <w:ilvl w:val="0"/>
          <w:numId w:val="31"/>
        </w:numPr>
        <w:spacing w:before="120" w:after="120" w:line="240" w:lineRule="auto"/>
        <w:ind w:left="0"/>
        <w:jc w:val="both"/>
        <w:rPr>
          <w:rFonts w:ascii="Times New Roman" w:hAnsi="Times New Roman"/>
          <w:noProof/>
          <w:sz w:val="24"/>
          <w:szCs w:val="24"/>
        </w:rPr>
      </w:pPr>
      <w:r>
        <w:rPr>
          <w:rFonts w:ascii="Times New Roman" w:hAnsi="Times New Roman"/>
          <w:noProof/>
          <w:sz w:val="24"/>
          <w:szCs w:val="24"/>
        </w:rPr>
        <w:t>Нови престъпления се въвеждат, ако съдиите злоупотребяват със законите и ако държавни служители искат или обещават неправомерни облаги.</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Част от тези законодателни промени бяха пл</w:t>
      </w:r>
      <w:r>
        <w:rPr>
          <w:rFonts w:ascii="Times New Roman" w:hAnsi="Times New Roman"/>
          <w:noProof/>
          <w:sz w:val="24"/>
          <w:szCs w:val="24"/>
        </w:rPr>
        <w:t>анирани за 31 декември 2020 г. Целият законодателен пакет влиза в сила до 30 септември 2021 г.</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Изпълнението на реформата приключва до 30 септември 2021 г. </w:t>
      </w:r>
    </w:p>
    <w:p w:rsidR="00D4086A" w:rsidRDefault="00D4086A">
      <w:pPr>
        <w:spacing w:before="120" w:after="120" w:line="240" w:lineRule="auto"/>
        <w:jc w:val="both"/>
        <w:rPr>
          <w:rFonts w:ascii="Times New Roman" w:hAnsi="Times New Roman"/>
          <w:noProof/>
          <w:sz w:val="24"/>
        </w:rPr>
      </w:pP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1: Сгради за реорганизираната съдебна система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Новата съдебна карта, създадена с реформа </w:t>
      </w:r>
      <w:r>
        <w:rPr>
          <w:rFonts w:ascii="Times New Roman" w:hAnsi="Times New Roman"/>
          <w:noProof/>
          <w:sz w:val="24"/>
        </w:rPr>
        <w:t xml:space="preserve">1 на този компонент, </w:t>
      </w:r>
      <w:r>
        <w:rPr>
          <w:rFonts w:ascii="Times New Roman" w:hAnsi="Times New Roman"/>
          <w:i/>
          <w:noProof/>
          <w:sz w:val="24"/>
          <w:u w:val="single"/>
        </w:rPr>
        <w:t>Реорганизиране на съдебната карта,</w:t>
      </w:r>
      <w:r>
        <w:rPr>
          <w:rFonts w:ascii="Times New Roman" w:hAnsi="Times New Roman"/>
          <w:noProof/>
          <w:sz w:val="24"/>
        </w:rPr>
        <w:t xml:space="preserve"> изисква някои нови сгради, а наличните понастоящем съдебни сгради изискват цялостно реновиране или адаптиране.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Тези инвестиции ще разширят капацитета или ще модернизират съществуващите или, когато е ц</w:t>
      </w:r>
      <w:r>
        <w:rPr>
          <w:rFonts w:ascii="Times New Roman" w:hAnsi="Times New Roman"/>
          <w:noProof/>
          <w:sz w:val="24"/>
        </w:rPr>
        <w:t>елесъобразно, ще изградят или набавят нови подходящи помещения за ключови съдилища в новата съдебна карта. По-конкретно, трябва да бъдат построени или придобити най-малко 80 500 m2 съдебни сгради и да бъдат реновирани най-малко 77 500 m2 съдебни сгради. Пр</w:t>
      </w:r>
      <w:r>
        <w:rPr>
          <w:rFonts w:ascii="Times New Roman" w:hAnsi="Times New Roman"/>
          <w:noProof/>
          <w:sz w:val="24"/>
        </w:rPr>
        <w:t>и реновирането се постигат средни икономии на първична енергия от най-малко 30 %. Очаква се това да се отнася най-малкото до реновирането на 25 първоинстанционни обикновени съдилища, изграждането на две нови общински съдилища, изграждането на Върховния адм</w:t>
      </w:r>
      <w:r>
        <w:rPr>
          <w:rFonts w:ascii="Times New Roman" w:hAnsi="Times New Roman"/>
          <w:noProof/>
          <w:sz w:val="24"/>
        </w:rPr>
        <w:t>инистративен съд и изграждането или реновирането на три първоинстанционни административни съдилища, три обикновени апелативни съдилища и три първоинстанционни обикновени съдилища.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Изпълнението на инвестицията трябва да приключи до 31 декември 2024 г. </w:t>
      </w:r>
    </w:p>
    <w:p w:rsidR="00D4086A" w:rsidRDefault="00D4086A">
      <w:pPr>
        <w:spacing w:before="120" w:after="120" w:line="240" w:lineRule="auto"/>
        <w:jc w:val="both"/>
        <w:rPr>
          <w:rFonts w:ascii="Times New Roman" w:hAnsi="Times New Roman"/>
          <w:noProof/>
          <w:sz w:val="24"/>
        </w:rPr>
      </w:pPr>
    </w:p>
    <w:p w:rsidR="00D4086A" w:rsidRDefault="00D5307E">
      <w:pPr>
        <w:spacing w:before="120" w:after="120" w:line="240" w:lineRule="auto"/>
        <w:jc w:val="both"/>
        <w:rPr>
          <w:rFonts w:ascii="Times New Roman" w:hAnsi="Times New Roman"/>
          <w:noProof/>
          <w:sz w:val="24"/>
        </w:rPr>
      </w:pPr>
      <w:r>
        <w:rPr>
          <w:rFonts w:ascii="Times New Roman" w:hAnsi="Times New Roman"/>
          <w:b/>
          <w:noProof/>
          <w:sz w:val="24"/>
        </w:rPr>
        <w:t>Инв</w:t>
      </w:r>
      <w:r>
        <w:rPr>
          <w:rFonts w:ascii="Times New Roman" w:hAnsi="Times New Roman"/>
          <w:b/>
          <w:noProof/>
          <w:sz w:val="24"/>
        </w:rPr>
        <w:t>естиция 2: Цифровизация и аналитичен капацитет</w:t>
      </w:r>
      <w:r>
        <w:rPr>
          <w:rFonts w:ascii="Times New Roman" w:hAnsi="Times New Roman"/>
          <w:noProof/>
          <w:sz w:val="24"/>
        </w:rPr>
        <w:t xml:space="preserve">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Съдебната система има значителни възможности за подобряване на използването на цифровите технологии с оглед на повишаването на ефективността и прозрачността. Това включва осигуряване на цифрови и централни съ</w:t>
      </w:r>
      <w:r>
        <w:rPr>
          <w:rFonts w:ascii="Times New Roman" w:hAnsi="Times New Roman"/>
          <w:noProof/>
          <w:sz w:val="24"/>
          <w:szCs w:val="24"/>
        </w:rPr>
        <w:t>дебни преписки и информационно-технологично оборудване в съдилищата.</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Тези инвестиции допълнително ще подобрят ефективността на съдебната система, като предоставят на реформираната мрежа оборудване за цифрово разглеждане на делата и като създадат необходими</w:t>
      </w:r>
      <w:r>
        <w:rPr>
          <w:rFonts w:ascii="Times New Roman" w:hAnsi="Times New Roman"/>
          <w:noProof/>
          <w:sz w:val="24"/>
          <w:szCs w:val="24"/>
        </w:rPr>
        <w:t xml:space="preserve">те системи. За тази цел се създават електронен търговски регистър и електронна, централизирана съдебна система за управление. Последните позволяват изцяло електронно управление на съдебните преписки. Тя се допълва от аналитична поддържаща платформа, която </w:t>
      </w:r>
      <w:r>
        <w:rPr>
          <w:rFonts w:ascii="Times New Roman" w:hAnsi="Times New Roman"/>
          <w:noProof/>
          <w:sz w:val="24"/>
          <w:szCs w:val="24"/>
        </w:rPr>
        <w:t>предоставя цифрова база данни за съдебната практика, която може да се търси и която подпомага съдиите и ускорява вземането на решения. Що се отнася до информационно-технологичното оборудване, инвестициите ще осигурят най-малко 6 000 съдебни служители с пре</w:t>
      </w:r>
      <w:r>
        <w:rPr>
          <w:rFonts w:ascii="Times New Roman" w:hAnsi="Times New Roman"/>
          <w:noProof/>
          <w:sz w:val="24"/>
          <w:szCs w:val="24"/>
        </w:rPr>
        <w:t>носими компютри, докинг станции, монитори и телефони. Инвестицията включва и допълнителна цифрова инфраструктура за съдилищата, като например технология за видеоконферентни връзки и безжичен интернет.</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Изпълнението на инвестицията трябва да приключи до 30 юни 2026 г. </w:t>
      </w:r>
    </w:p>
    <w:p w:rsidR="00D4086A" w:rsidRDefault="00D4086A">
      <w:pPr>
        <w:spacing w:before="120" w:after="120" w:line="240" w:lineRule="auto"/>
        <w:jc w:val="both"/>
        <w:rPr>
          <w:rFonts w:ascii="Times New Roman" w:hAnsi="Times New Roman"/>
          <w:noProof/>
          <w:sz w:val="24"/>
        </w:rPr>
        <w:sectPr w:rsidR="00D4086A">
          <w:headerReference w:type="even" r:id="rId186"/>
          <w:headerReference w:type="default" r:id="rId187"/>
          <w:footerReference w:type="even" r:id="rId188"/>
          <w:footerReference w:type="default" r:id="rId189"/>
          <w:headerReference w:type="first" r:id="rId190"/>
          <w:footerReference w:type="first" r:id="rId191"/>
          <w:pgSz w:w="11907" w:h="16839"/>
          <w:pgMar w:top="1134" w:right="1418" w:bottom="1134" w:left="1418" w:header="709" w:footer="709" w:gutter="0"/>
          <w:cols w:space="720"/>
          <w:docGrid w:linePitch="360"/>
        </w:sectPr>
      </w:pPr>
    </w:p>
    <w:p w:rsidR="00D4086A" w:rsidRDefault="00D4086A">
      <w:pPr>
        <w:spacing w:before="120" w:after="120" w:line="240" w:lineRule="auto"/>
        <w:jc w:val="both"/>
        <w:rPr>
          <w:rFonts w:ascii="Times New Roman" w:hAnsi="Times New Roman"/>
          <w:noProof/>
          <w:sz w:val="24"/>
        </w:rPr>
      </w:pPr>
    </w:p>
    <w:p w:rsidR="00D4086A" w:rsidRDefault="00D5307E">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Ключови етапи, цели, показатели и график за мониторинг и изпълнение на безвъзмездната финансова подкрепа</w:t>
      </w:r>
    </w:p>
    <w:p w:rsidR="00D4086A" w:rsidRDefault="00D4086A">
      <w:pPr>
        <w:spacing w:before="120" w:after="120" w:line="240" w:lineRule="auto"/>
        <w:ind w:left="850"/>
        <w:jc w:val="both"/>
        <w:rPr>
          <w:rFonts w:ascii="Times New Roman" w:hAnsi="Times New Roman"/>
          <w:i/>
          <w:iCs/>
          <w:noProof/>
          <w:color w:val="4F81BD"/>
          <w:sz w:val="24"/>
        </w:rPr>
      </w:pPr>
    </w:p>
    <w:tbl>
      <w:tblPr>
        <w:tblW w:w="0" w:type="auto"/>
        <w:tblInd w:w="120" w:type="dxa"/>
        <w:tblLayout w:type="fixed"/>
        <w:tblLook w:val="04A0" w:firstRow="1" w:lastRow="0" w:firstColumn="1" w:lastColumn="0" w:noHBand="0" w:noVBand="1"/>
      </w:tblPr>
      <w:tblGrid>
        <w:gridCol w:w="697"/>
        <w:gridCol w:w="1617"/>
        <w:gridCol w:w="1157"/>
        <w:gridCol w:w="1271"/>
        <w:gridCol w:w="1271"/>
        <w:gridCol w:w="1042"/>
        <w:gridCol w:w="957"/>
        <w:gridCol w:w="614"/>
        <w:gridCol w:w="700"/>
        <w:gridCol w:w="1294"/>
        <w:gridCol w:w="3946"/>
      </w:tblGrid>
      <w:tr w:rsidR="00D4086A">
        <w:trPr>
          <w:trHeight w:val="900"/>
        </w:trPr>
        <w:tc>
          <w:tcPr>
            <w:tcW w:w="697"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617"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Свързана мярка </w:t>
            </w:r>
            <w:r>
              <w:rPr>
                <w:rFonts w:ascii="Times New Roman" w:hAnsi="Times New Roman"/>
                <w:b/>
                <w:bCs/>
                <w:noProof/>
                <w:sz w:val="20"/>
                <w:szCs w:val="20"/>
              </w:rPr>
              <w:t>(реформа или инвестиция)</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157"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Ключов етап / Цел</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271"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Наименование</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1271"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w:t>
            </w:r>
            <w:r>
              <w:rPr>
                <w:rFonts w:ascii="Times New Roman" w:hAnsi="Times New Roman"/>
                <w:noProof/>
                <w:sz w:val="20"/>
                <w:szCs w:val="20"/>
              </w:rPr>
              <w:t xml:space="preserve">  </w:t>
            </w:r>
            <w:r>
              <w:rPr>
                <w:rFonts w:ascii="Times New Roman" w:hAnsi="Times New Roman"/>
                <w:b/>
                <w:bCs/>
                <w:noProof/>
                <w:sz w:val="20"/>
                <w:szCs w:val="20"/>
              </w:rPr>
              <w:t xml:space="preserve"> (за ключовите етапи)</w:t>
            </w:r>
          </w:p>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 </w:t>
            </w:r>
          </w:p>
        </w:tc>
        <w:tc>
          <w:tcPr>
            <w:tcW w:w="2613"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w:t>
            </w:r>
            <w:r>
              <w:rPr>
                <w:rFonts w:ascii="Times New Roman" w:hAnsi="Times New Roman"/>
                <w:noProof/>
                <w:sz w:val="20"/>
                <w:szCs w:val="20"/>
              </w:rPr>
              <w:t xml:space="preserve">  </w:t>
            </w:r>
            <w:r>
              <w:rPr>
                <w:rFonts w:ascii="Times New Roman" w:hAnsi="Times New Roman"/>
                <w:b/>
                <w:bCs/>
                <w:noProof/>
                <w:sz w:val="20"/>
                <w:szCs w:val="20"/>
              </w:rPr>
              <w:t xml:space="preserve"> (за целите)</w:t>
            </w:r>
          </w:p>
        </w:tc>
        <w:tc>
          <w:tcPr>
            <w:tcW w:w="1994" w:type="dxa"/>
            <w:gridSpan w:val="2"/>
            <w:tcBorders>
              <w:top w:val="single" w:sz="8" w:space="0" w:color="auto"/>
              <w:left w:val="nil"/>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Ориентировъчен график за приключване </w:t>
            </w:r>
          </w:p>
        </w:tc>
        <w:tc>
          <w:tcPr>
            <w:tcW w:w="3946" w:type="dxa"/>
            <w:vMerge w:val="restart"/>
            <w:tcBorders>
              <w:top w:val="single" w:sz="8" w:space="0" w:color="auto"/>
              <w:left w:val="nil"/>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Описание и ясно определяне на всеки ключов етап и цел</w:t>
            </w:r>
          </w:p>
          <w:p w:rsidR="00D4086A" w:rsidRDefault="00D5307E">
            <w:pPr>
              <w:rPr>
                <w:rFonts w:ascii="Times New Roman" w:hAnsi="Times New Roman"/>
                <w:noProof/>
                <w:sz w:val="20"/>
                <w:szCs w:val="20"/>
              </w:rPr>
            </w:pPr>
            <w:r>
              <w:rPr>
                <w:rFonts w:ascii="Times New Roman" w:hAnsi="Times New Roman"/>
                <w:noProof/>
                <w:sz w:val="20"/>
                <w:szCs w:val="20"/>
              </w:rPr>
              <w:t xml:space="preserve"> </w:t>
            </w:r>
          </w:p>
        </w:tc>
      </w:tr>
      <w:tr w:rsidR="00D4086A">
        <w:trPr>
          <w:trHeight w:val="990"/>
        </w:trPr>
        <w:tc>
          <w:tcPr>
            <w:tcW w:w="697"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617"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157"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271"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271"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042"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Мерна </w:t>
            </w:r>
            <w:r>
              <w:rPr>
                <w:rFonts w:ascii="Times New Roman" w:hAnsi="Times New Roman"/>
                <w:b/>
                <w:bCs/>
                <w:noProof/>
                <w:sz w:val="20"/>
                <w:szCs w:val="20"/>
              </w:rPr>
              <w:t>единица</w:t>
            </w:r>
          </w:p>
        </w:tc>
        <w:tc>
          <w:tcPr>
            <w:tcW w:w="957" w:type="dxa"/>
            <w:tcBorders>
              <w:top w:val="nil"/>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Контекст</w:t>
            </w:r>
          </w:p>
        </w:tc>
        <w:tc>
          <w:tcPr>
            <w:tcW w:w="614"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Цел</w:t>
            </w:r>
          </w:p>
        </w:tc>
        <w:tc>
          <w:tcPr>
            <w:tcW w:w="700"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Тримесечие</w:t>
            </w:r>
          </w:p>
        </w:tc>
        <w:tc>
          <w:tcPr>
            <w:tcW w:w="1294"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Година</w:t>
            </w:r>
          </w:p>
        </w:tc>
        <w:tc>
          <w:tcPr>
            <w:tcW w:w="3946" w:type="dxa"/>
            <w:vMerge/>
            <w:tcBorders>
              <w:left w:val="single" w:sz="8" w:space="0" w:color="auto"/>
              <w:bottom w:val="single" w:sz="8" w:space="0" w:color="auto"/>
              <w:right w:val="single" w:sz="8" w:space="0" w:color="auto"/>
            </w:tcBorders>
            <w:shd w:val="clear" w:color="auto" w:fill="BDD7EE"/>
            <w:vAlign w:val="center"/>
          </w:tcPr>
          <w:p w:rsidR="00D4086A" w:rsidRDefault="00D4086A">
            <w:pPr>
              <w:rPr>
                <w:rFonts w:ascii="Times New Roman" w:hAnsi="Times New Roman"/>
                <w:noProof/>
                <w:sz w:val="20"/>
                <w:szCs w:val="20"/>
              </w:rPr>
            </w:pPr>
          </w:p>
        </w:tc>
      </w:tr>
      <w:tr w:rsidR="00D4086A">
        <w:trPr>
          <w:trHeight w:val="1230"/>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15 – Реформа на съдебната власт – Реформа 1:Реформа на Съдебната карта – Законодателство</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Определяне на нова съдебна карта </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Закона за пребиваването и окръзите</w:t>
            </w: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2021</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С влизането в сила на законодателното изменение се определя нова система от съдилища. </w:t>
            </w:r>
          </w:p>
          <w:p w:rsidR="00D4086A" w:rsidRDefault="00D5307E">
            <w:pPr>
              <w:rPr>
                <w:rFonts w:ascii="Times New Roman" w:hAnsi="Times New Roman"/>
                <w:noProof/>
                <w:sz w:val="20"/>
                <w:szCs w:val="20"/>
              </w:rPr>
            </w:pPr>
            <w:r>
              <w:rPr>
                <w:rFonts w:ascii="Times New Roman" w:hAnsi="Times New Roman"/>
                <w:noProof/>
                <w:color w:val="006100"/>
                <w:sz w:val="20"/>
                <w:szCs w:val="20"/>
              </w:rPr>
              <w:t>Промените в съдебната карта коригират мрежата от първоинстанционни обикновени съдилища, създават административни съдилища, коригират обикновените апелативни съ</w:t>
            </w:r>
            <w:r>
              <w:rPr>
                <w:rFonts w:ascii="Times New Roman" w:hAnsi="Times New Roman"/>
                <w:noProof/>
                <w:color w:val="006100"/>
                <w:sz w:val="20"/>
                <w:szCs w:val="20"/>
              </w:rPr>
              <w:t xml:space="preserve">дилища и създават Върховния административен съд на Словашката република. </w:t>
            </w:r>
          </w:p>
        </w:tc>
      </w:tr>
      <w:tr w:rsidR="00D4086A">
        <w:trPr>
          <w:trHeight w:val="1230"/>
        </w:trPr>
        <w:tc>
          <w:tcPr>
            <w:tcW w:w="697" w:type="dxa"/>
            <w:tcBorders>
              <w:top w:val="single" w:sz="8" w:space="0" w:color="auto"/>
              <w:left w:val="single" w:sz="8" w:space="0" w:color="auto"/>
              <w:bottom w:val="single" w:sz="8" w:space="0" w:color="auto"/>
              <w:right w:val="single" w:sz="8" w:space="0" w:color="auto"/>
            </w:tcBorders>
            <w:shd w:val="clear" w:color="auto" w:fill="C6F1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w:t>
            </w:r>
          </w:p>
        </w:tc>
        <w:tc>
          <w:tcPr>
            <w:tcW w:w="1617" w:type="dxa"/>
            <w:tcBorders>
              <w:top w:val="single" w:sz="8" w:space="0" w:color="auto"/>
              <w:left w:val="single" w:sz="8" w:space="0" w:color="auto"/>
              <w:bottom w:val="single" w:sz="8" w:space="0" w:color="auto"/>
              <w:right w:val="single" w:sz="8" w:space="0" w:color="auto"/>
            </w:tcBorders>
            <w:shd w:val="clear" w:color="auto" w:fill="C6F1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15 – Реформа на съдебната власт – Реформа 1:Реформа на Съдебната карта – Законодателство</w:t>
            </w:r>
          </w:p>
        </w:tc>
        <w:tc>
          <w:tcPr>
            <w:tcW w:w="1157" w:type="dxa"/>
            <w:tcBorders>
              <w:top w:val="single" w:sz="8" w:space="0" w:color="auto"/>
              <w:left w:val="single" w:sz="8" w:space="0" w:color="auto"/>
              <w:bottom w:val="single" w:sz="8" w:space="0" w:color="auto"/>
              <w:right w:val="single" w:sz="8" w:space="0" w:color="auto"/>
            </w:tcBorders>
            <w:shd w:val="clear" w:color="auto" w:fill="C6F1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1271" w:type="dxa"/>
            <w:tcBorders>
              <w:top w:val="single" w:sz="8" w:space="0" w:color="auto"/>
              <w:left w:val="single" w:sz="8" w:space="0" w:color="auto"/>
              <w:bottom w:val="single" w:sz="8" w:space="0" w:color="auto"/>
              <w:right w:val="single" w:sz="8" w:space="0" w:color="auto"/>
            </w:tcBorders>
            <w:shd w:val="clear" w:color="auto" w:fill="C6F1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Въвеждането на новата съдебна мрежа </w:t>
            </w:r>
          </w:p>
        </w:tc>
        <w:tc>
          <w:tcPr>
            <w:tcW w:w="1271" w:type="dxa"/>
            <w:tcBorders>
              <w:top w:val="single" w:sz="8" w:space="0" w:color="auto"/>
              <w:left w:val="single" w:sz="8" w:space="0" w:color="auto"/>
              <w:bottom w:val="single" w:sz="8" w:space="0" w:color="auto"/>
              <w:right w:val="single" w:sz="8" w:space="0" w:color="auto"/>
            </w:tcBorders>
            <w:shd w:val="clear" w:color="auto" w:fill="C6F1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Функционира реорганизираната мрежа на </w:t>
            </w:r>
            <w:r>
              <w:rPr>
                <w:rFonts w:ascii="Times New Roman" w:hAnsi="Times New Roman"/>
                <w:noProof/>
                <w:color w:val="006100"/>
                <w:sz w:val="20"/>
                <w:szCs w:val="20"/>
              </w:rPr>
              <w:t>съдилищата</w:t>
            </w:r>
          </w:p>
        </w:tc>
        <w:tc>
          <w:tcPr>
            <w:tcW w:w="1042" w:type="dxa"/>
            <w:tcBorders>
              <w:top w:val="single" w:sz="8" w:space="0" w:color="auto"/>
              <w:left w:val="single" w:sz="8" w:space="0" w:color="auto"/>
              <w:bottom w:val="single" w:sz="8" w:space="0" w:color="auto"/>
              <w:right w:val="single" w:sz="8" w:space="0" w:color="auto"/>
            </w:tcBorders>
            <w:shd w:val="clear" w:color="auto" w:fill="C6F1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57" w:type="dxa"/>
            <w:tcBorders>
              <w:top w:val="single" w:sz="8" w:space="0" w:color="auto"/>
              <w:left w:val="single" w:sz="8" w:space="0" w:color="auto"/>
              <w:bottom w:val="single" w:sz="8" w:space="0" w:color="auto"/>
              <w:right w:val="single" w:sz="8" w:space="0" w:color="auto"/>
            </w:tcBorders>
            <w:shd w:val="clear" w:color="auto" w:fill="C6F1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614" w:type="dxa"/>
            <w:tcBorders>
              <w:top w:val="single" w:sz="8" w:space="0" w:color="auto"/>
              <w:left w:val="single" w:sz="8" w:space="0" w:color="auto"/>
              <w:bottom w:val="single" w:sz="8" w:space="0" w:color="auto"/>
              <w:right w:val="single" w:sz="8" w:space="0" w:color="auto"/>
            </w:tcBorders>
            <w:shd w:val="clear" w:color="auto" w:fill="C6F1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00" w:type="dxa"/>
            <w:tcBorders>
              <w:top w:val="single" w:sz="8" w:space="0" w:color="auto"/>
              <w:left w:val="single" w:sz="8" w:space="0" w:color="auto"/>
              <w:bottom w:val="single" w:sz="8" w:space="0" w:color="auto"/>
              <w:right w:val="single" w:sz="8" w:space="0" w:color="auto"/>
            </w:tcBorders>
            <w:shd w:val="clear" w:color="auto" w:fill="C6F1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Т1</w:t>
            </w:r>
          </w:p>
        </w:tc>
        <w:tc>
          <w:tcPr>
            <w:tcW w:w="1294" w:type="dxa"/>
            <w:tcBorders>
              <w:top w:val="single" w:sz="8" w:space="0" w:color="auto"/>
              <w:left w:val="single" w:sz="8" w:space="0" w:color="auto"/>
              <w:bottom w:val="single" w:sz="8" w:space="0" w:color="auto"/>
              <w:right w:val="single" w:sz="8" w:space="0" w:color="auto"/>
            </w:tcBorders>
            <w:shd w:val="clear" w:color="auto" w:fill="C6F1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2023</w:t>
            </w:r>
          </w:p>
        </w:tc>
        <w:tc>
          <w:tcPr>
            <w:tcW w:w="3946" w:type="dxa"/>
            <w:tcBorders>
              <w:top w:val="single" w:sz="8" w:space="0" w:color="auto"/>
              <w:left w:val="single" w:sz="8" w:space="0" w:color="auto"/>
              <w:bottom w:val="single" w:sz="8" w:space="0" w:color="auto"/>
              <w:right w:val="single" w:sz="8" w:space="0" w:color="auto"/>
            </w:tcBorders>
            <w:shd w:val="clear" w:color="auto" w:fill="C6F1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Преходът на правораздаването към по-малък брой съдилища е приключил и съдиите са били определени за специализация (наред с гражданското, семейното, наказателното и търговското право) в най-малко 3 съдебни програми във всеки нов </w:t>
            </w:r>
            <w:r>
              <w:rPr>
                <w:rFonts w:ascii="Times New Roman" w:hAnsi="Times New Roman"/>
                <w:noProof/>
                <w:color w:val="006100"/>
                <w:sz w:val="20"/>
                <w:szCs w:val="20"/>
              </w:rPr>
              <w:t>съдебен район (Т1/2023). Създава се и функционира новата мрежа от първоинстанционни обикновени и административни съдилища, обикновени апелативни съдилища и Върховния административен съд на Словашката република (Т1/2023).</w:t>
            </w:r>
          </w:p>
        </w:tc>
      </w:tr>
      <w:tr w:rsidR="00D4086A">
        <w:trPr>
          <w:trHeight w:val="1485"/>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3</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15 – Реформа на съдебната </w:t>
            </w:r>
            <w:r>
              <w:rPr>
                <w:rFonts w:ascii="Times New Roman" w:hAnsi="Times New Roman"/>
                <w:noProof/>
                <w:color w:val="006100"/>
                <w:sz w:val="20"/>
                <w:szCs w:val="20"/>
              </w:rPr>
              <w:t>система – инвестиции 1: реорганизация на съдилищата – реновиране на сгради</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Цел</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Реконструирана площ на съдебните сгради в m²)</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Площ (m²)</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77 500</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2024</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От общата цел за възстановяване на 86 000 квадратни метра съдебни сгради се реконструират най-малко </w:t>
            </w:r>
            <w:r>
              <w:rPr>
                <w:rFonts w:ascii="Times New Roman" w:hAnsi="Times New Roman"/>
                <w:noProof/>
                <w:color w:val="006100"/>
                <w:sz w:val="20"/>
                <w:szCs w:val="20"/>
              </w:rPr>
              <w:t>77500 квадратни метра с оглед модернизиране и увеличаване на капацитета им в резултат на увеличаването на броя на съдебните служители и съдиите в слетите съдебни райони. Проектната документация за реконструкцията се изготвя до второто тримесечие на 2022 г.</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r>
      <w:tr w:rsidR="00D4086A">
        <w:trPr>
          <w:trHeight w:val="615"/>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4</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15 – Реформа на съдебната система – Инвестиции 1: Реорганизация на съдилищата – Строителство/обществени поръчки за нови сгради</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Цел</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Площ на построените или закупените съдебни сгради (в m²)</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Площ (m²)</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80 500</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2024</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От общата цел за изграждане или </w:t>
            </w:r>
            <w:r>
              <w:rPr>
                <w:rFonts w:ascii="Times New Roman" w:hAnsi="Times New Roman"/>
                <w:noProof/>
                <w:color w:val="006100"/>
                <w:sz w:val="20"/>
                <w:szCs w:val="20"/>
              </w:rPr>
              <w:t>закупуване на 89 216 квадратни метра модерни сгради за нуждите на най-големите съдилища в съдебната система (градски съдилища, някои апелативни съдилища и административни съдилища) трябва да бъдат построени или закупени най-малко 80 500 квадратни метра. Пр</w:t>
            </w:r>
            <w:r>
              <w:rPr>
                <w:rFonts w:ascii="Times New Roman" w:hAnsi="Times New Roman"/>
                <w:noProof/>
                <w:color w:val="006100"/>
                <w:sz w:val="20"/>
                <w:szCs w:val="20"/>
              </w:rPr>
              <w:t>оектната документация за реконструкцията се изготвя до второто тримесечие на 2022 г.</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r>
      <w:tr w:rsidR="00D4086A">
        <w:trPr>
          <w:trHeight w:val="2145"/>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5</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15 – Реформа на съдебната система – реформа 2:Борба с корупцията и укрепване на почтеността и независимостта на съдебната система</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Пакет от закони за борба</w:t>
            </w:r>
            <w:r>
              <w:rPr>
                <w:rFonts w:ascii="Times New Roman" w:hAnsi="Times New Roman"/>
                <w:noProof/>
                <w:color w:val="006100"/>
                <w:sz w:val="20"/>
                <w:szCs w:val="20"/>
              </w:rPr>
              <w:t xml:space="preserve"> с корупцията и укрепване на почтеността и независимостта на съдебната система</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Закона за съдебната реформа, Конституционния закон, изменения Закон за прокуратурата, изменения наказателен кодекс и дисциплинарните правила на Върховния админ</w:t>
            </w:r>
            <w:r>
              <w:rPr>
                <w:rFonts w:ascii="Times New Roman" w:hAnsi="Times New Roman"/>
                <w:noProof/>
                <w:color w:val="006100"/>
                <w:sz w:val="20"/>
                <w:szCs w:val="20"/>
              </w:rPr>
              <w:t xml:space="preserve">истративен съд на Словашката република </w:t>
            </w: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 xml:space="preserve"> </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Т3</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2021</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Закона за управление на замразени активи, Закона за съдебната реформа, Конституционния закон, изменения закон за прокуратурата и изменения наказателен кодекс. приемането на дисциплинарни правила за върховния административен съд на Словашк</w:t>
            </w:r>
            <w:r>
              <w:rPr>
                <w:rFonts w:ascii="Times New Roman" w:hAnsi="Times New Roman"/>
                <w:noProof/>
                <w:color w:val="006100"/>
                <w:sz w:val="20"/>
                <w:szCs w:val="20"/>
              </w:rPr>
              <w:t xml:space="preserve">ата република. </w:t>
            </w:r>
          </w:p>
        </w:tc>
      </w:tr>
      <w:tr w:rsidR="00D4086A">
        <w:trPr>
          <w:trHeight w:val="1005"/>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6</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15 – Реформа на съдебната система – инвестиции 2: Инструменти за подкрепа на реформата на Съдебната карта – Търговски регистър и централизирана система за съдебно управление</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Разработване и предаване на ИТ система – Търговски </w:t>
            </w:r>
            <w:r>
              <w:rPr>
                <w:rFonts w:ascii="Times New Roman" w:hAnsi="Times New Roman"/>
                <w:noProof/>
                <w:color w:val="006100"/>
                <w:sz w:val="20"/>
                <w:szCs w:val="20"/>
              </w:rPr>
              <w:t>регистър</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Пълна електронна комуникация на Търговския регистър с фирми и съдилища </w:t>
            </w: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 xml:space="preserve"> </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Т3</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2023</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Въвеждане в експлоатация на съвременна ИТ система, която дава възможност на предприемачите и съдилищата да извършват дейностите, свързани с търговския регистър, </w:t>
            </w:r>
            <w:r>
              <w:rPr>
                <w:rFonts w:ascii="Times New Roman" w:hAnsi="Times New Roman"/>
                <w:noProof/>
                <w:color w:val="006100"/>
                <w:sz w:val="20"/>
                <w:szCs w:val="20"/>
              </w:rPr>
              <w:t>изцяло по електронен път.</w:t>
            </w:r>
          </w:p>
        </w:tc>
      </w:tr>
      <w:tr w:rsidR="00D4086A">
        <w:trPr>
          <w:trHeight w:val="2145"/>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7</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15 – Реформа на съдебната система – инвестиции 2: Инструменти за подкрепа на реформата на Съдебната карта – Търговски регистър и централизирана система за съдебно управление</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Разработване и предаване на ИС – </w:t>
            </w:r>
            <w:r>
              <w:rPr>
                <w:rFonts w:ascii="Times New Roman" w:hAnsi="Times New Roman"/>
                <w:noProof/>
                <w:color w:val="006100"/>
                <w:sz w:val="20"/>
                <w:szCs w:val="20"/>
              </w:rPr>
              <w:t>Централизирана съдебна система за управление</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Новите съдебни преписки могат да се обработват по цифров път</w:t>
            </w: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 xml:space="preserve"> </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Т1</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2025</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Въвеждане в експлоатация на модерна информационно-технологична система, позволяваща цифрово управление на съдебните преписки. </w:t>
            </w:r>
            <w:r>
              <w:rPr>
                <w:rFonts w:ascii="Times New Roman" w:hAnsi="Times New Roman"/>
                <w:noProof/>
                <w:color w:val="006100"/>
                <w:sz w:val="20"/>
                <w:szCs w:val="20"/>
              </w:rPr>
              <w:t>Стартирането на централизирана система за съдебно управление включва миграцията на всички съществуващи данни на всички съдилища от съществуващите местни бази данни, цифровизацията на всички нови съдебни дела, взаимното свързване на всички съдилища и връзки</w:t>
            </w:r>
            <w:r>
              <w:rPr>
                <w:rFonts w:ascii="Times New Roman" w:hAnsi="Times New Roman"/>
                <w:noProof/>
                <w:color w:val="006100"/>
                <w:sz w:val="20"/>
                <w:szCs w:val="20"/>
              </w:rPr>
              <w:t>те с други съответни системи на публичната администрация.</w:t>
            </w:r>
          </w:p>
        </w:tc>
      </w:tr>
      <w:tr w:rsidR="00D4086A">
        <w:trPr>
          <w:trHeight w:val="1830"/>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8</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15 – Реформа на съдебната система – инвестиции 2: </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 xml:space="preserve">целево </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Модернизиране на информационно-технологичното оборудване на съдилищата за съдебните служители </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Брой</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0</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right"/>
              <w:rPr>
                <w:rFonts w:ascii="Times New Roman" w:hAnsi="Times New Roman"/>
                <w:noProof/>
                <w:sz w:val="20"/>
                <w:szCs w:val="20"/>
              </w:rPr>
            </w:pPr>
            <w:r>
              <w:rPr>
                <w:rFonts w:ascii="Times New Roman" w:hAnsi="Times New Roman"/>
                <w:noProof/>
                <w:color w:val="006100"/>
                <w:sz w:val="20"/>
                <w:szCs w:val="20"/>
              </w:rPr>
              <w:t xml:space="preserve"> 6000</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2026</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Цифровото оборудване на съдилищата, за да се повиши ефективността на работата им и да им се предостави технология за ефективно провеждане на съдебните заседания и действия от разстояние, се закупуват и доставят. От общата цел за оборудване на 6100 съдебни </w:t>
            </w:r>
            <w:r>
              <w:rPr>
                <w:rFonts w:ascii="Times New Roman" w:hAnsi="Times New Roman"/>
                <w:noProof/>
                <w:color w:val="006100"/>
                <w:sz w:val="20"/>
                <w:szCs w:val="20"/>
              </w:rPr>
              <w:t xml:space="preserve">служители ще бъде извършена модернизация на информационно-технологичното оборудване (нови преносими компютри, док-станции, монитори, телефони) за най-малко 6000 съдебни служители, реорганизирани след реформата на съдебната карта. </w:t>
            </w:r>
          </w:p>
        </w:tc>
      </w:tr>
      <w:tr w:rsidR="00D4086A">
        <w:trPr>
          <w:trHeight w:val="1380"/>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9</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15 – Реформа на </w:t>
            </w:r>
            <w:r>
              <w:rPr>
                <w:rFonts w:ascii="Times New Roman" w:hAnsi="Times New Roman"/>
                <w:noProof/>
                <w:color w:val="006100"/>
                <w:sz w:val="20"/>
                <w:szCs w:val="20"/>
              </w:rPr>
              <w:t>съдебната система – инвестиции 2: Инструменти за подкрепа на реформите на съдебната система – платформа за аналитична подкрепа</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Създаване на аналитична платформа за подкрепа на достъпа до съдебната практика в съдилищата</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Платформата за аналитична</w:t>
            </w:r>
            <w:r>
              <w:rPr>
                <w:rFonts w:ascii="Times New Roman" w:hAnsi="Times New Roman"/>
                <w:noProof/>
                <w:color w:val="006100"/>
                <w:sz w:val="20"/>
                <w:szCs w:val="20"/>
              </w:rPr>
              <w:t xml:space="preserve"> подкрепа функционира пълноценно.</w:t>
            </w: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2026</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Платформата за аналитична подкрепа относно съдебната практика функционира и е на разположение на съдилищата, което дава възможност на съдиите да използват базата данни със съдебна практика, за да ускорят процеса</w:t>
            </w:r>
            <w:r>
              <w:rPr>
                <w:rFonts w:ascii="Times New Roman" w:hAnsi="Times New Roman"/>
                <w:noProof/>
                <w:color w:val="006100"/>
                <w:sz w:val="20"/>
                <w:szCs w:val="20"/>
              </w:rPr>
              <w:t xml:space="preserve"> на проучване на преписките.</w:t>
            </w:r>
          </w:p>
        </w:tc>
      </w:tr>
    </w:tbl>
    <w:p w:rsidR="00D4086A" w:rsidRDefault="00D4086A">
      <w:pPr>
        <w:spacing w:before="120" w:after="120" w:line="240" w:lineRule="auto"/>
        <w:jc w:val="both"/>
        <w:rPr>
          <w:rFonts w:ascii="Times New Roman" w:hAnsi="Times New Roman"/>
          <w:noProof/>
          <w:sz w:val="24"/>
          <w:szCs w:val="24"/>
        </w:rPr>
        <w:sectPr w:rsidR="00D4086A">
          <w:headerReference w:type="even" r:id="rId192"/>
          <w:headerReference w:type="default" r:id="rId193"/>
          <w:footerReference w:type="even" r:id="rId194"/>
          <w:footerReference w:type="default" r:id="rId195"/>
          <w:headerReference w:type="first" r:id="rId196"/>
          <w:footerReference w:type="first" r:id="rId197"/>
          <w:pgSz w:w="16839" w:h="11907" w:orient="landscape"/>
          <w:pgMar w:top="568" w:right="1134" w:bottom="1418" w:left="1134" w:header="709" w:footer="709" w:gutter="0"/>
          <w:cols w:space="720"/>
          <w:docGrid w:linePitch="360"/>
        </w:sectPr>
      </w:pPr>
    </w:p>
    <w:p w:rsidR="00D4086A" w:rsidRDefault="00D5307E">
      <w:pPr>
        <w:keepNext/>
        <w:tabs>
          <w:tab w:val="left" w:pos="850"/>
        </w:tabs>
        <w:spacing w:before="120" w:after="120" w:line="240" w:lineRule="auto"/>
        <w:jc w:val="both"/>
        <w:outlineLvl w:val="0"/>
        <w:rPr>
          <w:rFonts w:ascii="Times New Roman" w:hAnsi="Times New Roman"/>
          <w:b/>
          <w:smallCaps/>
          <w:noProof/>
          <w:sz w:val="24"/>
        </w:rPr>
      </w:pPr>
      <w:r>
        <w:rPr>
          <w:rFonts w:ascii="Times New Roman" w:hAnsi="Times New Roman"/>
          <w:b/>
          <w:smallCaps/>
          <w:noProof/>
          <w:sz w:val="24"/>
        </w:rPr>
        <w:t>КОМПОНЕНТ 16: Борба с корупцията и изпирането на пари, сигурност и защита на населението</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Словакия се нарежда слабо в показателите за възприятие на корупцията и доверието в полицията. Управлението е фрагментирано и има ограничен капацитет, като възпрепятства предоставянето на обществени услуги и публичните инвестиции, а борбата с финансовите пр</w:t>
      </w:r>
      <w:r>
        <w:rPr>
          <w:rFonts w:ascii="Times New Roman" w:hAnsi="Times New Roman"/>
          <w:noProof/>
          <w:sz w:val="24"/>
        </w:rPr>
        <w:t xml:space="preserve">естъпления е недостатъчна.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Основните цели на този компонент 16 от словашкия план за възстановяване и устойчивост са засилване на усилията за разкриване и наказателно преследване на корупцията, борба с престъпленията против околната среда, увеличаване на к</w:t>
      </w:r>
      <w:r>
        <w:rPr>
          <w:rFonts w:ascii="Times New Roman" w:hAnsi="Times New Roman"/>
          <w:noProof/>
          <w:sz w:val="24"/>
        </w:rPr>
        <w:t xml:space="preserve">апацитета за борба с изпирането на пари, оптимизиране на управлението на кризи и укрепване на административния капацитет на различните равнища на управление.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Очаква се, че нито една мярка в този компонент не вреди в значителна степен на екологичните цели </w:t>
      </w:r>
      <w:r>
        <w:rPr>
          <w:rFonts w:ascii="Times New Roman" w:hAnsi="Times New Roman"/>
          <w:noProof/>
          <w:sz w:val="24"/>
          <w:szCs w:val="24"/>
        </w:rPr>
        <w:t xml:space="preserve">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на DNSH (2021/C58/01).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По този</w:t>
      </w:r>
      <w:r>
        <w:rPr>
          <w:rFonts w:ascii="Times New Roman" w:hAnsi="Times New Roman"/>
          <w:noProof/>
          <w:sz w:val="24"/>
        </w:rPr>
        <w:t xml:space="preserve"> начин тя допринася за изпълнението на специфична за всяка държава препоръка 4 от 2020 г., по-специално за осигуряване на ефективен надзор и прилагане на рамката за борба с изпирането на пари и за осигуряване на благоприятна бизнес среда и качествени общес</w:t>
      </w:r>
      <w:r>
        <w:rPr>
          <w:rFonts w:ascii="Times New Roman" w:hAnsi="Times New Roman"/>
          <w:noProof/>
          <w:sz w:val="24"/>
        </w:rPr>
        <w:t>твени услуги. Разглежда се и специфична за всяка държава препоръка 4 от 2019 г., включително по отношение на увеличените усилия за разкриване и наказателно преследване на корупцията.</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Реформа 1: Повишаване на ефективността на борбата с корупцията и изпиране</w:t>
      </w:r>
      <w:r>
        <w:rPr>
          <w:rFonts w:ascii="Times New Roman" w:hAnsi="Times New Roman"/>
          <w:b/>
          <w:noProof/>
          <w:sz w:val="24"/>
        </w:rPr>
        <w:t>то на пари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Новите тенденции в международната организирана престъпност, включително злоупотребата с правни субекти за целите на изпирането на пари, оказват натиск върху Словакия да подобри рамката си за борба с изпирането на пари с цел предотвратяване и бор</w:t>
      </w:r>
      <w:r>
        <w:rPr>
          <w:rFonts w:ascii="Times New Roman" w:hAnsi="Times New Roman"/>
          <w:noProof/>
          <w:sz w:val="24"/>
        </w:rPr>
        <w:t xml:space="preserve">ба с икономическата престъпност.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Тази реформа има за цел засилване на борбата с изпирането на пари и корупцията. Той подобрява правната рамка за замразяване на активи, включително създаването на служба за управление на такива активи, както и компетентност</w:t>
      </w:r>
      <w:r>
        <w:rPr>
          <w:rFonts w:ascii="Times New Roman" w:hAnsi="Times New Roman"/>
          <w:noProof/>
          <w:sz w:val="24"/>
        </w:rPr>
        <w:t xml:space="preserve">та на полицията да проверява произхода им. Той също така въвежда централен регистър на сметките.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31 март 2022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1: Инструменти и капацитет за борба с корупцията и изпирането на пари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Борбата с корупцията и</w:t>
      </w:r>
      <w:r>
        <w:rPr>
          <w:rFonts w:ascii="Times New Roman" w:hAnsi="Times New Roman"/>
          <w:noProof/>
          <w:sz w:val="24"/>
        </w:rPr>
        <w:t xml:space="preserve"> изпирането на пари изисква подходящи инструменти, включително цифрови решения, и капацитет.</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Тези инвестиции осигуряват няколко инструмента и мерки за изграждане на капацитет в подкрепа на реформата 1. Това включва цифрови софтуерни решения за финансови ра</w:t>
      </w:r>
      <w:r>
        <w:rPr>
          <w:rFonts w:ascii="Times New Roman" w:hAnsi="Times New Roman"/>
          <w:noProof/>
          <w:sz w:val="24"/>
          <w:szCs w:val="24"/>
        </w:rPr>
        <w:t>зследвания и за централния регистър на сметките. Капацитетът за финансови разследвания в полицейските сили се укрепва чрез обучения и оборудване, както и чрез реорганизация, чрез която се създава Националният център за специални престъпления (NCODK) заедно</w:t>
      </w:r>
      <w:r>
        <w:rPr>
          <w:rFonts w:ascii="Times New Roman" w:hAnsi="Times New Roman"/>
          <w:noProof/>
          <w:sz w:val="24"/>
          <w:szCs w:val="24"/>
        </w:rPr>
        <w:t xml:space="preserve"> с регионалните офиси и аналитичните служби на Националната криминална агенция (НАКА). Освен това се предприемат стъпки, за да може службата на лицето, сигнализиращо за нередности, да функционира пълноценно, за да се подпомогне борбата с корупцията. Това в</w:t>
      </w:r>
      <w:r>
        <w:rPr>
          <w:rFonts w:ascii="Times New Roman" w:hAnsi="Times New Roman"/>
          <w:noProof/>
          <w:sz w:val="24"/>
          <w:szCs w:val="24"/>
        </w:rPr>
        <w:t>ключва предоставянето на техническо оборудване.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31 декември 2023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Реформа 2: Модернизиране и изграждане на капацитета на полицейските сили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Структурите и капацитетът на полицейските сили са остарели и лип</w:t>
      </w:r>
      <w:r>
        <w:rPr>
          <w:rFonts w:ascii="Times New Roman" w:hAnsi="Times New Roman"/>
          <w:noProof/>
          <w:sz w:val="24"/>
        </w:rPr>
        <w:t>сват специализирани служби, занимаващи се с нови форми на престъпност и криминален анализ. Реформата ще преразгледа организацията на полицейските сили, като укрепи аналитичния капацитет и технологичната служба за престъпността, както и разследванията на пр</w:t>
      </w:r>
      <w:r>
        <w:rPr>
          <w:rFonts w:ascii="Times New Roman" w:hAnsi="Times New Roman"/>
          <w:noProof/>
          <w:sz w:val="24"/>
        </w:rPr>
        <w:t xml:space="preserve">естъпления против околната среда. Тя създава инженер по престъпления, звена за анализ на престъпността и звено за борба с престъпленията против околната среда и персонал и оборудване за подходящо оборудване.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31 деке</w:t>
      </w:r>
      <w:r>
        <w:rPr>
          <w:rFonts w:ascii="Times New Roman" w:hAnsi="Times New Roman"/>
          <w:noProof/>
          <w:sz w:val="24"/>
        </w:rPr>
        <w:t>мври 2021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2: Оборудване и цифровизиране на полицейските сили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Недостатъчната цифровизация на полицейските сили води до неефективност в няколко области. Реорганизацията (на реформата 2) изисква преквалификация, реновиране и допълнително оборудв</w:t>
      </w:r>
      <w:r>
        <w:rPr>
          <w:rFonts w:ascii="Times New Roman" w:hAnsi="Times New Roman"/>
          <w:noProof/>
          <w:sz w:val="24"/>
        </w:rPr>
        <w:t>ане.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Тези инвестиции ще изградят капацитет на полицейските сили и ще цифровизират процесите, за да станат по-ефективни. Обучението и оборудването се предоставят на най-малко 310 служители в звената, създадени съгласно реформа 2 на настоящия компонент, </w:t>
      </w:r>
      <w:r>
        <w:rPr>
          <w:rFonts w:ascii="Times New Roman" w:hAnsi="Times New Roman"/>
          <w:i/>
          <w:noProof/>
          <w:sz w:val="24"/>
        </w:rPr>
        <w:t>Моде</w:t>
      </w:r>
      <w:r>
        <w:rPr>
          <w:rFonts w:ascii="Times New Roman" w:hAnsi="Times New Roman"/>
          <w:i/>
          <w:noProof/>
          <w:sz w:val="24"/>
        </w:rPr>
        <w:t>рнизация и изграждане на капацитета на полицейските сили</w:t>
      </w:r>
      <w:r>
        <w:rPr>
          <w:rFonts w:ascii="Times New Roman" w:hAnsi="Times New Roman"/>
          <w:noProof/>
          <w:sz w:val="24"/>
        </w:rPr>
        <w:t>. Сградите на полицията с разгъната застроена площ от най-малко 45 000 m2 се реновират, като се постигат средно най-малко 30 % икономии на първична енергия и най-малко 700 закупени чисти превозни сред</w:t>
      </w:r>
      <w:r>
        <w:rPr>
          <w:rFonts w:ascii="Times New Roman" w:hAnsi="Times New Roman"/>
          <w:noProof/>
          <w:sz w:val="24"/>
        </w:rPr>
        <w:t>ства. Усилията за цифровизация включват създаването на автоматизирана система за нарушения на правилата за движение по пътищата и електронна процедура за издаване на разрешения за пребиваване.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Изпълнението на инвестицията трябва да приключи до 30 юни 2026 г. </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Реформа 3: Оптимизиране на управлението на кризи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Многобройните кризи, включително пандемията, показаха слабости в механизмите за реагиране при кризи.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Тази реформа ще оптимизира управлението</w:t>
      </w:r>
      <w:r>
        <w:rPr>
          <w:rFonts w:ascii="Times New Roman" w:hAnsi="Times New Roman"/>
          <w:noProof/>
          <w:sz w:val="24"/>
        </w:rPr>
        <w:t xml:space="preserve"> на кризи и съответния капацитет, както и ефикасната координация на спасителните служби. Това включва ясно определяне на ролите и договореностите за сътрудничество на службите за спешно реагиране на интегрираната система за спасяване, установяването на общ</w:t>
      </w:r>
      <w:r>
        <w:rPr>
          <w:rFonts w:ascii="Times New Roman" w:hAnsi="Times New Roman"/>
          <w:noProof/>
          <w:sz w:val="24"/>
        </w:rPr>
        <w:t xml:space="preserve">и процедури за реагиране при кризи и съвместен координационен механизъм. Тя също така определя мрежа от интегрирани центрове за сигурност (вж. инвестиция 2 от настоящия компонент, </w:t>
      </w:r>
      <w:r>
        <w:rPr>
          <w:rFonts w:ascii="Times New Roman" w:hAnsi="Times New Roman"/>
          <w:i/>
          <w:noProof/>
          <w:sz w:val="24"/>
        </w:rPr>
        <w:t>Оборудване и цифровизиране на полицейските сили</w:t>
      </w:r>
      <w:r>
        <w:rPr>
          <w:rFonts w:ascii="Times New Roman" w:hAnsi="Times New Roman"/>
          <w:noProof/>
          <w:sz w:val="24"/>
        </w:rPr>
        <w:t>).</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Изпълнението на реформата </w:t>
      </w:r>
      <w:r>
        <w:rPr>
          <w:rFonts w:ascii="Times New Roman" w:hAnsi="Times New Roman"/>
          <w:noProof/>
          <w:sz w:val="24"/>
        </w:rPr>
        <w:t>приключва до 31 март 2023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3: Модернизиране на противопожарната и спасителната система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Интегрираното управление на кризи изисква подходяща инфраструктура за неговата координация. Остарялата и фрагментирана комуникационна и информационна </w:t>
      </w:r>
      <w:r>
        <w:rPr>
          <w:rFonts w:ascii="Times New Roman" w:hAnsi="Times New Roman"/>
          <w:noProof/>
          <w:sz w:val="24"/>
        </w:rPr>
        <w:t>инфраструктура на службите за спешно реагиране забавя реакцията при кризи. Освен това част от инфраструктурата на противопожарната служба е в незадоволително техническо състояние.</w:t>
      </w:r>
    </w:p>
    <w:p w:rsidR="00D4086A" w:rsidRDefault="00D5307E">
      <w:pPr>
        <w:spacing w:before="120" w:after="120" w:line="240" w:lineRule="auto"/>
        <w:jc w:val="both"/>
        <w:rPr>
          <w:rFonts w:ascii="Times New Roman" w:hAnsi="Times New Roman"/>
          <w:b/>
          <w:noProof/>
          <w:sz w:val="24"/>
        </w:rPr>
      </w:pPr>
      <w:r>
        <w:rPr>
          <w:rFonts w:ascii="Times New Roman" w:hAnsi="Times New Roman"/>
          <w:noProof/>
          <w:sz w:val="24"/>
        </w:rPr>
        <w:t>Целта на тази инвестиция е да се осигури необходимата физическа и цифрова ин</w:t>
      </w:r>
      <w:r>
        <w:rPr>
          <w:rFonts w:ascii="Times New Roman" w:hAnsi="Times New Roman"/>
          <w:noProof/>
          <w:sz w:val="24"/>
        </w:rPr>
        <w:t xml:space="preserve">фраструктура за пълно прилагане на реформа 3 от настоящия компонент — </w:t>
      </w:r>
      <w:r>
        <w:rPr>
          <w:rFonts w:ascii="Times New Roman" w:hAnsi="Times New Roman"/>
          <w:i/>
          <w:noProof/>
          <w:sz w:val="24"/>
        </w:rPr>
        <w:t>Оптимизиране на управлението на кризи</w:t>
      </w:r>
      <w:r>
        <w:rPr>
          <w:rFonts w:ascii="Times New Roman" w:hAnsi="Times New Roman"/>
          <w:noProof/>
          <w:sz w:val="24"/>
        </w:rPr>
        <w:t>. За тази цел тя подкрепя изграждането на два нови сгради, в които се помещават нови интегрирани центрове за обслужване, както и оперативно съвместим</w:t>
      </w:r>
      <w:r>
        <w:rPr>
          <w:rFonts w:ascii="Times New Roman" w:hAnsi="Times New Roman"/>
          <w:noProof/>
          <w:sz w:val="24"/>
        </w:rPr>
        <w:t>и информационни технологии за всички спасителни служби. Освен това се изграждат най-малко четири нови противопожарни станции и се ремонтират и модернизират най-малко 3 станции. При реновирането се постигат средно най-малко 30 % икономии на първична енергия</w:t>
      </w:r>
      <w:r>
        <w:rPr>
          <w:rFonts w:ascii="Times New Roman" w:hAnsi="Times New Roman"/>
          <w:noProof/>
          <w:sz w:val="24"/>
        </w:rPr>
        <w:t>.</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30 юни 2026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4: Рационализиране, оптимизиране и укрепване на административния капацитет на различните равнища на управление</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Публичните инвестиции са възпрепятствани от липсата на администрат</w:t>
      </w:r>
      <w:r>
        <w:rPr>
          <w:rFonts w:ascii="Times New Roman" w:hAnsi="Times New Roman"/>
          <w:noProof/>
          <w:sz w:val="24"/>
        </w:rPr>
        <w:t>ивен капацитет за изпълнение на няколко равнища. Значителните инвестиции, предвидени в плана, предполагат необходимостта от допълнително увеличаване на капацитета за управление на тези инвестиции. Освен това предоставянето на услуги е възпрепятствано от фр</w:t>
      </w:r>
      <w:r>
        <w:rPr>
          <w:rFonts w:ascii="Times New Roman" w:hAnsi="Times New Roman"/>
          <w:noProof/>
          <w:sz w:val="24"/>
        </w:rPr>
        <w:t xml:space="preserve">агментираното управление на общинско равнище.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Тази реформа ще укрепи административния капацитет както на местно, така и на национално равнище за осъществяване на реформите и инвестициите в словашкия план за възстановяване и устойчивост. За тази цел се съз</w:t>
      </w:r>
      <w:r>
        <w:rPr>
          <w:rFonts w:ascii="Times New Roman" w:hAnsi="Times New Roman"/>
          <w:noProof/>
          <w:sz w:val="24"/>
        </w:rPr>
        <w:t>дава Национален изпълнителен и координационен орган за Словашката република (NIKA). Влизането в сила на Закона за Механизма за възстановяване и устойчивост се прилага към момента на подаване на първото искане за плащане и в този момент не се отклонява съще</w:t>
      </w:r>
      <w:r>
        <w:rPr>
          <w:rFonts w:ascii="Times New Roman" w:hAnsi="Times New Roman"/>
          <w:noProof/>
          <w:sz w:val="24"/>
        </w:rPr>
        <w:t>ствено от описанието, предоставено в окончателния словашки план. Следва да бъде потвърдено, че системата от регистри за записване и съхранение на всички съответни данни, свързани с изпълнението на плана за възстановяване и устойчивост – постигането на ключ</w:t>
      </w:r>
      <w:r>
        <w:rPr>
          <w:rFonts w:ascii="Times New Roman" w:hAnsi="Times New Roman"/>
          <w:noProof/>
          <w:sz w:val="24"/>
        </w:rPr>
        <w:t>овите етапи и крайните цели, данните за крайните получатели, изпълнителите, подизпълнителите и действителните собственици – ще започне да функционира до 31 декември 2021 г. Словакия представя специален одитен доклад, потвърждаващ ефективността на функциона</w:t>
      </w:r>
      <w:r>
        <w:rPr>
          <w:rFonts w:ascii="Times New Roman" w:hAnsi="Times New Roman"/>
          <w:noProof/>
          <w:sz w:val="24"/>
        </w:rPr>
        <w:t xml:space="preserve">лните възможности на системата от регистри.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Очаква се също така да бъдат подкрепени медийни и комуникационни дейности. На местно равнище се създават най-малко 20 съвместни центъра за услуги, за да се подобри ефективността на предоставянето на обществени у</w:t>
      </w:r>
      <w:r>
        <w:rPr>
          <w:rFonts w:ascii="Times New Roman" w:hAnsi="Times New Roman"/>
          <w:noProof/>
          <w:sz w:val="24"/>
        </w:rPr>
        <w:t>слуги на местно равнище, особено в регионите в неравностойно положение. Освен това, за да се подобрят уменията на публичния персонал, се създава платформа за обучение, като както настоящият, така и прехвърленият или новоназначеният персонал преминават обуч</w:t>
      </w:r>
      <w:r>
        <w:rPr>
          <w:rFonts w:ascii="Times New Roman" w:hAnsi="Times New Roman"/>
          <w:noProof/>
          <w:sz w:val="24"/>
        </w:rPr>
        <w:t>ение.</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Законът за Механизма за възстановяване и устойчивост влиза в сила до 31 декември 2021 г. Одитният доклад, потвърждаващ функционалните възможности на системата на хранилището, трябва да бъде завършен до 31 декември 2021 г. Информационната система за N</w:t>
      </w:r>
      <w:r>
        <w:rPr>
          <w:rFonts w:ascii="Times New Roman" w:hAnsi="Times New Roman"/>
          <w:noProof/>
          <w:sz w:val="24"/>
          <w:szCs w:val="24"/>
        </w:rPr>
        <w:t>IKA ще започне да функционира до 30 септември 2022 г. До 31 декември 2024 г. се създават най-малко 20 съвместни центъра за услуги. Очаква се обучението да започне на 1 януари 2023 г. и да приключи до 30 юни 2026 г.</w:t>
      </w:r>
    </w:p>
    <w:p w:rsidR="00D4086A" w:rsidRDefault="00D4086A">
      <w:pPr>
        <w:spacing w:before="120" w:after="120" w:line="240" w:lineRule="auto"/>
        <w:ind w:left="567"/>
        <w:jc w:val="both"/>
        <w:rPr>
          <w:rFonts w:ascii="Times New Roman" w:hAnsi="Times New Roman"/>
          <w:noProof/>
          <w:sz w:val="24"/>
        </w:rPr>
      </w:pPr>
    </w:p>
    <w:p w:rsidR="00D4086A" w:rsidRDefault="00D4086A">
      <w:pPr>
        <w:spacing w:before="120" w:after="120" w:line="240" w:lineRule="auto"/>
        <w:jc w:val="both"/>
        <w:rPr>
          <w:rFonts w:ascii="Times New Roman" w:hAnsi="Times New Roman"/>
          <w:noProof/>
          <w:sz w:val="24"/>
        </w:rPr>
        <w:sectPr w:rsidR="00D4086A">
          <w:headerReference w:type="even" r:id="rId198"/>
          <w:headerReference w:type="default" r:id="rId199"/>
          <w:footerReference w:type="even" r:id="rId200"/>
          <w:footerReference w:type="default" r:id="rId201"/>
          <w:headerReference w:type="first" r:id="rId202"/>
          <w:footerReference w:type="first" r:id="rId203"/>
          <w:pgSz w:w="11907" w:h="16839"/>
          <w:pgMar w:top="1134" w:right="1418" w:bottom="1134" w:left="1418" w:header="709" w:footer="709" w:gutter="0"/>
          <w:cols w:space="720"/>
          <w:docGrid w:linePitch="360"/>
        </w:sectPr>
      </w:pPr>
    </w:p>
    <w:p w:rsidR="00D4086A" w:rsidRDefault="00D4086A">
      <w:pPr>
        <w:spacing w:before="120" w:after="120" w:line="240" w:lineRule="auto"/>
        <w:jc w:val="both"/>
        <w:rPr>
          <w:rFonts w:ascii="Times New Roman" w:hAnsi="Times New Roman"/>
          <w:noProof/>
          <w:sz w:val="24"/>
        </w:rPr>
      </w:pPr>
    </w:p>
    <w:p w:rsidR="00D4086A" w:rsidRDefault="00D5307E">
      <w:pPr>
        <w:spacing w:before="120" w:after="120" w:line="240" w:lineRule="auto"/>
        <w:ind w:left="850"/>
        <w:jc w:val="both"/>
        <w:rPr>
          <w:rFonts w:ascii="Times New Roman" w:hAnsi="Times New Roman"/>
          <w:b/>
          <w:bCs/>
          <w:noProof/>
          <w:sz w:val="24"/>
          <w:szCs w:val="24"/>
          <w:u w:val="single"/>
        </w:rPr>
      </w:pPr>
      <w:r>
        <w:rPr>
          <w:rFonts w:ascii="Times New Roman" w:hAnsi="Times New Roman"/>
          <w:b/>
          <w:bCs/>
          <w:noProof/>
          <w:sz w:val="24"/>
          <w:szCs w:val="24"/>
          <w:u w:val="single"/>
        </w:rPr>
        <w:t xml:space="preserve">A.2. </w:t>
      </w:r>
      <w:r>
        <w:rPr>
          <w:noProof/>
        </w:rPr>
        <w:tab/>
      </w:r>
      <w:r>
        <w:rPr>
          <w:rFonts w:ascii="Times New Roman" w:hAnsi="Times New Roman"/>
          <w:b/>
          <w:bCs/>
          <w:noProof/>
          <w:sz w:val="24"/>
          <w:szCs w:val="24"/>
          <w:u w:val="single"/>
        </w:rPr>
        <w:t>Ключови етапи, цели, показатели и график за мониторинг и изпълнение на безвъзмездната финансова подкрепа</w:t>
      </w:r>
    </w:p>
    <w:p w:rsidR="00D4086A" w:rsidRDefault="00D4086A">
      <w:pPr>
        <w:spacing w:before="120" w:after="120" w:line="240" w:lineRule="auto"/>
        <w:ind w:left="850"/>
        <w:jc w:val="both"/>
        <w:rPr>
          <w:rFonts w:ascii="Times New Roman" w:hAnsi="Times New Roman"/>
          <w:b/>
          <w:bCs/>
          <w:noProof/>
          <w:sz w:val="24"/>
          <w:szCs w:val="24"/>
          <w:u w:val="single"/>
        </w:rPr>
      </w:pPr>
    </w:p>
    <w:tbl>
      <w:tblPr>
        <w:tblW w:w="14560" w:type="dxa"/>
        <w:tblLayout w:type="fixed"/>
        <w:tblLook w:val="04A0" w:firstRow="1" w:lastRow="0" w:firstColumn="1" w:lastColumn="0" w:noHBand="0" w:noVBand="1"/>
      </w:tblPr>
      <w:tblGrid>
        <w:gridCol w:w="817"/>
        <w:gridCol w:w="1423"/>
        <w:gridCol w:w="1120"/>
        <w:gridCol w:w="1001"/>
        <w:gridCol w:w="1239"/>
        <w:gridCol w:w="1120"/>
        <w:gridCol w:w="1326"/>
        <w:gridCol w:w="993"/>
        <w:gridCol w:w="1275"/>
        <w:gridCol w:w="851"/>
        <w:gridCol w:w="3395"/>
      </w:tblGrid>
      <w:tr w:rsidR="00D4086A">
        <w:trPr>
          <w:trHeight w:val="900"/>
        </w:trPr>
        <w:tc>
          <w:tcPr>
            <w:tcW w:w="817"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w:t>
            </w:r>
          </w:p>
          <w:p w:rsidR="00D4086A" w:rsidRDefault="00D5307E">
            <w:pPr>
              <w:rPr>
                <w:rFonts w:ascii="Times New Roman" w:hAnsi="Times New Roman"/>
                <w:noProof/>
                <w:sz w:val="20"/>
                <w:szCs w:val="20"/>
              </w:rPr>
            </w:pPr>
            <w:r>
              <w:rPr>
                <w:rFonts w:ascii="Times New Roman" w:hAnsi="Times New Roman"/>
                <w:noProof/>
                <w:sz w:val="20"/>
                <w:szCs w:val="20"/>
              </w:rPr>
              <w:t xml:space="preserve"> </w:t>
            </w:r>
          </w:p>
        </w:tc>
        <w:tc>
          <w:tcPr>
            <w:tcW w:w="1423"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Свързана мярка (реформа или инвестиция)</w:t>
            </w:r>
          </w:p>
          <w:p w:rsidR="00D4086A" w:rsidRDefault="00D5307E">
            <w:pPr>
              <w:rPr>
                <w:rFonts w:ascii="Times New Roman" w:hAnsi="Times New Roman"/>
                <w:noProof/>
                <w:sz w:val="20"/>
                <w:szCs w:val="20"/>
              </w:rPr>
            </w:pPr>
            <w:r>
              <w:rPr>
                <w:rFonts w:ascii="Times New Roman" w:hAnsi="Times New Roman"/>
                <w:noProof/>
                <w:sz w:val="20"/>
                <w:szCs w:val="20"/>
              </w:rPr>
              <w:t xml:space="preserve"> </w:t>
            </w:r>
          </w:p>
        </w:tc>
        <w:tc>
          <w:tcPr>
            <w:tcW w:w="1120"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Ключов етап / Цел</w:t>
            </w:r>
          </w:p>
          <w:p w:rsidR="00D4086A" w:rsidRDefault="00D5307E">
            <w:pPr>
              <w:rPr>
                <w:rFonts w:ascii="Times New Roman" w:hAnsi="Times New Roman"/>
                <w:noProof/>
                <w:sz w:val="20"/>
                <w:szCs w:val="20"/>
              </w:rPr>
            </w:pPr>
            <w:r>
              <w:rPr>
                <w:rFonts w:ascii="Times New Roman" w:hAnsi="Times New Roman"/>
                <w:noProof/>
                <w:sz w:val="20"/>
                <w:szCs w:val="20"/>
              </w:rPr>
              <w:t xml:space="preserve"> </w:t>
            </w:r>
          </w:p>
        </w:tc>
        <w:tc>
          <w:tcPr>
            <w:tcW w:w="1001"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Наименование</w:t>
            </w:r>
          </w:p>
          <w:p w:rsidR="00D4086A" w:rsidRDefault="00D5307E">
            <w:pPr>
              <w:rPr>
                <w:rFonts w:ascii="Times New Roman" w:hAnsi="Times New Roman"/>
                <w:noProof/>
                <w:sz w:val="20"/>
                <w:szCs w:val="20"/>
              </w:rPr>
            </w:pPr>
            <w:r>
              <w:rPr>
                <w:rFonts w:ascii="Times New Roman" w:hAnsi="Times New Roman"/>
                <w:noProof/>
                <w:sz w:val="20"/>
                <w:szCs w:val="20"/>
              </w:rPr>
              <w:t xml:space="preserve"> </w:t>
            </w:r>
          </w:p>
        </w:tc>
        <w:tc>
          <w:tcPr>
            <w:tcW w:w="1239"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w:t>
            </w:r>
            <w:r>
              <w:rPr>
                <w:rFonts w:ascii="Times New Roman" w:hAnsi="Times New Roman"/>
                <w:noProof/>
                <w:sz w:val="20"/>
                <w:szCs w:val="20"/>
              </w:rPr>
              <w:t xml:space="preserve"> </w:t>
            </w:r>
            <w:r>
              <w:rPr>
                <w:rFonts w:ascii="Times New Roman" w:hAnsi="Times New Roman"/>
                <w:b/>
                <w:bCs/>
                <w:noProof/>
                <w:sz w:val="20"/>
                <w:szCs w:val="20"/>
              </w:rPr>
              <w:t xml:space="preserve">(за ключовите </w:t>
            </w:r>
            <w:r>
              <w:rPr>
                <w:rFonts w:ascii="Times New Roman" w:hAnsi="Times New Roman"/>
                <w:b/>
                <w:bCs/>
                <w:noProof/>
                <w:sz w:val="20"/>
                <w:szCs w:val="20"/>
              </w:rPr>
              <w:t>етапи)</w:t>
            </w:r>
          </w:p>
          <w:p w:rsidR="00D4086A" w:rsidRDefault="00D5307E">
            <w:pPr>
              <w:rPr>
                <w:rFonts w:ascii="Times New Roman" w:hAnsi="Times New Roman"/>
                <w:noProof/>
                <w:sz w:val="20"/>
                <w:szCs w:val="20"/>
              </w:rPr>
            </w:pPr>
            <w:r>
              <w:rPr>
                <w:rFonts w:ascii="Times New Roman" w:hAnsi="Times New Roman"/>
                <w:noProof/>
                <w:sz w:val="20"/>
                <w:szCs w:val="20"/>
              </w:rPr>
              <w:t xml:space="preserve"> </w:t>
            </w:r>
          </w:p>
        </w:tc>
        <w:tc>
          <w:tcPr>
            <w:tcW w:w="3439"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Качествени показатели</w:t>
            </w:r>
            <w:r>
              <w:rPr>
                <w:rFonts w:ascii="Times New Roman" w:hAnsi="Times New Roman"/>
                <w:noProof/>
                <w:sz w:val="20"/>
                <w:szCs w:val="20"/>
              </w:rPr>
              <w:t xml:space="preserve"> </w:t>
            </w:r>
            <w:r>
              <w:rPr>
                <w:rFonts w:ascii="Times New Roman" w:hAnsi="Times New Roman"/>
                <w:b/>
                <w:bCs/>
                <w:noProof/>
                <w:sz w:val="20"/>
                <w:szCs w:val="20"/>
              </w:rPr>
              <w:t>(за целите)</w:t>
            </w:r>
          </w:p>
        </w:tc>
        <w:tc>
          <w:tcPr>
            <w:tcW w:w="2126" w:type="dxa"/>
            <w:gridSpan w:val="2"/>
            <w:tcBorders>
              <w:top w:val="single" w:sz="8" w:space="0" w:color="auto"/>
              <w:left w:val="nil"/>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 xml:space="preserve">Ориентировъчен график за приключване </w:t>
            </w:r>
          </w:p>
        </w:tc>
        <w:tc>
          <w:tcPr>
            <w:tcW w:w="3395" w:type="dxa"/>
            <w:vMerge w:val="restart"/>
            <w:tcBorders>
              <w:top w:val="single" w:sz="8" w:space="0" w:color="auto"/>
              <w:left w:val="nil"/>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Описание и ясно определяне на всеки ключов етап и цел</w:t>
            </w:r>
          </w:p>
          <w:p w:rsidR="00D4086A" w:rsidRDefault="00D5307E">
            <w:pPr>
              <w:rPr>
                <w:rFonts w:ascii="Times New Roman" w:hAnsi="Times New Roman"/>
                <w:noProof/>
                <w:sz w:val="20"/>
                <w:szCs w:val="20"/>
              </w:rPr>
            </w:pPr>
            <w:r>
              <w:rPr>
                <w:rFonts w:ascii="Times New Roman" w:hAnsi="Times New Roman"/>
                <w:noProof/>
                <w:sz w:val="20"/>
                <w:szCs w:val="20"/>
              </w:rPr>
              <w:t xml:space="preserve"> </w:t>
            </w:r>
          </w:p>
        </w:tc>
      </w:tr>
      <w:tr w:rsidR="00D4086A">
        <w:trPr>
          <w:trHeight w:val="540"/>
        </w:trPr>
        <w:tc>
          <w:tcPr>
            <w:tcW w:w="817" w:type="dxa"/>
            <w:vMerge/>
            <w:tcBorders>
              <w:left w:val="single" w:sz="8" w:space="0" w:color="auto"/>
              <w:bottom w:val="single" w:sz="8" w:space="0" w:color="auto"/>
              <w:right w:val="single" w:sz="8" w:space="0" w:color="auto"/>
            </w:tcBorders>
            <w:shd w:val="clear" w:color="auto" w:fill="BDD7EE"/>
            <w:vAlign w:val="center"/>
          </w:tcPr>
          <w:p w:rsidR="00D4086A" w:rsidRDefault="00D4086A">
            <w:pPr>
              <w:rPr>
                <w:rFonts w:ascii="Times New Roman" w:hAnsi="Times New Roman"/>
                <w:noProof/>
                <w:sz w:val="20"/>
                <w:szCs w:val="20"/>
              </w:rPr>
            </w:pPr>
          </w:p>
        </w:tc>
        <w:tc>
          <w:tcPr>
            <w:tcW w:w="1423" w:type="dxa"/>
            <w:vMerge/>
            <w:tcBorders>
              <w:left w:val="single" w:sz="8" w:space="0" w:color="auto"/>
              <w:bottom w:val="single" w:sz="8" w:space="0" w:color="auto"/>
              <w:right w:val="single" w:sz="8" w:space="0" w:color="auto"/>
            </w:tcBorders>
            <w:shd w:val="clear" w:color="auto" w:fill="BDD7EE"/>
            <w:vAlign w:val="center"/>
          </w:tcPr>
          <w:p w:rsidR="00D4086A" w:rsidRDefault="00D4086A">
            <w:pPr>
              <w:rPr>
                <w:rFonts w:ascii="Times New Roman" w:hAnsi="Times New Roman"/>
                <w:noProof/>
                <w:sz w:val="20"/>
                <w:szCs w:val="20"/>
              </w:rPr>
            </w:pPr>
          </w:p>
        </w:tc>
        <w:tc>
          <w:tcPr>
            <w:tcW w:w="1120" w:type="dxa"/>
            <w:vMerge/>
            <w:tcBorders>
              <w:left w:val="single" w:sz="8" w:space="0" w:color="auto"/>
              <w:bottom w:val="single" w:sz="8" w:space="0" w:color="auto"/>
              <w:right w:val="single" w:sz="8" w:space="0" w:color="auto"/>
            </w:tcBorders>
            <w:shd w:val="clear" w:color="auto" w:fill="BDD7EE"/>
            <w:vAlign w:val="center"/>
          </w:tcPr>
          <w:p w:rsidR="00D4086A" w:rsidRDefault="00D4086A">
            <w:pPr>
              <w:rPr>
                <w:rFonts w:ascii="Times New Roman" w:hAnsi="Times New Roman"/>
                <w:noProof/>
                <w:sz w:val="20"/>
                <w:szCs w:val="20"/>
              </w:rPr>
            </w:pPr>
          </w:p>
        </w:tc>
        <w:tc>
          <w:tcPr>
            <w:tcW w:w="1001" w:type="dxa"/>
            <w:vMerge/>
            <w:tcBorders>
              <w:left w:val="single" w:sz="8" w:space="0" w:color="auto"/>
              <w:bottom w:val="single" w:sz="8" w:space="0" w:color="auto"/>
              <w:right w:val="single" w:sz="8" w:space="0" w:color="auto"/>
            </w:tcBorders>
            <w:shd w:val="clear" w:color="auto" w:fill="BDD7EE"/>
            <w:vAlign w:val="center"/>
          </w:tcPr>
          <w:p w:rsidR="00D4086A" w:rsidRDefault="00D4086A">
            <w:pPr>
              <w:rPr>
                <w:rFonts w:ascii="Times New Roman" w:hAnsi="Times New Roman"/>
                <w:noProof/>
                <w:sz w:val="20"/>
                <w:szCs w:val="20"/>
              </w:rPr>
            </w:pPr>
          </w:p>
        </w:tc>
        <w:tc>
          <w:tcPr>
            <w:tcW w:w="1239" w:type="dxa"/>
            <w:vMerge/>
            <w:tcBorders>
              <w:left w:val="single" w:sz="8" w:space="0" w:color="auto"/>
              <w:bottom w:val="single" w:sz="8" w:space="0" w:color="auto"/>
              <w:right w:val="single" w:sz="8" w:space="0" w:color="auto"/>
            </w:tcBorders>
            <w:shd w:val="clear" w:color="auto" w:fill="BDD7EE"/>
            <w:vAlign w:val="center"/>
          </w:tcPr>
          <w:p w:rsidR="00D4086A" w:rsidRDefault="00D4086A">
            <w:pPr>
              <w:rPr>
                <w:rFonts w:ascii="Times New Roman" w:hAnsi="Times New Roman"/>
                <w:noProof/>
                <w:sz w:val="20"/>
                <w:szCs w:val="20"/>
              </w:rPr>
            </w:pPr>
          </w:p>
        </w:tc>
        <w:tc>
          <w:tcPr>
            <w:tcW w:w="1120"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Мерна единица</w:t>
            </w:r>
          </w:p>
        </w:tc>
        <w:tc>
          <w:tcPr>
            <w:tcW w:w="1326" w:type="dxa"/>
            <w:tcBorders>
              <w:top w:val="nil"/>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Контекст</w:t>
            </w:r>
          </w:p>
        </w:tc>
        <w:tc>
          <w:tcPr>
            <w:tcW w:w="993" w:type="dxa"/>
            <w:tcBorders>
              <w:top w:val="nil"/>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Цел</w:t>
            </w:r>
          </w:p>
        </w:tc>
        <w:tc>
          <w:tcPr>
            <w:tcW w:w="1275"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Тримесечие</w:t>
            </w:r>
          </w:p>
        </w:tc>
        <w:tc>
          <w:tcPr>
            <w:tcW w:w="851" w:type="dxa"/>
            <w:tcBorders>
              <w:top w:val="nil"/>
              <w:left w:val="nil"/>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Година</w:t>
            </w:r>
          </w:p>
        </w:tc>
        <w:tc>
          <w:tcPr>
            <w:tcW w:w="3395" w:type="dxa"/>
            <w:vMerge/>
            <w:tcBorders>
              <w:left w:val="single" w:sz="8" w:space="0" w:color="auto"/>
              <w:bottom w:val="single" w:sz="8" w:space="0" w:color="auto"/>
              <w:right w:val="single" w:sz="8" w:space="0" w:color="auto"/>
            </w:tcBorders>
            <w:shd w:val="clear" w:color="auto" w:fill="BDD7EE"/>
            <w:vAlign w:val="center"/>
          </w:tcPr>
          <w:p w:rsidR="00D4086A" w:rsidRDefault="00D4086A">
            <w:pPr>
              <w:rPr>
                <w:rFonts w:ascii="Times New Roman" w:hAnsi="Times New Roman"/>
                <w:noProof/>
                <w:sz w:val="20"/>
                <w:szCs w:val="20"/>
              </w:rPr>
            </w:pPr>
          </w:p>
        </w:tc>
      </w:tr>
      <w:tr w:rsidR="00D4086A">
        <w:trPr>
          <w:trHeight w:val="111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16 – Борба с корупцията и изпирането на пари – реформа 1: Повишаване на ефективността на борбата с корупцията и изпирането на пари</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Реформи за рационализиране и подобряване на финансовите разследвания </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Закон 312/</w:t>
            </w:r>
            <w:r>
              <w:rPr>
                <w:rFonts w:ascii="Times New Roman" w:hAnsi="Times New Roman"/>
                <w:noProof/>
                <w:color w:val="006100"/>
                <w:sz w:val="20"/>
                <w:szCs w:val="20"/>
              </w:rPr>
              <w:t xml:space="preserve">2020 относно замразяването на активи и на акт за създаване на Централен регистър на сметките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Т1</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законодателството, което установява рамка за пускането в действие на Централния регистър на сметките. Ще бъде разширен обхватът на</w:t>
            </w:r>
            <w:r>
              <w:rPr>
                <w:rFonts w:ascii="Times New Roman" w:hAnsi="Times New Roman"/>
                <w:noProof/>
                <w:color w:val="006100"/>
                <w:sz w:val="20"/>
                <w:szCs w:val="20"/>
              </w:rPr>
              <w:t xml:space="preserve"> правомощията на полицията да проверява имуществото в случай на несъответствие между законните доходи и използваното имущество. Функционира офис за управление на иззетите активи, а възможностите за замразяване на активи се разширяват.</w:t>
            </w:r>
          </w:p>
        </w:tc>
      </w:tr>
      <w:tr w:rsidR="00D4086A">
        <w:trPr>
          <w:trHeight w:val="112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16 – Борба с </w:t>
            </w:r>
            <w:r>
              <w:rPr>
                <w:rFonts w:ascii="Times New Roman" w:hAnsi="Times New Roman"/>
                <w:noProof/>
                <w:color w:val="006100"/>
                <w:sz w:val="20"/>
                <w:szCs w:val="20"/>
              </w:rPr>
              <w:t>корупцията и изпирането на пари – инвестиции 1: Инструменти и капацитет за борба с корупцията и изпирането на пари</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Осигуряване на необходимата инфраструктура в подкрепа на борбата срещу изпирането на пари и корупцията </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Инфраструктурата, свързана с борбата с изпирането на пари и лицата, сигнализиращи за нередности, функционира пълноценно.</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2023</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Приключване на следните стъпки: </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 Закупуване на софтуерния инструмент „go AML“ до четвъртото тримесечие на 2022 г. и прила</w:t>
            </w:r>
            <w:r>
              <w:rPr>
                <w:rFonts w:ascii="Times New Roman" w:hAnsi="Times New Roman"/>
                <w:noProof/>
                <w:color w:val="006100"/>
                <w:sz w:val="20"/>
                <w:szCs w:val="20"/>
              </w:rPr>
              <w:t xml:space="preserve">гането му до третото тримесечие на 2023 г. </w:t>
            </w:r>
          </w:p>
          <w:p w:rsidR="00D4086A" w:rsidRDefault="00D5307E">
            <w:pPr>
              <w:jc w:val="both"/>
              <w:rPr>
                <w:rFonts w:ascii="Times New Roman" w:hAnsi="Times New Roman"/>
                <w:noProof/>
                <w:sz w:val="20"/>
                <w:szCs w:val="20"/>
              </w:rPr>
            </w:pPr>
            <w:r>
              <w:rPr>
                <w:rFonts w:ascii="Times New Roman" w:hAnsi="Times New Roman"/>
                <w:noProof/>
                <w:color w:val="006100"/>
                <w:sz w:val="20"/>
                <w:szCs w:val="20"/>
              </w:rPr>
              <w:t>- Пускане в действие на тестова версия на Централния регистър на партидите с всички в закона предварително определени функции с достъп до данни до второто тримесечие на 2022 г. и последващо стартиране на окончате</w:t>
            </w:r>
            <w:r>
              <w:rPr>
                <w:rFonts w:ascii="Times New Roman" w:hAnsi="Times New Roman"/>
                <w:noProof/>
                <w:color w:val="006100"/>
                <w:sz w:val="20"/>
                <w:szCs w:val="20"/>
              </w:rPr>
              <w:t xml:space="preserve">лната версия през четвъртото тримесечие на 2022 г.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Привеждане в действие и пълно техническо оборудване на службата за защита на лицата, сигнализиращи за нередности, до третото тримесечие на 2022 г.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Стартиране на LISA (Централна информационна система </w:t>
            </w:r>
            <w:r>
              <w:rPr>
                <w:rFonts w:ascii="Times New Roman" w:hAnsi="Times New Roman"/>
                <w:noProof/>
                <w:color w:val="006100"/>
                <w:sz w:val="20"/>
                <w:szCs w:val="20"/>
              </w:rPr>
              <w:t>на полицейската система за събиране на данни – единна платформа за услуги в областта на финансовите разследвания – NAKA, NCODK, FSJ) до въпрос 4—2023 г.</w:t>
            </w:r>
          </w:p>
          <w:p w:rsidR="00D4086A" w:rsidRDefault="00D5307E">
            <w:pPr>
              <w:rPr>
                <w:rFonts w:ascii="Times New Roman" w:hAnsi="Times New Roman"/>
                <w:noProof/>
                <w:sz w:val="20"/>
                <w:szCs w:val="20"/>
              </w:rPr>
            </w:pPr>
            <w:r>
              <w:rPr>
                <w:rFonts w:ascii="Times New Roman" w:hAnsi="Times New Roman"/>
                <w:noProof/>
                <w:color w:val="006100"/>
                <w:sz w:val="20"/>
                <w:szCs w:val="20"/>
              </w:rPr>
              <w:t>- Адаптиране на помещенията и ИКТ оборудването на звената NCODK и NAKA за финансово разследване и прове</w:t>
            </w:r>
            <w:r>
              <w:rPr>
                <w:rFonts w:ascii="Times New Roman" w:hAnsi="Times New Roman"/>
                <w:noProof/>
                <w:color w:val="006100"/>
                <w:sz w:val="20"/>
                <w:szCs w:val="20"/>
              </w:rPr>
              <w:t>рка на произхода на активите на регионално равнище (образец 1 + 4) до въпрос 4—2023 г.</w:t>
            </w:r>
          </w:p>
        </w:tc>
      </w:tr>
      <w:tr w:rsidR="00D4086A">
        <w:trPr>
          <w:trHeight w:val="124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3</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16 – Борба с корупцията и изпирането на пари – инвестиции 1: Инструменти и капацитет за борба с корупцията и изпирането на пари</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Цел</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Преквалификация на полицейски </w:t>
            </w:r>
            <w:r>
              <w:rPr>
                <w:rFonts w:ascii="Times New Roman" w:hAnsi="Times New Roman"/>
                <w:noProof/>
                <w:color w:val="006100"/>
                <w:sz w:val="20"/>
                <w:szCs w:val="20"/>
              </w:rPr>
              <w:t>служители в областта на финансовите разследвания и аналитичните дейности</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Брой</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240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2023</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Създаване на аналитичния център на НАКА и на регионалните аналитични и финансови служби за разследване на НАКА, както и създаване на регионални аналитични и финан</w:t>
            </w:r>
            <w:r>
              <w:rPr>
                <w:rFonts w:ascii="Times New Roman" w:hAnsi="Times New Roman"/>
                <w:noProof/>
                <w:color w:val="006100"/>
                <w:sz w:val="20"/>
                <w:szCs w:val="20"/>
              </w:rPr>
              <w:t>сови служби за разследване към Националния център за специални престъпления (NCODK) през първото тримесечие на 2022 г.</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От общата цел за обучение на 266 служители най-малко 240 полицейски служители са участвали в обучения, работни срещи и семинари с участ</w:t>
            </w:r>
            <w:r>
              <w:rPr>
                <w:rFonts w:ascii="Times New Roman" w:hAnsi="Times New Roman"/>
                <w:noProof/>
                <w:color w:val="006100"/>
                <w:sz w:val="20"/>
                <w:szCs w:val="20"/>
              </w:rPr>
              <w:t>ието на чуждестранни и национални преподаватели, сътрудничество в обучението със CEPOL и Европол.</w:t>
            </w:r>
          </w:p>
        </w:tc>
      </w:tr>
      <w:tr w:rsidR="00D4086A">
        <w:trPr>
          <w:trHeight w:val="73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4</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16 – Борба с корупцията и изпирането на пари – реформа 2: Модернизиране и изграждане на капацитет на полицейските сили</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Въвеждане на </w:t>
            </w:r>
            <w:r>
              <w:rPr>
                <w:rFonts w:ascii="Times New Roman" w:hAnsi="Times New Roman"/>
                <w:noProof/>
                <w:color w:val="006100"/>
                <w:sz w:val="20"/>
                <w:szCs w:val="20"/>
              </w:rPr>
              <w:t>организационни промени в полицията с цел повишаване на ефективността на разкриването, разследването и разкриването на престъпления</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Организационната промяна на полицейските сили е ефективна.</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2021</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Организационни промени, насочени към създаване на звено за разкриване и разследване на престъпления против околната среда (център и региони), разширяване на аналитичния капацитет на полицейските сили на регионално равнище, създаване на ново звено за услуги</w:t>
            </w:r>
            <w:r>
              <w:rPr>
                <w:rFonts w:ascii="Times New Roman" w:hAnsi="Times New Roman"/>
                <w:noProof/>
                <w:color w:val="006100"/>
                <w:sz w:val="20"/>
                <w:szCs w:val="20"/>
              </w:rPr>
              <w:t xml:space="preserve"> в областта на технологиите за престъпността (център и региони). </w:t>
            </w:r>
          </w:p>
        </w:tc>
      </w:tr>
      <w:tr w:rsidR="00D4086A">
        <w:trPr>
          <w:trHeight w:val="10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5</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16 – Борба с корупцията и изпирането на пари – инвестиции 2: Оборудване и цифровизиране на полицейските сили – обучение и оборудване</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Цел</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Въведени са обучение и оборудване, свързани с </w:t>
            </w:r>
            <w:r>
              <w:rPr>
                <w:rFonts w:ascii="Times New Roman" w:hAnsi="Times New Roman"/>
                <w:noProof/>
                <w:color w:val="006100"/>
                <w:sz w:val="20"/>
                <w:szCs w:val="20"/>
              </w:rPr>
              <w:t>реформата на полицията</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Брой обучени служители</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310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2024</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Обучение на най-малко 310 полицейски служители (екологични престъпления 200, криминални анализи 60, услуги в областта на криминалната технология 50) през четвъртото тримесечие на 2022 г. Да се о</w:t>
            </w:r>
            <w:r>
              <w:rPr>
                <w:rFonts w:ascii="Times New Roman" w:hAnsi="Times New Roman"/>
                <w:noProof/>
                <w:color w:val="006100"/>
                <w:sz w:val="20"/>
                <w:szCs w:val="20"/>
              </w:rPr>
              <w:t>сигури обучение за най-малко 300 полицейски служители за подобряване на качеството на комуникацията с жертвите на престъпления за полицейските служители през четвъртото тримесечие на 2022 г.</w:t>
            </w:r>
          </w:p>
        </w:tc>
      </w:tr>
      <w:tr w:rsidR="00D4086A">
        <w:trPr>
          <w:trHeight w:val="10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6</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16 – Борба с корупцията и изпирането на пари – инвестиции </w:t>
            </w:r>
            <w:r>
              <w:rPr>
                <w:rFonts w:ascii="Times New Roman" w:hAnsi="Times New Roman"/>
                <w:noProof/>
                <w:color w:val="006100"/>
                <w:sz w:val="20"/>
                <w:szCs w:val="20"/>
              </w:rPr>
              <w:t>2:Изграждане и цифровизиране на полицейските сили – обновяване на автомобилния парк</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Цел</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Закупуване на нови превозни средства (10 % от автомобилния парк) на електрически и хибридни превозни средства</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Брой</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both"/>
              <w:rPr>
                <w:rFonts w:ascii="Times New Roman" w:hAnsi="Times New Roman"/>
                <w:noProof/>
                <w:sz w:val="20"/>
                <w:szCs w:val="20"/>
              </w:rPr>
            </w:pPr>
            <w:r>
              <w:rPr>
                <w:rFonts w:ascii="Times New Roman" w:hAnsi="Times New Roman"/>
                <w:noProof/>
                <w:color w:val="006100"/>
                <w:sz w:val="20"/>
                <w:szCs w:val="20"/>
              </w:rPr>
              <w:t>700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2022</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От общата цел за подновяване на 705 п</w:t>
            </w:r>
            <w:r>
              <w:rPr>
                <w:rFonts w:ascii="Times New Roman" w:hAnsi="Times New Roman"/>
                <w:noProof/>
                <w:color w:val="006100"/>
                <w:sz w:val="20"/>
                <w:szCs w:val="20"/>
              </w:rPr>
              <w:t>ревозни средства от полицейския парк с електрически и хибридни превозни средства (326 превозни средства до второто тримесечие на 2022 г. и 379 превозни средства до четвъртото тримесечие на 2022 г.), най-малко 700 полицейски превозни средства се заменят.</w:t>
            </w:r>
          </w:p>
        </w:tc>
      </w:tr>
      <w:tr w:rsidR="00D4086A">
        <w:trPr>
          <w:trHeight w:val="105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7</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16 – Борба с корупцията и изпирането на пари – инвестиции 2: Оборудване и цифровизиране на полицейските сили – Реконструкция на сгради</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Ключов етап</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Размер на реновираната разгъната застроена площ на полицейските сгради с цел намаляване на енергийната интензивност на сградите </w:t>
            </w:r>
          </w:p>
          <w:p w:rsidR="00D4086A" w:rsidRDefault="00D5307E">
            <w:pPr>
              <w:rPr>
                <w:rFonts w:ascii="Times New Roman" w:hAnsi="Times New Roman"/>
                <w:noProof/>
                <w:sz w:val="20"/>
                <w:szCs w:val="20"/>
              </w:rPr>
            </w:pPr>
            <w:r>
              <w:rPr>
                <w:rFonts w:ascii="Times New Roman" w:hAnsi="Times New Roman"/>
                <w:noProof/>
                <w:color w:val="006100"/>
                <w:sz w:val="20"/>
                <w:szCs w:val="20"/>
              </w:rPr>
              <w:t>(в m²)</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Брой</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45,000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2024</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От общата цел за реновиране на 49 965 кв. м. разгъната застроена площ, най-малко 45 000 кв. м. в</w:t>
            </w:r>
            <w:r>
              <w:rPr>
                <w:rFonts w:ascii="Times New Roman" w:hAnsi="Times New Roman"/>
                <w:noProof/>
                <w:color w:val="006100"/>
                <w:sz w:val="20"/>
                <w:szCs w:val="20"/>
              </w:rPr>
              <w:t xml:space="preserve"> сградите на полицията се реновират, за да се намали тяхната енергийна интензивност. Най-малко 5 сгради ще бъдат реновирани до четвъртото тримесечие на 2023 г. Техническо, материално и пространствено осигуряване на звена за анализ на престъпността, услуги </w:t>
            </w:r>
            <w:r>
              <w:rPr>
                <w:rFonts w:ascii="Times New Roman" w:hAnsi="Times New Roman"/>
                <w:noProof/>
                <w:color w:val="006100"/>
                <w:sz w:val="20"/>
                <w:szCs w:val="20"/>
              </w:rPr>
              <w:t>в областта на криминалните технологии и звена за престъпления против околната среда съгласно материалния опис от четвъртото тримесечие на 2024 г.</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r>
      <w:tr w:rsidR="00D4086A">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8</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16 – Борба с корупцията и изпирането на пари – инвестиции 2: Оборудване и цифровизиране на полицейските </w:t>
            </w:r>
            <w:r>
              <w:rPr>
                <w:rFonts w:ascii="Times New Roman" w:hAnsi="Times New Roman"/>
                <w:noProof/>
                <w:color w:val="006100"/>
                <w:sz w:val="20"/>
                <w:szCs w:val="20"/>
              </w:rPr>
              <w:t>сили – нова информационна система за регистрация на чуждестранни жители (IS ECU)</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„Електронизиране на процедурите за издаване на разрешения за пребиваване с цел опростяване на процедурите за обществеността“</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Пускане в действие на новата система</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2024</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Въвеждане в експлоатация на новата информационна система за чуждестранни лица със следните ключови функции: подаване на заявление за пребиваване и подновяване, регистрация на пребиваването, компютризиране на заявлението за документ, модули за </w:t>
            </w:r>
            <w:r>
              <w:rPr>
                <w:rFonts w:ascii="Times New Roman" w:hAnsi="Times New Roman"/>
                <w:noProof/>
                <w:color w:val="006100"/>
                <w:sz w:val="20"/>
                <w:szCs w:val="20"/>
              </w:rPr>
              <w:t>уведомяване и компютризиране на комуникацията в хода на процедурата.</w:t>
            </w:r>
          </w:p>
        </w:tc>
      </w:tr>
      <w:tr w:rsidR="00D4086A">
        <w:trPr>
          <w:trHeight w:val="61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9</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16 – Борба с корупцията и изпирането на пари – инвестиции 2: Оборудване и цифровизиране на полицейските сили – автоматизирана система за разкриване на пътнотранспортни нарушения</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w:t>
            </w:r>
            <w:r>
              <w:rPr>
                <w:rFonts w:ascii="Times New Roman" w:hAnsi="Times New Roman"/>
                <w:noProof/>
                <w:color w:val="006100"/>
                <w:sz w:val="20"/>
                <w:szCs w:val="20"/>
              </w:rPr>
              <w:t xml:space="preserve"> етап</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Автоматизиране на системата за установяване на нарушения на правилата за движение по пътищата в пълна експлоатация</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Внедряване на пълна експлоатация на 3 модула</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2026</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Автоматизиране на регистрирането на нарушенията на правилата за движение по </w:t>
            </w:r>
            <w:r>
              <w:rPr>
                <w:rFonts w:ascii="Times New Roman" w:hAnsi="Times New Roman"/>
                <w:noProof/>
                <w:color w:val="006100"/>
                <w:sz w:val="20"/>
                <w:szCs w:val="20"/>
              </w:rPr>
              <w:t>пътищата. Пълна експлоатация на системата с модули: 1) регистриране и идентифициране на пътнотранспортни нарушения, 2) промени в съществуващата система за автоматично вземане на решения и 3) статистика, докладване и анализ.</w:t>
            </w:r>
          </w:p>
        </w:tc>
      </w:tr>
      <w:tr w:rsidR="00D4086A">
        <w:trPr>
          <w:trHeight w:val="54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10</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16 – Борба с корупцията и </w:t>
            </w:r>
            <w:r>
              <w:rPr>
                <w:rFonts w:ascii="Times New Roman" w:hAnsi="Times New Roman"/>
                <w:noProof/>
                <w:color w:val="006100"/>
                <w:sz w:val="20"/>
                <w:szCs w:val="20"/>
              </w:rPr>
              <w:t>изпирането на пари – реформа 3: Оптимизиране на управлението на кризи</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Ключов етап</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оптимизираното управление на кризи</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Влизане в сила на изменения Закон 129/2002 относно интегрираната система за спешна помощ</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Т1</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2023</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Концепцията за опт</w:t>
            </w:r>
            <w:r>
              <w:rPr>
                <w:rFonts w:ascii="Times New Roman" w:hAnsi="Times New Roman"/>
                <w:noProof/>
                <w:color w:val="006100"/>
                <w:sz w:val="20"/>
                <w:szCs w:val="20"/>
              </w:rPr>
              <w:t>имизиране на управлението на кризи ясно определя отношенията между службите за спешно реагиране на интегрираната система за спасяване, установява общи процедури за справяне с кризисни ситуации, предвижда съвместна координация между компонентите, като взема</w:t>
            </w:r>
            <w:r>
              <w:rPr>
                <w:rFonts w:ascii="Times New Roman" w:hAnsi="Times New Roman"/>
                <w:noProof/>
                <w:color w:val="006100"/>
                <w:sz w:val="20"/>
                <w:szCs w:val="20"/>
              </w:rPr>
              <w:t xml:space="preserve"> предвид както стратегическото, така и оперативното равнище на управление на кризи, и предлага мрежа от интегрирани центрове за сигурност. Законодателството влиза в сила до първото тримесечие на 2023 г.</w:t>
            </w:r>
          </w:p>
        </w:tc>
      </w:tr>
      <w:tr w:rsidR="00D4086A">
        <w:trPr>
          <w:trHeight w:val="75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11</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16 – Борба с корупцията и изпирането на пари – </w:t>
            </w:r>
            <w:r>
              <w:rPr>
                <w:rFonts w:ascii="Times New Roman" w:hAnsi="Times New Roman"/>
                <w:noProof/>
                <w:color w:val="006100"/>
                <w:sz w:val="20"/>
                <w:szCs w:val="20"/>
              </w:rPr>
              <w:t>инвестиции 3: Модернизиране на противопожарната и спасителната система – изграждане на мрежа от интегрирани центрове за сигурност</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Изграждане и привеждане в действие на интегрирани центрове за сигурност</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Брой</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2026</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Най-малко 2 интегрирани центъра </w:t>
            </w:r>
            <w:r>
              <w:rPr>
                <w:rFonts w:ascii="Times New Roman" w:hAnsi="Times New Roman"/>
                <w:noProof/>
                <w:color w:val="006100"/>
                <w:sz w:val="20"/>
                <w:szCs w:val="20"/>
              </w:rPr>
              <w:t>за сигурност ще бъдат изградени и приведени в действие, като се подобри оперативното управление на спасителните служби на интегрираната спасителна система, включително информационна подкрепа чрез създаването на интегрирани центрове за сигурност.</w:t>
            </w:r>
          </w:p>
        </w:tc>
      </w:tr>
      <w:tr w:rsidR="00D4086A">
        <w:trPr>
          <w:trHeight w:val="141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12</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16 – </w:t>
            </w:r>
            <w:r>
              <w:rPr>
                <w:rFonts w:ascii="Times New Roman" w:hAnsi="Times New Roman"/>
                <w:noProof/>
                <w:color w:val="006100"/>
                <w:sz w:val="20"/>
                <w:szCs w:val="20"/>
              </w:rPr>
              <w:t>Борба с корупцията и изпирането на пари – инвестиции 3: Модернизиране на противопожарната и спасителната система – обновяване на сградите на противопожарната служба</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Цел</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Модернизиране на противопожарните станции</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sz w:val="20"/>
                <w:szCs w:val="20"/>
              </w:rPr>
            </w:pP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Б</w:t>
            </w:r>
            <w:r>
              <w:rPr>
                <w:rFonts w:ascii="Times New Roman" w:hAnsi="Times New Roman"/>
                <w:noProof/>
                <w:color w:val="006100"/>
                <w:sz w:val="20"/>
                <w:szCs w:val="20"/>
              </w:rPr>
              <w:t>рой</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7</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2026</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Завършване на строителните </w:t>
            </w:r>
            <w:r>
              <w:rPr>
                <w:rFonts w:ascii="Times New Roman" w:hAnsi="Times New Roman"/>
                <w:noProof/>
                <w:color w:val="006100"/>
                <w:sz w:val="20"/>
                <w:szCs w:val="20"/>
              </w:rPr>
              <w:t xml:space="preserve">работи за най-малко 4 нови противопожарни станции и реконструкция на най-малко 3 съществуващи противопожарни станции.  </w:t>
            </w:r>
          </w:p>
        </w:tc>
      </w:tr>
      <w:tr w:rsidR="00D4086A">
        <w:trPr>
          <w:trHeight w:val="109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13</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16 – Борба с корупцията и изпирането на пари – инвестиции 4: Укрепване на административния капацитет на различните равнища на </w:t>
            </w:r>
            <w:r>
              <w:rPr>
                <w:rFonts w:ascii="Times New Roman" w:hAnsi="Times New Roman"/>
                <w:noProof/>
                <w:color w:val="006100"/>
                <w:sz w:val="20"/>
                <w:szCs w:val="20"/>
              </w:rPr>
              <w:t>управление – създаване на национален орган за изпълнение и координация</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0000"/>
                <w:sz w:val="20"/>
                <w:szCs w:val="20"/>
              </w:rPr>
            </w:pPr>
            <w:r>
              <w:rPr>
                <w:rFonts w:ascii="Times New Roman" w:hAnsi="Times New Roman"/>
                <w:noProof/>
                <w:color w:val="006100"/>
                <w:sz w:val="20"/>
                <w:szCs w:val="20"/>
              </w:rPr>
              <w:t>Ключов етап</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Свеждане до минимум на риска при изпълнението чрез създаване на координационен, финансов и изпълнителен орган (NIKA) за Механизма за възстановяване и устойчивост</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Създаване</w:t>
            </w:r>
            <w:r>
              <w:rPr>
                <w:rFonts w:ascii="Times New Roman" w:hAnsi="Times New Roman"/>
                <w:noProof/>
                <w:color w:val="006100"/>
                <w:sz w:val="20"/>
                <w:szCs w:val="20"/>
              </w:rPr>
              <w:t xml:space="preserve"> и изграждане на капацитет за органа на RRP</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0000"/>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Т3</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2022</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NIKA ще бъде създадена до третото тримесечие на 2021 г. Той ще бъде координиращият, финансов и изпълнителен орган за Механизма за възстановяване и устойчивост. Следващите стъпки включват: Укрепване </w:t>
            </w:r>
            <w:r>
              <w:rPr>
                <w:rFonts w:ascii="Times New Roman" w:hAnsi="Times New Roman"/>
                <w:noProof/>
                <w:color w:val="006100"/>
                <w:sz w:val="20"/>
                <w:szCs w:val="20"/>
              </w:rPr>
              <w:t>на капацитета на NIKA и на държавния одит до четвъртото тримесечие на 2021 г. До третото тримесечие на 2022 г. е въведена нова информационна система за целите на NIKA.</w:t>
            </w:r>
          </w:p>
          <w:p w:rsidR="00D4086A" w:rsidRDefault="00D4086A">
            <w:pPr>
              <w:rPr>
                <w:rFonts w:ascii="Times New Roman" w:hAnsi="Times New Roman"/>
                <w:noProof/>
                <w:color w:val="006100"/>
                <w:sz w:val="20"/>
                <w:szCs w:val="20"/>
              </w:rPr>
            </w:pPr>
          </w:p>
        </w:tc>
      </w:tr>
      <w:tr w:rsidR="00D4086A">
        <w:trPr>
          <w:trHeight w:val="109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14</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16 – Борба с корупцията и изпирането на пари – инвестиции 4: Укрепване на </w:t>
            </w:r>
            <w:r>
              <w:rPr>
                <w:rFonts w:ascii="Times New Roman" w:hAnsi="Times New Roman"/>
                <w:noProof/>
                <w:color w:val="006100"/>
                <w:sz w:val="20"/>
                <w:szCs w:val="20"/>
              </w:rPr>
              <w:t>административния капацитет на различните равнища на управление – създаване на национален орган за изпълнение и координация</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0000"/>
                <w:sz w:val="20"/>
                <w:szCs w:val="20"/>
              </w:rPr>
            </w:pPr>
            <w:r>
              <w:rPr>
                <w:rFonts w:ascii="Times New Roman" w:hAnsi="Times New Roman"/>
                <w:noProof/>
                <w:color w:val="006100"/>
                <w:sz w:val="20"/>
                <w:szCs w:val="20"/>
              </w:rPr>
              <w:t>Ключов етап</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Одит и контрол: правно основание</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Влизане в сила на </w:t>
            </w:r>
            <w:r>
              <w:rPr>
                <w:rFonts w:ascii="Times New Roman" w:hAnsi="Times New Roman"/>
                <w:i/>
                <w:iCs/>
                <w:noProof/>
                <w:color w:val="006100"/>
                <w:sz w:val="20"/>
                <w:szCs w:val="20"/>
              </w:rPr>
              <w:t>Закона за Механизма за възстановяване и устойчивост</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0000"/>
                <w:sz w:val="20"/>
                <w:szCs w:val="20"/>
              </w:rPr>
            </w:pPr>
            <w:r>
              <w:rPr>
                <w:rFonts w:ascii="Times New Roman" w:hAnsi="Times New Roman"/>
                <w:noProof/>
                <w:color w:val="0061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jc w:val="center"/>
              <w:rPr>
                <w:rFonts w:ascii="Times New Roman" w:hAnsi="Times New Roman"/>
                <w:noProof/>
                <w:color w:val="006100"/>
                <w:sz w:val="20"/>
                <w:szCs w:val="20"/>
              </w:rPr>
            </w:pP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Т4</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2021</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Парла</w:t>
            </w:r>
            <w:r>
              <w:rPr>
                <w:rFonts w:ascii="Times New Roman" w:hAnsi="Times New Roman"/>
                <w:noProof/>
                <w:color w:val="006100"/>
                <w:sz w:val="20"/>
                <w:szCs w:val="20"/>
              </w:rPr>
              <w:t xml:space="preserve">ментарното одобрение и правното влизане в сила на </w:t>
            </w:r>
            <w:r>
              <w:rPr>
                <w:rFonts w:ascii="Times New Roman" w:hAnsi="Times New Roman"/>
                <w:i/>
                <w:iCs/>
                <w:noProof/>
                <w:color w:val="006100"/>
                <w:sz w:val="20"/>
                <w:szCs w:val="20"/>
              </w:rPr>
              <w:t>Закона за Механизма за възстановяване и устойчивост</w:t>
            </w:r>
            <w:r>
              <w:rPr>
                <w:rFonts w:ascii="Times New Roman" w:hAnsi="Times New Roman"/>
                <w:noProof/>
                <w:color w:val="006100"/>
                <w:sz w:val="20"/>
                <w:szCs w:val="20"/>
              </w:rPr>
              <w:t xml:space="preserve"> трябва да бъдат завършени преди първото искане за плащане</w:t>
            </w:r>
            <w:r>
              <w:rPr>
                <w:rFonts w:ascii="Times New Roman" w:hAnsi="Times New Roman"/>
                <w:i/>
                <w:iCs/>
                <w:noProof/>
                <w:color w:val="006100"/>
                <w:sz w:val="20"/>
                <w:szCs w:val="20"/>
              </w:rPr>
              <w:t xml:space="preserve"> </w:t>
            </w:r>
          </w:p>
        </w:tc>
      </w:tr>
      <w:tr w:rsidR="00D4086A">
        <w:trPr>
          <w:trHeight w:val="4833"/>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15</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16 – Борба с корупцията и изпирането на пари – инвестиции 4: Укрепване на административния </w:t>
            </w:r>
            <w:r>
              <w:rPr>
                <w:rFonts w:ascii="Times New Roman" w:hAnsi="Times New Roman"/>
                <w:noProof/>
                <w:color w:val="006100"/>
                <w:sz w:val="20"/>
                <w:szCs w:val="20"/>
              </w:rPr>
              <w:t>капацитет на различните равнища на управление – създаване на национален орган за изпълнение и координация</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0000"/>
                <w:sz w:val="20"/>
                <w:szCs w:val="20"/>
              </w:rPr>
            </w:pPr>
            <w:r>
              <w:rPr>
                <w:rFonts w:ascii="Times New Roman" w:hAnsi="Times New Roman"/>
                <w:noProof/>
                <w:color w:val="006100"/>
                <w:sz w:val="20"/>
                <w:szCs w:val="20"/>
              </w:rPr>
              <w:t>Ключов етап</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Система RRP Repository: информация за мониторинг на изпълнението на ПРП</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4086A">
            <w:pPr>
              <w:rPr>
                <w:rFonts w:ascii="Times New Roman" w:hAnsi="Times New Roman"/>
                <w:noProof/>
                <w:color w:val="006100"/>
                <w:sz w:val="20"/>
                <w:szCs w:val="20"/>
              </w:rPr>
            </w:pPr>
          </w:p>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Одитен доклад, потвърждаващ функционалните възможности на система</w:t>
            </w:r>
            <w:r>
              <w:rPr>
                <w:rFonts w:ascii="Times New Roman" w:hAnsi="Times New Roman"/>
                <w:noProof/>
                <w:color w:val="006100"/>
                <w:sz w:val="20"/>
                <w:szCs w:val="20"/>
              </w:rPr>
              <w:t xml:space="preserve">та на хранилището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color w:val="000000"/>
                <w:sz w:val="20"/>
                <w:szCs w:val="20"/>
              </w:rPr>
            </w:pPr>
            <w:r>
              <w:rPr>
                <w:rFonts w:ascii="Times New Roman" w:hAnsi="Times New Roman"/>
                <w:noProof/>
                <w:color w:val="0061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Т4</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2021</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 xml:space="preserve">Създава се и функционира система от регистри, която може да бъде под формата на таблица във формат Excel, за мониторинг на изпълнението на Механизма за възстановяване и устойчивост. </w:t>
            </w:r>
          </w:p>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Системата включва най-малко следните фу</w:t>
            </w:r>
            <w:r>
              <w:rPr>
                <w:rFonts w:ascii="Times New Roman" w:hAnsi="Times New Roman"/>
                <w:noProof/>
                <w:color w:val="006100"/>
                <w:sz w:val="20"/>
                <w:szCs w:val="20"/>
              </w:rPr>
              <w:t>нкционални възможности:</w:t>
            </w:r>
          </w:p>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а) събиране на данни и мониторинг на постигането на етапните цели и целевите стойности;</w:t>
            </w:r>
          </w:p>
          <w:p w:rsidR="00D4086A" w:rsidRDefault="00D5307E">
            <w:pPr>
              <w:jc w:val="center"/>
              <w:rPr>
                <w:rFonts w:ascii="Times New Roman" w:hAnsi="Times New Roman"/>
                <w:noProof/>
                <w:color w:val="006100"/>
                <w:sz w:val="20"/>
                <w:szCs w:val="20"/>
              </w:rPr>
            </w:pPr>
            <w:r>
              <w:rPr>
                <w:rFonts w:ascii="Times New Roman" w:hAnsi="Times New Roman"/>
                <w:noProof/>
                <w:color w:val="006100"/>
                <w:sz w:val="20"/>
                <w:szCs w:val="20"/>
              </w:rPr>
              <w:t>б) събира, съхранява и осигурява достъп до данните, изисквани съгласно член 22, параграф 2, буква г), подточки i)—iii) от Регламента за Механизм</w:t>
            </w:r>
            <w:r>
              <w:rPr>
                <w:rFonts w:ascii="Times New Roman" w:hAnsi="Times New Roman"/>
                <w:noProof/>
                <w:color w:val="006100"/>
                <w:sz w:val="20"/>
                <w:szCs w:val="20"/>
              </w:rPr>
              <w:t>а за възстановяване и устойчивост.</w:t>
            </w:r>
          </w:p>
          <w:p w:rsidR="00D4086A" w:rsidRDefault="00D4086A">
            <w:pPr>
              <w:jc w:val="center"/>
              <w:rPr>
                <w:rFonts w:ascii="Times New Roman" w:hAnsi="Times New Roman"/>
                <w:noProof/>
                <w:color w:val="006100"/>
                <w:sz w:val="20"/>
                <w:szCs w:val="20"/>
              </w:rPr>
            </w:pPr>
          </w:p>
          <w:p w:rsidR="00D4086A" w:rsidRDefault="00D5307E">
            <w:pPr>
              <w:rPr>
                <w:rFonts w:ascii="Times New Roman" w:hAnsi="Times New Roman"/>
                <w:noProof/>
                <w:color w:val="006100"/>
                <w:sz w:val="20"/>
                <w:szCs w:val="20"/>
              </w:rPr>
            </w:pPr>
            <w:r>
              <w:rPr>
                <w:rFonts w:ascii="Times New Roman" w:hAnsi="Times New Roman"/>
                <w:noProof/>
                <w:color w:val="006100"/>
                <w:sz w:val="20"/>
                <w:szCs w:val="20"/>
              </w:rPr>
              <w:t xml:space="preserve"> </w:t>
            </w:r>
          </w:p>
        </w:tc>
      </w:tr>
      <w:tr w:rsidR="00D4086A">
        <w:trPr>
          <w:trHeight w:val="109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16</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16 – Борба с корупцията и изпирането на пари – инвестиции 4: Укрепване на административния капацитет на различните равнища на управление – създаване на съвместни центрове за услуги</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 xml:space="preserve">целево </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Създаване на общи </w:t>
            </w:r>
            <w:r>
              <w:rPr>
                <w:rFonts w:ascii="Times New Roman" w:hAnsi="Times New Roman"/>
                <w:noProof/>
                <w:color w:val="006100"/>
                <w:sz w:val="20"/>
                <w:szCs w:val="20"/>
              </w:rPr>
              <w:t>центрове за услуги.</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Т4</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2024</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От общата цел за създаване на 22 съвместни центъра за услуги в най-изоставащите региони до четвъртото тримесечие на 2024 г. се създават най-малко 20 съвместни центъра за услуги. Тези общи центрове за услуги спомагат за </w:t>
            </w:r>
            <w:r>
              <w:rPr>
                <w:rFonts w:ascii="Times New Roman" w:hAnsi="Times New Roman"/>
                <w:noProof/>
                <w:color w:val="006100"/>
                <w:sz w:val="20"/>
                <w:szCs w:val="20"/>
              </w:rPr>
              <w:t>обединяването на капацитета на местно равнище за предоставяне на основни обществени (социални) услуги.</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r>
      <w:tr w:rsidR="00D4086A">
        <w:trPr>
          <w:trHeight w:val="142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17</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16 – Борба с корупцията и изпирането на пари – инвестиции 4: Укрепване на административния капацитет на различните равнища на управление – </w:t>
            </w:r>
            <w:r>
              <w:rPr>
                <w:rFonts w:ascii="Times New Roman" w:hAnsi="Times New Roman"/>
                <w:noProof/>
                <w:color w:val="006100"/>
                <w:sz w:val="20"/>
                <w:szCs w:val="20"/>
              </w:rPr>
              <w:t>изграждане на платформа за специализирано обучение</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Цел</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Автоматично обучение за специализация за всички новоназначени служители за първи контакт</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100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Т2</w:t>
            </w:r>
          </w:p>
        </w:tc>
        <w:tc>
          <w:tcPr>
            <w:tcW w:w="851" w:type="dxa"/>
            <w:tcBorders>
              <w:top w:val="single" w:sz="8" w:space="0" w:color="auto"/>
              <w:left w:val="nil"/>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color w:val="006100"/>
                <w:sz w:val="20"/>
                <w:szCs w:val="20"/>
              </w:rPr>
              <w:t>2026</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color w:val="006100"/>
                <w:sz w:val="20"/>
                <w:szCs w:val="20"/>
              </w:rPr>
              <w:t>Всички новоназначени и прехвърлени служители за първи контакт ще преминат обучение с цел подо</w:t>
            </w:r>
            <w:r>
              <w:rPr>
                <w:rFonts w:ascii="Times New Roman" w:hAnsi="Times New Roman"/>
                <w:noProof/>
                <w:color w:val="006100"/>
                <w:sz w:val="20"/>
                <w:szCs w:val="20"/>
              </w:rPr>
              <w:t>бряване на предоставянето на обществени услуги. Това включва няколко стъпки: Изграждане на платформа за обучение и съдържание до второто тримесечие на 2022 г. Начало на пилотското обучение до четвъртото тримесечие на 2022 г. Всички служители на първите зве</w:t>
            </w:r>
            <w:r>
              <w:rPr>
                <w:rFonts w:ascii="Times New Roman" w:hAnsi="Times New Roman"/>
                <w:noProof/>
                <w:color w:val="006100"/>
                <w:sz w:val="20"/>
                <w:szCs w:val="20"/>
              </w:rPr>
              <w:t>на за контакт преминават съответното обучение през второто тримесечие на 2026 г.</w:t>
            </w:r>
          </w:p>
        </w:tc>
      </w:tr>
    </w:tbl>
    <w:p w:rsidR="00D4086A" w:rsidRDefault="00D4086A">
      <w:pPr>
        <w:spacing w:before="120" w:after="120" w:line="240" w:lineRule="auto"/>
        <w:ind w:left="850"/>
        <w:jc w:val="both"/>
        <w:rPr>
          <w:rFonts w:ascii="Times New Roman" w:hAnsi="Times New Roman"/>
          <w:b/>
          <w:bCs/>
          <w:noProof/>
          <w:sz w:val="24"/>
          <w:szCs w:val="24"/>
          <w:u w:val="single"/>
        </w:rPr>
      </w:pPr>
    </w:p>
    <w:p w:rsidR="00D4086A" w:rsidRDefault="00D4086A">
      <w:pPr>
        <w:spacing w:before="120" w:after="120" w:line="240" w:lineRule="auto"/>
        <w:ind w:left="850"/>
        <w:jc w:val="both"/>
        <w:rPr>
          <w:rFonts w:ascii="Times New Roman" w:hAnsi="Times New Roman"/>
          <w:b/>
          <w:bCs/>
          <w:noProof/>
          <w:sz w:val="24"/>
          <w:szCs w:val="24"/>
          <w:u w:val="single"/>
        </w:rPr>
      </w:pPr>
    </w:p>
    <w:p w:rsidR="00D4086A" w:rsidRDefault="00D4086A">
      <w:pPr>
        <w:spacing w:before="120" w:after="120" w:line="240" w:lineRule="auto"/>
        <w:ind w:left="850"/>
        <w:jc w:val="both"/>
        <w:rPr>
          <w:rFonts w:ascii="Times New Roman" w:hAnsi="Times New Roman"/>
          <w:i/>
          <w:iCs/>
          <w:noProof/>
          <w:color w:val="4F81BD"/>
          <w:sz w:val="24"/>
        </w:rPr>
      </w:pPr>
    </w:p>
    <w:p w:rsidR="00D4086A" w:rsidRDefault="00D4086A">
      <w:pPr>
        <w:spacing w:before="120" w:after="120" w:line="240" w:lineRule="auto"/>
        <w:jc w:val="both"/>
        <w:rPr>
          <w:rFonts w:ascii="Times New Roman" w:hAnsi="Times New Roman"/>
          <w:noProof/>
          <w:sz w:val="24"/>
        </w:rPr>
        <w:sectPr w:rsidR="00D4086A">
          <w:headerReference w:type="even" r:id="rId204"/>
          <w:headerReference w:type="default" r:id="rId205"/>
          <w:footerReference w:type="even" r:id="rId206"/>
          <w:footerReference w:type="default" r:id="rId207"/>
          <w:headerReference w:type="first" r:id="rId208"/>
          <w:footerReference w:type="first" r:id="rId209"/>
          <w:pgSz w:w="16839" w:h="11907" w:orient="landscape"/>
          <w:pgMar w:top="851" w:right="1134" w:bottom="1418" w:left="1134" w:header="709" w:footer="709" w:gutter="0"/>
          <w:cols w:space="720"/>
          <w:docGrid w:linePitch="360"/>
        </w:sectPr>
      </w:pPr>
    </w:p>
    <w:p w:rsidR="00D4086A" w:rsidRDefault="00D5307E">
      <w:pPr>
        <w:keepNext/>
        <w:tabs>
          <w:tab w:val="left" w:pos="1276"/>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КОМПОНЕНТ 17: ЦИФРОВА СЛОВАКИЯ (ДЪРЖАВА В МОБИЛНИЯ СЕКТОР, КИБЕРСИГУРНОСТ, БЪРЗ ИНТЕРНЕТ ЗА ВСИЧКИ, ЦИФРОВА ИКОНОМИКА)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Целта на този компонент на словашкия план за възстановяване и устойчивост е да се постигне значителен напредък на Словакия към цифрово </w:t>
      </w:r>
      <w:r>
        <w:rPr>
          <w:rFonts w:ascii="Times New Roman" w:hAnsi="Times New Roman"/>
          <w:noProof/>
          <w:sz w:val="24"/>
          <w:szCs w:val="24"/>
        </w:rPr>
        <w:t>подготвено общество и икономика. Тази цел се постига чрез мерки, насочени към цифровизацията на публичната администрация и предоставянето на обществени услуги, подобряване на киберсигурността чрез стандартизирани подходи за предотвратяване и разрешаване на</w:t>
      </w:r>
      <w:r>
        <w:rPr>
          <w:rFonts w:ascii="Times New Roman" w:hAnsi="Times New Roman"/>
          <w:noProof/>
          <w:sz w:val="24"/>
          <w:szCs w:val="24"/>
        </w:rPr>
        <w:t xml:space="preserve"> инциденти във всички субекти на публичната администрация, всеобхватна стратегия за цифрови умения и подкрепа за многонационалните проекти на ЕС и инвестициите в научни изследвания и прилагане на водещи цифрови технологии. Освен това компонентът представя </w:t>
      </w:r>
      <w:r>
        <w:rPr>
          <w:rFonts w:ascii="Times New Roman" w:hAnsi="Times New Roman"/>
          <w:noProof/>
          <w:sz w:val="24"/>
          <w:szCs w:val="24"/>
        </w:rPr>
        <w:t xml:space="preserve">мерки за цифрова свързаност, които органите възнамеряват да финансират от фондовете на политиката на сближаване.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Очаква се, че нито една мярка в този компонент не вреди в значителна степен на екологичните цели по смисъла на член 17 от Регламент (ЕС) 2020/</w:t>
      </w:r>
      <w:r>
        <w:rPr>
          <w:rFonts w:ascii="Times New Roman" w:hAnsi="Times New Roman"/>
          <w:noProof/>
          <w:sz w:val="24"/>
          <w:szCs w:val="24"/>
        </w:rPr>
        <w:t xml:space="preserve">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на DNSH (2021/C58/01).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Мерките в този компонент ще допринесат за изпълнение</w:t>
      </w:r>
      <w:r>
        <w:rPr>
          <w:rFonts w:ascii="Times New Roman" w:hAnsi="Times New Roman"/>
          <w:noProof/>
          <w:sz w:val="24"/>
        </w:rPr>
        <w:t>то на специфичните за всяка държава препоръки към Словакия, по-специално по отношение на цифровите умения (специфична за държавата препоръка 2, 2020 г.), цифровата трансформация (специфична за държавата препоръка 3, 2020 г.), бизнес средата и качеството на</w:t>
      </w:r>
      <w:r>
        <w:rPr>
          <w:rFonts w:ascii="Times New Roman" w:hAnsi="Times New Roman"/>
          <w:noProof/>
          <w:sz w:val="24"/>
        </w:rPr>
        <w:t xml:space="preserve"> обществените услуги (специфична за всяка държава препоръка 4, 2020 г.), научните изследвания и иновациите (специфична за всяка държава препоръка 3, 2019 г.) и конкурентоспособността на МСП (специфична за всяка държава препоръка 3, 2019 г.).</w:t>
      </w:r>
    </w:p>
    <w:p w:rsidR="00D4086A" w:rsidRDefault="00D4086A">
      <w:pPr>
        <w:spacing w:before="120" w:after="120" w:line="240" w:lineRule="auto"/>
        <w:jc w:val="both"/>
        <w:rPr>
          <w:rFonts w:ascii="Times New Roman" w:hAnsi="Times New Roman"/>
          <w:noProof/>
          <w:sz w:val="24"/>
        </w:rPr>
      </w:pPr>
    </w:p>
    <w:p w:rsidR="00D4086A" w:rsidRDefault="00D5307E">
      <w:pPr>
        <w:spacing w:before="120" w:after="120" w:line="240" w:lineRule="auto"/>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Описани</w:t>
      </w:r>
      <w:r>
        <w:rPr>
          <w:rFonts w:ascii="Times New Roman" w:hAnsi="Times New Roman"/>
          <w:b/>
          <w:noProof/>
          <w:sz w:val="24"/>
          <w:u w:val="single"/>
        </w:rPr>
        <w:t>е на реформите и инвестициите за безвъзмездна финансова подкрепа</w:t>
      </w:r>
    </w:p>
    <w:p w:rsidR="00D4086A" w:rsidRDefault="00D4086A">
      <w:pPr>
        <w:spacing w:before="120" w:after="120" w:line="240" w:lineRule="auto"/>
        <w:jc w:val="both"/>
        <w:rPr>
          <w:rFonts w:ascii="Times New Roman" w:hAnsi="Times New Roman"/>
          <w:noProof/>
          <w:sz w:val="24"/>
        </w:rPr>
      </w:pP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 xml:space="preserve">Реформа 1: Създаване на решения на електронното управление за приоритетни житейски ситуации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Тази реформа ще доведе до изготвянето и приемането от Министерството на инвестициите, регионалнот</w:t>
      </w:r>
      <w:r>
        <w:rPr>
          <w:rFonts w:ascii="Times New Roman" w:hAnsi="Times New Roman"/>
          <w:noProof/>
          <w:sz w:val="24"/>
        </w:rPr>
        <w:t>о развитие и информатиката (MIRRI) на инвестиционен план за приоритетни „ситуации в живота“ на гражданите и предприятията. Целта е да се даде възможност на гражданите и предприятията да решават административно такива житейски ситуации на едно място бързо и</w:t>
      </w:r>
      <w:r>
        <w:rPr>
          <w:rFonts w:ascii="Times New Roman" w:hAnsi="Times New Roman"/>
          <w:noProof/>
          <w:sz w:val="24"/>
        </w:rPr>
        <w:t xml:space="preserve"> лесно.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Инвестиционният план определя 16 приоритетни ситуации от живота, описва текущото и бъдещото състояние на процесите и изброява инвестиционните действия, които трябва да бъдат извършени в административните структури и техните информационни системи. </w:t>
      </w:r>
      <w:r>
        <w:rPr>
          <w:rFonts w:ascii="Times New Roman" w:hAnsi="Times New Roman"/>
          <w:noProof/>
          <w:sz w:val="24"/>
        </w:rPr>
        <w:t xml:space="preserve">Приоритетните житейски ситуации се подбират в съответствие със списъка на житейските ситуации, наблюдавани от целевия показател на eGov, и като се вземат предвид житейските ситуации, включени в приложение II към Регламента за единния цифров портал.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Реформ</w:t>
      </w:r>
      <w:r>
        <w:rPr>
          <w:rFonts w:ascii="Times New Roman" w:hAnsi="Times New Roman"/>
          <w:noProof/>
          <w:sz w:val="24"/>
        </w:rPr>
        <w:t>ата ще доведе до въвеждането на пакет от законодателни изменения за внедряване на нови цифрови обществени услуги въз основа на единен дизайн.</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31 декември 2023 г.</w:t>
      </w:r>
    </w:p>
    <w:p w:rsidR="00D4086A" w:rsidRDefault="00D5307E">
      <w:pPr>
        <w:spacing w:before="120" w:after="120" w:line="240" w:lineRule="auto"/>
        <w:jc w:val="both"/>
        <w:rPr>
          <w:rFonts w:ascii="Times New Roman" w:eastAsia="Times New Roman" w:hAnsi="Times New Roman" w:cs="Calibri"/>
          <w:b/>
          <w:noProof/>
          <w:sz w:val="24"/>
        </w:rPr>
      </w:pPr>
      <w:r>
        <w:rPr>
          <w:rFonts w:ascii="Times New Roman" w:hAnsi="Times New Roman"/>
          <w:b/>
          <w:noProof/>
          <w:sz w:val="24"/>
        </w:rPr>
        <w:t>Реформа 2: Централно управление на информационните ресу</w:t>
      </w:r>
      <w:r>
        <w:rPr>
          <w:rFonts w:ascii="Times New Roman" w:hAnsi="Times New Roman"/>
          <w:b/>
          <w:noProof/>
          <w:sz w:val="24"/>
        </w:rPr>
        <w:t>рси</w:t>
      </w:r>
    </w:p>
    <w:p w:rsidR="00D4086A" w:rsidRDefault="00D5307E">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 xml:space="preserve">В рамките на тази реформа ще бъде въведена централна платформа за обществени поръчки за закупуване и използване на ИТ ресурси. Впоследствие тези ресурси се предоставят за разработване на информационни системи в публичната администрация, като основната </w:t>
      </w:r>
      <w:r>
        <w:rPr>
          <w:rFonts w:ascii="Times New Roman" w:hAnsi="Times New Roman"/>
          <w:noProof/>
          <w:sz w:val="24"/>
        </w:rPr>
        <w:t>цел е да се намалят времето и разходите за такива разработки.</w:t>
      </w:r>
    </w:p>
    <w:p w:rsidR="00D4086A" w:rsidRDefault="00D5307E">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ИТ ресурсите се осигуряват централно чрез рамков договор и органите на публичната администрация имат право да ги ползват чрез централна платформа – цифров пазар. Намаляването на разходите се пос</w:t>
      </w:r>
      <w:r>
        <w:rPr>
          <w:rFonts w:ascii="Times New Roman" w:hAnsi="Times New Roman"/>
          <w:noProof/>
          <w:sz w:val="24"/>
        </w:rPr>
        <w:t xml:space="preserve">тига чрез по-ефективно закупуване и разпределяне на ИТ капацитет. </w:t>
      </w:r>
    </w:p>
    <w:p w:rsidR="00D4086A" w:rsidRDefault="00D5307E">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 xml:space="preserve">Платформата се въвежда на два етапа: </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Първо, създава се каталог за ИТ ресурси въз основа на ясни условия за допустимост, при които ресурсите могат да бъдат записвани в каталога. Вземат се предвид сигурността на системите, изискванията на референтната архитектура и качеството на услугите и сток</w:t>
      </w:r>
      <w:r>
        <w:rPr>
          <w:rFonts w:ascii="Times New Roman" w:hAnsi="Times New Roman"/>
          <w:noProof/>
          <w:sz w:val="24"/>
        </w:rPr>
        <w:t xml:space="preserve">ите. </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Второ, закупуването на тези ресурси се извършва от MIRRI с цел те да бъдат предоставени на потребителите в необходимото качество и количество.</w:t>
      </w:r>
    </w:p>
    <w:p w:rsidR="00D4086A" w:rsidRDefault="00D5307E">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Платформата осигурява функция за оценка на стойността на инвестициите в ИТ чрез наблюдение на разходите, ар</w:t>
      </w:r>
      <w:r>
        <w:rPr>
          <w:rFonts w:ascii="Times New Roman" w:hAnsi="Times New Roman"/>
          <w:noProof/>
          <w:sz w:val="24"/>
        </w:rPr>
        <w:t>хивирането, трансакциите и възвръщаемостта.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31 декември 2023 г.</w:t>
      </w:r>
    </w:p>
    <w:p w:rsidR="00D4086A" w:rsidRDefault="00D5307E">
      <w:pPr>
        <w:spacing w:before="120" w:after="120" w:line="240" w:lineRule="auto"/>
        <w:jc w:val="both"/>
        <w:rPr>
          <w:rFonts w:ascii="Times New Roman" w:eastAsia="Times New Roman" w:hAnsi="Times New Roman" w:cs="Calibri"/>
          <w:b/>
          <w:noProof/>
          <w:sz w:val="24"/>
        </w:rPr>
      </w:pPr>
      <w:r>
        <w:rPr>
          <w:rFonts w:ascii="Times New Roman" w:hAnsi="Times New Roman"/>
          <w:b/>
          <w:noProof/>
          <w:sz w:val="24"/>
        </w:rPr>
        <w:t>Инвестиция 1: По-добри услуги за гражданите и предприятията</w:t>
      </w:r>
    </w:p>
    <w:p w:rsidR="00D4086A" w:rsidRDefault="00D5307E">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 xml:space="preserve">В пряка връзка с Реформа 1 на настоящия компонент — </w:t>
      </w:r>
      <w:r>
        <w:rPr>
          <w:rFonts w:ascii="Times New Roman" w:hAnsi="Times New Roman"/>
          <w:i/>
          <w:noProof/>
          <w:sz w:val="24"/>
        </w:rPr>
        <w:t>Създаване на решения на електронното упра</w:t>
      </w:r>
      <w:r>
        <w:rPr>
          <w:rFonts w:ascii="Times New Roman" w:hAnsi="Times New Roman"/>
          <w:i/>
          <w:noProof/>
          <w:sz w:val="24"/>
        </w:rPr>
        <w:t>вление за приоритетни житейски ситуации</w:t>
      </w:r>
      <w:r>
        <w:rPr>
          <w:rFonts w:ascii="Times New Roman" w:hAnsi="Times New Roman"/>
          <w:noProof/>
          <w:sz w:val="24"/>
        </w:rPr>
        <w:t>, тази инвестиция ще се състои в внедряване на интегрирани решения за електронно управление в 16 приоритетни житейски ситуации. Решенията се разработват, като се използва обща платформа от ИТ инструменти, необходими з</w:t>
      </w:r>
      <w:r>
        <w:rPr>
          <w:rFonts w:ascii="Times New Roman" w:hAnsi="Times New Roman"/>
          <w:noProof/>
          <w:sz w:val="24"/>
        </w:rPr>
        <w:t>а изграждането и предоставянето на разбираеми и лесни за ползване цифрови услуги, обхващащи интегритета на процедурата за ситуация в живота.</w:t>
      </w:r>
      <w:r>
        <w:rPr>
          <w:noProof/>
          <w:color w:val="006100"/>
          <w:sz w:val="15"/>
          <w:szCs w:val="15"/>
        </w:rPr>
        <w:t xml:space="preserve"> </w:t>
      </w:r>
    </w:p>
    <w:p w:rsidR="00D4086A" w:rsidRDefault="00D5307E">
      <w:pPr>
        <w:spacing w:before="120" w:after="120" w:line="240" w:lineRule="auto"/>
        <w:jc w:val="both"/>
        <w:rPr>
          <w:rFonts w:ascii="Times New Roman" w:eastAsia="Times New Roman" w:hAnsi="Times New Roman"/>
          <w:noProof/>
          <w:sz w:val="24"/>
        </w:rPr>
      </w:pPr>
      <w:r>
        <w:rPr>
          <w:rFonts w:ascii="Times New Roman" w:hAnsi="Times New Roman"/>
          <w:noProof/>
          <w:sz w:val="24"/>
        </w:rPr>
        <w:t>Инвестициите са под формата на проекти, обусловени от търсенето, които осигуряват цялостно административно решение</w:t>
      </w:r>
      <w:r>
        <w:rPr>
          <w:rFonts w:ascii="Times New Roman" w:hAnsi="Times New Roman"/>
          <w:noProof/>
          <w:sz w:val="24"/>
        </w:rPr>
        <w:t xml:space="preserve"> на житейски ситуации с най-големи ползи. Решенията съдържат еднакви функции за търсене, единна точка за предоставяне на услуги, мобилна версия, единен дизайн и ясна навигация, плавен преход през жизнения цикъл, преглед на статуса на уведомленията за заявк</w:t>
      </w:r>
      <w:r>
        <w:rPr>
          <w:rFonts w:ascii="Times New Roman" w:hAnsi="Times New Roman"/>
          <w:noProof/>
          <w:sz w:val="24"/>
        </w:rPr>
        <w:t>а и статус и онлайн плащания. Проектът включва също така интегриране на решенията в централния портал на публичната администрация, преработване на основните административни процеси, модернизиране на системите от дневния ред и свързване с централния мидълуе</w:t>
      </w:r>
      <w:r>
        <w:rPr>
          <w:rFonts w:ascii="Times New Roman" w:hAnsi="Times New Roman"/>
          <w:noProof/>
          <w:sz w:val="24"/>
        </w:rPr>
        <w:t xml:space="preserve">р и централния бекенд.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30 юни 2026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2: Цифрова трансформация на предоставянето на обществени услуги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Тази инвестиция ще съкрати продължителността на завършване на обществените услуги чрез опти</w:t>
      </w:r>
      <w:r>
        <w:rPr>
          <w:rFonts w:ascii="Times New Roman" w:hAnsi="Times New Roman"/>
          <w:noProof/>
          <w:sz w:val="24"/>
        </w:rPr>
        <w:t>мизиране и автоматизиране на административните процеси. Инвестицията преобразува 42 раздела на публичната администрация, като стартира напълно функционализирана цифровизирана версия.</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Инвестициите са под формата на обусловени от търсенето проекти за трансфо</w:t>
      </w:r>
      <w:r>
        <w:rPr>
          <w:rFonts w:ascii="Times New Roman" w:hAnsi="Times New Roman"/>
          <w:noProof/>
          <w:sz w:val="24"/>
        </w:rPr>
        <w:t>рмиране на процесите на администрациите с най-голям потенциал за качествени подобрения или икономии. Икономиите се постигат чрез намаляване на оперативните разходи, процедурни грешки, срокове за приключване или изисквания по отношение на човешките ресурси.</w:t>
      </w:r>
      <w:r>
        <w:rPr>
          <w:rFonts w:ascii="Times New Roman" w:hAnsi="Times New Roman"/>
          <w:noProof/>
          <w:sz w:val="24"/>
        </w:rPr>
        <w:t xml:space="preserve"> Подобряването на качеството на процесите и намаляването на разходите се постига по целесъобразност чрез оптимизиране на съответното законодателство или чрез промяна на организацията на дейностите и процесите.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w:t>
      </w:r>
      <w:r>
        <w:rPr>
          <w:rFonts w:ascii="Times New Roman" w:hAnsi="Times New Roman"/>
          <w:noProof/>
          <w:sz w:val="24"/>
        </w:rPr>
        <w:t>чи до 30 юни 2026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Реформа 3: Управление на цифровата трансформация на икономиката и обществото</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С тази реформа се въвежда нова структура на управление за реформи и инвестиции в цифровата икономика чрез ангажиране на компетентни органи на различни равнища</w:t>
      </w:r>
      <w:r>
        <w:rPr>
          <w:rFonts w:ascii="Times New Roman" w:hAnsi="Times New Roman"/>
          <w:noProof/>
          <w:sz w:val="24"/>
        </w:rPr>
        <w:t>. На политическо равнище правителственият съвет за цифровизация на публичната администрация и цифровия единен пазар като консултативен, координационен и инициативен орган на правителството по въпроси, свързани с цифровизацията, наблюдава изпълнението и осъ</w:t>
      </w:r>
      <w:r>
        <w:rPr>
          <w:rFonts w:ascii="Times New Roman" w:hAnsi="Times New Roman"/>
          <w:noProof/>
          <w:sz w:val="24"/>
        </w:rPr>
        <w:t>ществяването на реформи и проекти в областта на цифровата икономика. На работно равнище секция „Програма в областта на цифровите технологии“ на MIRRI работи за гарантиране на изпълнението на реформите и инвестициите, както и за постигане на определените кл</w:t>
      </w:r>
      <w:r>
        <w:rPr>
          <w:rFonts w:ascii="Times New Roman" w:hAnsi="Times New Roman"/>
          <w:noProof/>
          <w:sz w:val="24"/>
        </w:rPr>
        <w:t>ючови етапи и крайни цели. На равнището на оценката аналитичният отдел на MIRRI осигурява тематична съгласуваност на интервенциите с приоритетите на стратегическите политики/документи (RIS3, SACI, стратегията за цифрова трансформация за Словакия до 2030 г.</w:t>
      </w:r>
      <w:r>
        <w:rPr>
          <w:rFonts w:ascii="Times New Roman" w:hAnsi="Times New Roman"/>
          <w:noProof/>
          <w:sz w:val="24"/>
        </w:rPr>
        <w:t xml:space="preserve">). На равнището на консултациите работната група по цифровото преобразуване на Словакия подпомага секция „Програма в областта на цифровите технологии“ на MIRRI при осъществяването на реформи и инвестиции в цифровата икономика.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Като част от тази реформа MI</w:t>
      </w:r>
      <w:r>
        <w:rPr>
          <w:rFonts w:ascii="Times New Roman" w:hAnsi="Times New Roman"/>
          <w:noProof/>
          <w:sz w:val="24"/>
        </w:rPr>
        <w:t>RRI ще приеме нов стратегически документ – План за действие за цифровата трансформация на Словакия за периода 2023—2026 г.</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30 юни 2026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3: Участие в многонационални европейски проекти, свързани с цифроват</w:t>
      </w:r>
      <w:r>
        <w:rPr>
          <w:rFonts w:ascii="Times New Roman" w:hAnsi="Times New Roman"/>
          <w:b/>
          <w:noProof/>
          <w:sz w:val="24"/>
        </w:rPr>
        <w:t>а икономика</w:t>
      </w:r>
    </w:p>
    <w:p w:rsidR="00D4086A" w:rsidRDefault="00D5307E">
      <w:pPr>
        <w:spacing w:before="120" w:after="120" w:line="240" w:lineRule="auto"/>
        <w:jc w:val="both"/>
        <w:rPr>
          <w:rFonts w:ascii="Times New Roman" w:hAnsi="Times New Roman"/>
          <w:bCs/>
          <w:noProof/>
          <w:sz w:val="24"/>
        </w:rPr>
      </w:pPr>
      <w:r>
        <w:rPr>
          <w:rFonts w:ascii="Times New Roman" w:hAnsi="Times New Roman"/>
          <w:noProof/>
          <w:sz w:val="24"/>
        </w:rPr>
        <w:t>Тази инвестиция ще подпомогне участието на Словакия в европейски многонационални проекти.</w:t>
      </w:r>
      <w:r>
        <w:rPr>
          <w:rFonts w:ascii="Times New Roman" w:hAnsi="Times New Roman"/>
          <w:bCs/>
          <w:noProof/>
          <w:sz w:val="24"/>
        </w:rPr>
        <w:t xml:space="preserve"> Предварителният списък на инициативите е изготвен въз основа на експертни обществени консултации, предварителни условия и подготовка на проектите. Словаки</w:t>
      </w:r>
      <w:r>
        <w:rPr>
          <w:rFonts w:ascii="Times New Roman" w:hAnsi="Times New Roman"/>
          <w:bCs/>
          <w:noProof/>
          <w:sz w:val="24"/>
        </w:rPr>
        <w:t xml:space="preserve">я възнамерява да потърси финансиране за някои от тези проекти от други източници, по-специално от пряко управлявани програми на ЕС (Цифрова Европа, Механизъм за свързване на Европа, „Хоризонт Европа“).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Инвестицията води до следните проекти:</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 xml:space="preserve">създаване на мрежа от европейски цифрови иновационни центрове (EDIH) и цифрови иновационни центрове (ЦЦИ) в подкрепа на цифровизацията на словашките МСП. </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 xml:space="preserve">въвеждане в експлоатация на суперкомпютър за националния суперкомпютър. </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участие в два други европейс</w:t>
      </w:r>
      <w:r>
        <w:rPr>
          <w:rFonts w:ascii="Times New Roman" w:hAnsi="Times New Roman"/>
          <w:noProof/>
          <w:sz w:val="24"/>
        </w:rPr>
        <w:t>ки проекта с участието на няколко държави, които се определят от предварително определен списък на проекти с участието на няколко държави, предложен от Европейската комисия.</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Последният етап от инвестицията трябва да приключи до 31 декември 2024 г. Подкрепа</w:t>
      </w:r>
      <w:r>
        <w:rPr>
          <w:rFonts w:ascii="Times New Roman" w:hAnsi="Times New Roman"/>
          <w:noProof/>
          <w:sz w:val="24"/>
        </w:rPr>
        <w:t>та за тези проекти продължава след изтичането на този срок, в рамките на периода на изпълнение на RRP.</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4: Подкрепа за проекти, насочени към разработването и прилагането на водещи цифрови технологии</w:t>
      </w:r>
    </w:p>
    <w:p w:rsidR="00D4086A" w:rsidRDefault="00D5307E">
      <w:pPr>
        <w:spacing w:before="120" w:after="120" w:line="240" w:lineRule="auto"/>
        <w:jc w:val="both"/>
        <w:rPr>
          <w:rFonts w:ascii="Times New Roman" w:eastAsia="Arial Narrow" w:hAnsi="Times New Roman" w:cs="Arial Narrow"/>
          <w:noProof/>
          <w:sz w:val="24"/>
        </w:rPr>
      </w:pPr>
      <w:r>
        <w:rPr>
          <w:rFonts w:ascii="Times New Roman" w:hAnsi="Times New Roman"/>
          <w:noProof/>
          <w:sz w:val="24"/>
        </w:rPr>
        <w:t xml:space="preserve">Целта на тази инвестиция е да се създаде схема </w:t>
      </w:r>
      <w:r>
        <w:rPr>
          <w:rFonts w:ascii="Times New Roman" w:hAnsi="Times New Roman"/>
          <w:noProof/>
          <w:sz w:val="24"/>
        </w:rPr>
        <w:t>за подпомагане на научните изследвания, развойната дейност и прилагането на модерни цифрови технологии от дружества, включително МСП, научноизследователски институти и структури на публичната администрация. Подпомагане се предоставя на успешни словашки про</w:t>
      </w:r>
      <w:r>
        <w:rPr>
          <w:rFonts w:ascii="Times New Roman" w:hAnsi="Times New Roman"/>
          <w:noProof/>
          <w:sz w:val="24"/>
        </w:rPr>
        <w:t>екти по пряко управлявани програми, избрани проекти за ВПОИ или проекти, получили „Печат за високи постижения“, в съответствие с приложимите правила за финансиране от фондовете на ЕС. Освен това подкрепа може да се предоставя и за проекти, подбрани на наци</w:t>
      </w:r>
      <w:r>
        <w:rPr>
          <w:rFonts w:ascii="Times New Roman" w:hAnsi="Times New Roman"/>
          <w:noProof/>
          <w:sz w:val="24"/>
        </w:rPr>
        <w:t>онално равнище. В допълнение към научноизследователските, развойните и приложните проекти може да се предоставя подкрепа за технологични институции, центрове за компетентност, частни предприятия и платформи в съответствие с правилата за държавна помощ.</w:t>
      </w:r>
    </w:p>
    <w:p w:rsidR="00D4086A" w:rsidRDefault="00D5307E">
      <w:pPr>
        <w:spacing w:before="120" w:after="120" w:line="240" w:lineRule="auto"/>
        <w:jc w:val="both"/>
        <w:rPr>
          <w:rFonts w:ascii="Times New Roman" w:eastAsia="Arial Narrow" w:hAnsi="Times New Roman" w:cs="Arial Narrow"/>
          <w:noProof/>
          <w:sz w:val="24"/>
        </w:rPr>
      </w:pPr>
      <w:r>
        <w:rPr>
          <w:rFonts w:ascii="Times New Roman" w:hAnsi="Times New Roman"/>
          <w:noProof/>
          <w:sz w:val="24"/>
        </w:rPr>
        <w:t xml:space="preserve">Инвестицията се съсредоточава върху: </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подкрепа за научноизследователски, развойни и иновационни проекти с равнища на технологична готовност 5—8,</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подкрепа за изграждането на инфраструктура за изпитване и експериментиране,</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подкрепа за участие в иновативни пр</w:t>
      </w:r>
      <w:r>
        <w:rPr>
          <w:rFonts w:ascii="Times New Roman" w:hAnsi="Times New Roman"/>
          <w:noProof/>
          <w:sz w:val="24"/>
        </w:rPr>
        <w:t>оекти на европейско и международно равнище,</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подкрепа за платформите и центровете за компетентност в техните дейности за популяризиране и обучение, насочени към цифрови умения и компетентности.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Изпълнението на инвестицията трябва да приключи до 30 юни 2026 </w:t>
      </w:r>
      <w:r>
        <w:rPr>
          <w:rFonts w:ascii="Times New Roman" w:hAnsi="Times New Roman"/>
          <w:noProof/>
          <w:sz w:val="24"/>
        </w:rPr>
        <w:t>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 xml:space="preserve">Инвестиция 5: Бързи безвъзмездни средства – хакатони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Целта е да се създаде инструмент за стимулиране на иновативни решения за справяне с настоящите обществени предизвикателства по гъвкав и бърз начин. Това се постига чрез организиране на хакатони с уча</w:t>
      </w:r>
      <w:r>
        <w:rPr>
          <w:rFonts w:ascii="Times New Roman" w:hAnsi="Times New Roman"/>
          <w:noProof/>
          <w:sz w:val="24"/>
        </w:rPr>
        <w:t>стието на стартиращи предприятия, други дружества, научноизследователски институти, университети и техните студенти и други специалисти.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Инвестицията се използва за организиране на 20 хакатона за период от пет години. Разходите включват ресурси за спечелил</w:t>
      </w:r>
      <w:r>
        <w:rPr>
          <w:rFonts w:ascii="Times New Roman" w:hAnsi="Times New Roman"/>
          <w:noProof/>
          <w:sz w:val="24"/>
        </w:rPr>
        <w:t>ите екипи, които предоставят своите решения на публичната администрация или на широката общественост.</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Организаторът определя набора от теми и проблеми, с които трябва да се справят хакатоните в сътрудничество с участващите органи на публичната администраци</w:t>
      </w:r>
      <w:r>
        <w:rPr>
          <w:rFonts w:ascii="Times New Roman" w:hAnsi="Times New Roman"/>
          <w:noProof/>
          <w:sz w:val="24"/>
        </w:rPr>
        <w:t xml:space="preserve">я.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30 юни 2026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Реформа 4: Стандартизация на технически и процедурни решения за киберсигурност (ITVS – Информационни технологии за публичната администрация)</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Настоящите изисквания за киберсигурност в пуб</w:t>
      </w:r>
      <w:r>
        <w:rPr>
          <w:rFonts w:ascii="Times New Roman" w:hAnsi="Times New Roman"/>
          <w:noProof/>
          <w:sz w:val="24"/>
        </w:rPr>
        <w:t>личната администрация се различават по отношение на тяхното разработване, качество и яснота. Индивидуализираните решения в областта на киберсигурността водят до по-високи общи разходи, както и до неясноти за редица оператори на услуги. Освен това приложими</w:t>
      </w:r>
      <w:r>
        <w:rPr>
          <w:rFonts w:ascii="Times New Roman" w:hAnsi="Times New Roman"/>
          <w:noProof/>
          <w:sz w:val="24"/>
        </w:rPr>
        <w:t>те методологични насоки за киберсигурността са остарели и не са подходящи за целта в бързо променящата се среда за киберзаплахи. Целта на тази реформа е да се актуализират приложимите изисквания за киберсигурност и да се повиши стандартизацията на решеният</w:t>
      </w:r>
      <w:r>
        <w:rPr>
          <w:rFonts w:ascii="Times New Roman" w:hAnsi="Times New Roman"/>
          <w:noProof/>
          <w:sz w:val="24"/>
        </w:rPr>
        <w:t xml:space="preserve">а за всички субекти на публичната администрация.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По-конкретно реформата води до разработването на единна методологична рамка за киберсигурността; създаването на процедурен наръчник за оценка на киберсигурността; създаване на централна експертна подкрепа з</w:t>
      </w:r>
      <w:r>
        <w:rPr>
          <w:rFonts w:ascii="Times New Roman" w:hAnsi="Times New Roman"/>
          <w:noProof/>
          <w:sz w:val="24"/>
        </w:rPr>
        <w:t>а прилагането на мерки за киберсигурност; определянето на категориите организации за целите на киберсигурността; определяне на основните изисквания за защита на киберсигурността в публичната администрация.</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Националната концепция за информатизация на публич</w:t>
      </w:r>
      <w:r>
        <w:rPr>
          <w:rFonts w:ascii="Times New Roman" w:hAnsi="Times New Roman"/>
          <w:noProof/>
          <w:sz w:val="24"/>
        </w:rPr>
        <w:t>ната администрация (NKIVS) определя рамката за стандартизация за изискванията за киберсигурност.</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31 декември 2025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Реформа 5: Подобряване на обучението и уменията в областта на киберсигурността (ITVS – Информационни</w:t>
      </w:r>
      <w:r>
        <w:rPr>
          <w:rFonts w:ascii="Times New Roman" w:hAnsi="Times New Roman"/>
          <w:b/>
          <w:noProof/>
          <w:sz w:val="24"/>
        </w:rPr>
        <w:t xml:space="preserve"> технологии за публичната администрация)</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Общото ниво на уменията в областта на киберсигурността в публичната администрация е недостатъчно. Целта на тази реформа е да се въведе системно учене през целия живот в областта на киберсигурността на ИТ специалисти</w:t>
      </w:r>
      <w:r>
        <w:rPr>
          <w:rFonts w:ascii="Times New Roman" w:hAnsi="Times New Roman"/>
          <w:noProof/>
          <w:sz w:val="24"/>
        </w:rPr>
        <w:t xml:space="preserve">те в публичната администрация.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Реформата:  </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създаване на програма за повишаване на осведомеността относно киберсигурността и обучение на персонала на публичната администрация, включително допълнително обучение на специалисти в областта на киберсигурността</w:t>
      </w:r>
      <w:r>
        <w:rPr>
          <w:rFonts w:ascii="Times New Roman" w:hAnsi="Times New Roman"/>
          <w:noProof/>
          <w:sz w:val="24"/>
        </w:rPr>
        <w:t xml:space="preserve"> (като учене през целия живот);</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да създаде най-малко 3 експертни центъра в областта на киберсигурността в университетите, за да играе роля в образованието и в предоставянето на експертен опит на публичния и частния сектор;</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подкрепа за международното сътруд</w:t>
      </w:r>
      <w:r>
        <w:rPr>
          <w:rFonts w:ascii="Times New Roman" w:hAnsi="Times New Roman"/>
          <w:noProof/>
          <w:sz w:val="24"/>
        </w:rPr>
        <w:t>ничество със съответните международни центрове за високи постижения в областта на кибернетичните и хибридните заплахи;</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разработване на методология за създаване на звена за киберсигурност в органите на публичната администрация.</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w:t>
      </w:r>
      <w:r>
        <w:rPr>
          <w:rFonts w:ascii="Times New Roman" w:hAnsi="Times New Roman"/>
          <w:noProof/>
          <w:sz w:val="24"/>
        </w:rPr>
        <w:t>ключва до 30 юни 2026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6: Засилване на превантивните мерки, повишаване на скоростта на откриване и разрешаване на инциденти (ITVS – Информационни технологии за публичната администрация)</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Целта на тази мярка е да се разработи система за ранно реагиране в областта на киберсигурността на публичната администрация. Тя е продължение на проекти по Оперативната програма „Интегрирана инфраструктура“.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По-специално инвестицията:</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 xml:space="preserve">интегриране на нови </w:t>
      </w:r>
      <w:r>
        <w:rPr>
          <w:rFonts w:ascii="Times New Roman" w:hAnsi="Times New Roman"/>
          <w:noProof/>
          <w:sz w:val="24"/>
        </w:rPr>
        <w:t>технически и технологични решения на системата за ранно реагиране в инфраструктурата за управление на инциденти, свързани с киберсигурността;</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да разработи рамка за редовни задълбочени одити на сигурността, оценки на уязвимостта и тестове за проникване в ця</w:t>
      </w:r>
      <w:r>
        <w:rPr>
          <w:rFonts w:ascii="Times New Roman" w:hAnsi="Times New Roman"/>
          <w:noProof/>
          <w:sz w:val="24"/>
        </w:rPr>
        <w:t xml:space="preserve">лостната архитектура на киберсигурността; </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повишаване на нивото на технологично оборудване за сигурност на инсталациите на критичната инфраструктура;</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разработване на каталог на заплахите и методология за управление на киберсигурността;</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разработване на цент</w:t>
      </w:r>
      <w:r>
        <w:rPr>
          <w:rFonts w:ascii="Times New Roman" w:hAnsi="Times New Roman"/>
          <w:noProof/>
          <w:sz w:val="24"/>
        </w:rPr>
        <w:t xml:space="preserve">рализиран подход за прилагане на корекции в областта на сигурността. </w:t>
      </w:r>
    </w:p>
    <w:p w:rsidR="00D4086A" w:rsidRDefault="00D5307E">
      <w:pPr>
        <w:spacing w:before="120" w:after="120" w:line="240" w:lineRule="auto"/>
        <w:jc w:val="both"/>
        <w:rPr>
          <w:rFonts w:ascii="Times New Roman" w:hAnsi="Times New Roman"/>
          <w:noProof/>
          <w:spacing w:val="-6"/>
          <w:sz w:val="24"/>
        </w:rPr>
      </w:pPr>
      <w:r>
        <w:rPr>
          <w:rFonts w:ascii="Times New Roman" w:hAnsi="Times New Roman"/>
          <w:noProof/>
          <w:spacing w:val="-6"/>
          <w:sz w:val="24"/>
        </w:rPr>
        <w:t>Като част от превенцията се повишава общото равнище на качество на физическата и процедурната сигурност на критичната инфраструктура на публичната администрация. Това се постига чрез под</w:t>
      </w:r>
      <w:r>
        <w:rPr>
          <w:rFonts w:ascii="Times New Roman" w:hAnsi="Times New Roman"/>
          <w:noProof/>
          <w:spacing w:val="-6"/>
          <w:sz w:val="24"/>
        </w:rPr>
        <w:t>обряване на сигурността на процесите, реконструкцията и завършването на 72 обезопасени пространства за информационни системи за критична инфраструктура.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инвестицията трябва да приключи до 30 юни 2026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Реформа 6: Стратегически подход към о</w:t>
      </w:r>
      <w:r>
        <w:rPr>
          <w:rFonts w:ascii="Times New Roman" w:hAnsi="Times New Roman"/>
          <w:b/>
          <w:noProof/>
          <w:sz w:val="24"/>
        </w:rPr>
        <w:t xml:space="preserve">бразованието в областта на цифровите умения в сътрудничество с представители на ключови заинтересовани страни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Тази реформа ще изготви съгласувана национална стратегия за развитие на цифровите умения чрез учене през целия живот, която обхваща хората в прод</w:t>
      </w:r>
      <w:r>
        <w:rPr>
          <w:rFonts w:ascii="Times New Roman" w:hAnsi="Times New Roman"/>
          <w:noProof/>
          <w:sz w:val="24"/>
        </w:rPr>
        <w:t xml:space="preserve">уктивна и постпродуктивна възраст. Стратегията се изготвя от MIRRI в сътрудничество с компетентните министерства и представители на ключови заинтересовани страни.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Стратегията включва анализ на актуалното състояние на цифровите умения в Словакия, установяв</w:t>
      </w:r>
      <w:r>
        <w:rPr>
          <w:rFonts w:ascii="Times New Roman" w:hAnsi="Times New Roman"/>
          <w:noProof/>
          <w:sz w:val="24"/>
        </w:rPr>
        <w:t>ане на съществуващите пречки пред тяхното развитие, визия за обучение за следващия период, както и препоръки за мерки за публичните органи за подобряване на ситуацията и постигане на целите. Стратегията също така предлага дългосрочна устойчива система за ф</w:t>
      </w:r>
      <w:r>
        <w:rPr>
          <w:rFonts w:ascii="Times New Roman" w:hAnsi="Times New Roman"/>
          <w:noProof/>
          <w:sz w:val="24"/>
        </w:rPr>
        <w:t>инансиране и подкрепа за цифровите умения, като същевременно има за цел създаването на привлекателна среда за предотвратяване на изтичането на мозъци и привличане на чуждестранни експерти и изследователи.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Реформата приключва не по-късно от 31 декември 2022</w:t>
      </w:r>
      <w:r>
        <w:rPr>
          <w:rFonts w:ascii="Times New Roman" w:hAnsi="Times New Roman"/>
          <w:noProof/>
          <w:sz w:val="24"/>
        </w:rPr>
        <w:t xml:space="preserve">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Инвестиция 7: Подобряване на цифровите умения на възрастните хора и разпространението на таблети за възрастни хора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Процентът на хората на възраст 65—74 години с поне основни умения в областта на цифровите технологии е едва 11 % в сравнение със средната</w:t>
      </w:r>
      <w:r>
        <w:rPr>
          <w:rFonts w:ascii="Times New Roman" w:hAnsi="Times New Roman"/>
          <w:noProof/>
          <w:sz w:val="24"/>
        </w:rPr>
        <w:t xml:space="preserve"> стойност за ЕС от 24 %. Обучението по цифрови умения в Словакия зависи в голяма степен от ученето в процеса на работа и/или от програми, финансирани от работодателите. В резултат на това хората в постпродуктивна възраст и хората в неравностойно положение </w:t>
      </w:r>
      <w:r>
        <w:rPr>
          <w:rFonts w:ascii="Times New Roman" w:hAnsi="Times New Roman"/>
          <w:noProof/>
          <w:sz w:val="24"/>
        </w:rPr>
        <w:t>като цяло имат по-ограничен достъп до развитие на цифровите умения. Този недостиг на умения беше особено проблематичен по време на периода на COVID-19. Целта на тази инвестиция е да се намери решение на този проблем чрез целенасочена програма за обучение в</w:t>
      </w:r>
      <w:r>
        <w:rPr>
          <w:rFonts w:ascii="Times New Roman" w:hAnsi="Times New Roman"/>
          <w:noProof/>
          <w:sz w:val="24"/>
        </w:rPr>
        <w:t xml:space="preserve"> областта на цифровите умения и предоставяне на цифрово оборудване за най-малко 172 800 възрастни хора и хора в неравностойно положение.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Инвестицията се състои от:</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пилотен проект за 1000 души за оценка на специфичните нужди и за оценка на физиологичната п</w:t>
      </w:r>
      <w:r>
        <w:rPr>
          <w:rFonts w:ascii="Times New Roman" w:hAnsi="Times New Roman"/>
          <w:noProof/>
          <w:sz w:val="24"/>
        </w:rPr>
        <w:t>ригодност на технологичното оборудване (таблетки или алтернативи) за възрастни хора и хора в неравностойно положение;</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обучения за възрастни хора и хора в неравностойно положение под формата на пряко и електронно обучение;</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разработване на специализирани при</w:t>
      </w:r>
      <w:r>
        <w:rPr>
          <w:rFonts w:ascii="Times New Roman" w:hAnsi="Times New Roman"/>
          <w:noProof/>
          <w:sz w:val="24"/>
        </w:rPr>
        <w:t>ложения с характеристики по отношение на достъпността;</w:t>
      </w:r>
    </w:p>
    <w:p w:rsidR="00D4086A" w:rsidRDefault="00D5307E">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 xml:space="preserve">предоставяне на субсидирано технологично оборудване (таблети или алтернативи) заедно с ваучери за предоставяне на достъп до интернет.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Изпълнението на инвестицията трябва да приключи до 30 юни 2026 г.</w:t>
      </w:r>
    </w:p>
    <w:p w:rsidR="00D4086A" w:rsidRDefault="00D4086A">
      <w:pPr>
        <w:spacing w:before="120" w:after="120" w:line="240" w:lineRule="auto"/>
        <w:ind w:left="1276"/>
        <w:jc w:val="both"/>
        <w:rPr>
          <w:rFonts w:ascii="Times New Roman" w:eastAsia="Times New Roman" w:hAnsi="Times New Roman"/>
          <w:b/>
          <w:bCs/>
          <w:noProof/>
          <w:sz w:val="24"/>
          <w:szCs w:val="24"/>
        </w:rPr>
      </w:pPr>
    </w:p>
    <w:p w:rsidR="00D4086A" w:rsidRDefault="00D4086A">
      <w:pPr>
        <w:spacing w:before="120" w:after="120" w:line="240" w:lineRule="auto"/>
        <w:ind w:left="850"/>
        <w:rPr>
          <w:rFonts w:ascii="Times New Roman" w:hAnsi="Times New Roman"/>
          <w:noProof/>
          <w:sz w:val="24"/>
        </w:rPr>
        <w:sectPr w:rsidR="00D4086A">
          <w:headerReference w:type="even" r:id="rId210"/>
          <w:headerReference w:type="default" r:id="rId211"/>
          <w:footerReference w:type="even" r:id="rId212"/>
          <w:footerReference w:type="default" r:id="rId213"/>
          <w:headerReference w:type="first" r:id="rId214"/>
          <w:footerReference w:type="first" r:id="rId215"/>
          <w:pgSz w:w="11907" w:h="16839"/>
          <w:pgMar w:top="1134" w:right="1418" w:bottom="1134" w:left="1418" w:header="709" w:footer="709" w:gutter="0"/>
          <w:cols w:space="720"/>
          <w:docGrid w:linePitch="360"/>
        </w:sectPr>
      </w:pPr>
    </w:p>
    <w:p w:rsidR="00D4086A" w:rsidRDefault="00D4086A">
      <w:pPr>
        <w:spacing w:before="120" w:after="120" w:line="240" w:lineRule="auto"/>
        <w:jc w:val="both"/>
        <w:rPr>
          <w:rFonts w:ascii="Times New Roman" w:hAnsi="Times New Roman"/>
          <w:b/>
          <w:noProof/>
          <w:sz w:val="24"/>
          <w:u w:val="single"/>
        </w:rPr>
      </w:pPr>
    </w:p>
    <w:p w:rsidR="00D4086A" w:rsidRDefault="00D5307E">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Ключови етапи, цели, показатели и график за мониторинг и изпълнение на безвъзмездната финансова подкрепа</w:t>
      </w:r>
    </w:p>
    <w:p w:rsidR="00D4086A" w:rsidRDefault="00D4086A">
      <w:pPr>
        <w:spacing w:before="120" w:after="120" w:line="240" w:lineRule="auto"/>
        <w:rPr>
          <w:rFonts w:ascii="Times New Roman" w:hAnsi="Times New Roman"/>
          <w:noProof/>
          <w:sz w:val="24"/>
        </w:rPr>
      </w:pPr>
    </w:p>
    <w:tbl>
      <w:tblPr>
        <w:tblW w:w="15735" w:type="dxa"/>
        <w:tblInd w:w="-459" w:type="dxa"/>
        <w:tblLook w:val="04A0" w:firstRow="1" w:lastRow="0" w:firstColumn="1" w:lastColumn="0" w:noHBand="0" w:noVBand="1"/>
      </w:tblPr>
      <w:tblGrid>
        <w:gridCol w:w="689"/>
        <w:gridCol w:w="1842"/>
        <w:gridCol w:w="1443"/>
        <w:gridCol w:w="2025"/>
        <w:gridCol w:w="1661"/>
        <w:gridCol w:w="1219"/>
        <w:gridCol w:w="1008"/>
        <w:gridCol w:w="816"/>
        <w:gridCol w:w="1296"/>
        <w:gridCol w:w="1042"/>
        <w:gridCol w:w="2694"/>
      </w:tblGrid>
      <w:tr w:rsidR="00D4086A">
        <w:trPr>
          <w:trHeight w:val="900"/>
        </w:trPr>
        <w:tc>
          <w:tcPr>
            <w:tcW w:w="689" w:type="dxa"/>
            <w:vMerge w:val="restart"/>
            <w:tcBorders>
              <w:top w:val="single" w:sz="4" w:space="0" w:color="auto"/>
              <w:left w:val="single" w:sz="4" w:space="0" w:color="auto"/>
              <w:right w:val="single" w:sz="4" w:space="0" w:color="auto"/>
            </w:tcBorders>
            <w:shd w:val="clear" w:color="auto" w:fill="BDD7EE"/>
            <w:vAlign w:val="center"/>
            <w:hideMark/>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w:t>
            </w:r>
          </w:p>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 </w:t>
            </w:r>
          </w:p>
        </w:tc>
        <w:tc>
          <w:tcPr>
            <w:tcW w:w="1461"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Свързана мярка (реформа или инвестиция)</w:t>
            </w:r>
          </w:p>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 </w:t>
            </w:r>
          </w:p>
        </w:tc>
        <w:tc>
          <w:tcPr>
            <w:tcW w:w="1443"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Ключов етап / Цел</w:t>
            </w:r>
          </w:p>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 </w:t>
            </w:r>
          </w:p>
        </w:tc>
        <w:tc>
          <w:tcPr>
            <w:tcW w:w="1547"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Наименование</w:t>
            </w:r>
          </w:p>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 </w:t>
            </w:r>
          </w:p>
        </w:tc>
        <w:tc>
          <w:tcPr>
            <w:tcW w:w="1625"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Качествени показатели (за ключовите етапи)</w:t>
            </w:r>
          </w:p>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 </w:t>
            </w:r>
          </w:p>
        </w:tc>
        <w:tc>
          <w:tcPr>
            <w:tcW w:w="3043" w:type="dxa"/>
            <w:gridSpan w:val="3"/>
            <w:tcBorders>
              <w:top w:val="single" w:sz="4" w:space="0" w:color="auto"/>
              <w:left w:val="nil"/>
              <w:bottom w:val="single" w:sz="4" w:space="0" w:color="auto"/>
              <w:right w:val="single" w:sz="4" w:space="0" w:color="000000"/>
            </w:tcBorders>
            <w:shd w:val="clear" w:color="auto" w:fill="BDD7EE"/>
            <w:vAlign w:val="center"/>
            <w:hideMark/>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Качествени показатели (за целите)</w:t>
            </w:r>
          </w:p>
        </w:tc>
        <w:tc>
          <w:tcPr>
            <w:tcW w:w="1958" w:type="dxa"/>
            <w:gridSpan w:val="2"/>
            <w:tcBorders>
              <w:top w:val="single" w:sz="4" w:space="0" w:color="auto"/>
              <w:left w:val="nil"/>
              <w:bottom w:val="single" w:sz="4" w:space="0" w:color="auto"/>
              <w:right w:val="single" w:sz="4" w:space="0" w:color="000000"/>
            </w:tcBorders>
            <w:shd w:val="clear" w:color="auto" w:fill="BDD7EE"/>
            <w:vAlign w:val="center"/>
            <w:hideMark/>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 xml:space="preserve">Ориентировъчен график за приключване </w:t>
            </w:r>
          </w:p>
        </w:tc>
        <w:tc>
          <w:tcPr>
            <w:tcW w:w="3969" w:type="dxa"/>
            <w:vMerge w:val="restart"/>
            <w:tcBorders>
              <w:top w:val="single" w:sz="4" w:space="0" w:color="auto"/>
              <w:left w:val="nil"/>
              <w:right w:val="single" w:sz="4" w:space="0" w:color="auto"/>
            </w:tcBorders>
            <w:shd w:val="clear" w:color="auto" w:fill="BDD7EE"/>
            <w:vAlign w:val="center"/>
            <w:hideMark/>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Описание и ясно определяне на всеки ключов етап и цел</w:t>
            </w:r>
          </w:p>
          <w:p w:rsidR="00D4086A" w:rsidRDefault="00D5307E">
            <w:pPr>
              <w:spacing w:after="0"/>
              <w:rPr>
                <w:rFonts w:ascii="Times New Roman" w:eastAsia="Times New Roman" w:hAnsi="Times New Roman"/>
                <w:b/>
                <w:noProof/>
                <w:sz w:val="20"/>
                <w:szCs w:val="20"/>
              </w:rPr>
            </w:pPr>
            <w:r>
              <w:rPr>
                <w:rFonts w:ascii="Times New Roman" w:hAnsi="Times New Roman"/>
                <w:noProof/>
                <w:sz w:val="20"/>
                <w:szCs w:val="20"/>
              </w:rPr>
              <w:t> </w:t>
            </w:r>
          </w:p>
        </w:tc>
      </w:tr>
      <w:tr w:rsidR="00D4086A">
        <w:trPr>
          <w:trHeight w:val="987"/>
        </w:trPr>
        <w:tc>
          <w:tcPr>
            <w:tcW w:w="689" w:type="dxa"/>
            <w:vMerge/>
            <w:tcBorders>
              <w:left w:val="single" w:sz="4" w:space="0" w:color="auto"/>
              <w:bottom w:val="single" w:sz="4" w:space="0" w:color="auto"/>
              <w:right w:val="single" w:sz="4" w:space="0" w:color="auto"/>
            </w:tcBorders>
            <w:shd w:val="clear" w:color="auto" w:fill="BDD7EE"/>
            <w:vAlign w:val="center"/>
            <w:hideMark/>
          </w:tcPr>
          <w:p w:rsidR="00D4086A" w:rsidRDefault="00D4086A">
            <w:pPr>
              <w:spacing w:after="0"/>
              <w:rPr>
                <w:rFonts w:ascii="Times New Roman" w:eastAsia="Times New Roman" w:hAnsi="Times New Roman"/>
                <w:b/>
                <w:noProof/>
                <w:sz w:val="20"/>
                <w:szCs w:val="20"/>
              </w:rPr>
            </w:pPr>
          </w:p>
        </w:tc>
        <w:tc>
          <w:tcPr>
            <w:tcW w:w="1461" w:type="dxa"/>
            <w:vMerge/>
            <w:tcBorders>
              <w:left w:val="nil"/>
              <w:bottom w:val="single" w:sz="4" w:space="0" w:color="auto"/>
              <w:right w:val="single" w:sz="4" w:space="0" w:color="auto"/>
            </w:tcBorders>
            <w:shd w:val="clear" w:color="auto" w:fill="BDD7EE"/>
            <w:vAlign w:val="center"/>
            <w:hideMark/>
          </w:tcPr>
          <w:p w:rsidR="00D4086A" w:rsidRDefault="00D4086A">
            <w:pPr>
              <w:spacing w:after="0"/>
              <w:rPr>
                <w:rFonts w:ascii="Times New Roman" w:eastAsia="Times New Roman" w:hAnsi="Times New Roman"/>
                <w:b/>
                <w:noProof/>
                <w:sz w:val="20"/>
                <w:szCs w:val="20"/>
              </w:rPr>
            </w:pPr>
          </w:p>
        </w:tc>
        <w:tc>
          <w:tcPr>
            <w:tcW w:w="1443" w:type="dxa"/>
            <w:vMerge/>
            <w:tcBorders>
              <w:left w:val="nil"/>
              <w:bottom w:val="single" w:sz="4" w:space="0" w:color="auto"/>
              <w:right w:val="single" w:sz="4" w:space="0" w:color="auto"/>
            </w:tcBorders>
            <w:shd w:val="clear" w:color="auto" w:fill="BDD7EE"/>
            <w:vAlign w:val="center"/>
            <w:hideMark/>
          </w:tcPr>
          <w:p w:rsidR="00D4086A" w:rsidRDefault="00D4086A">
            <w:pPr>
              <w:spacing w:after="0"/>
              <w:rPr>
                <w:rFonts w:ascii="Times New Roman" w:eastAsia="Times New Roman" w:hAnsi="Times New Roman"/>
                <w:b/>
                <w:noProof/>
                <w:sz w:val="20"/>
                <w:szCs w:val="20"/>
              </w:rPr>
            </w:pPr>
          </w:p>
        </w:tc>
        <w:tc>
          <w:tcPr>
            <w:tcW w:w="1547" w:type="dxa"/>
            <w:vMerge/>
            <w:tcBorders>
              <w:left w:val="nil"/>
              <w:bottom w:val="single" w:sz="4" w:space="0" w:color="auto"/>
              <w:right w:val="single" w:sz="4" w:space="0" w:color="auto"/>
            </w:tcBorders>
            <w:shd w:val="clear" w:color="auto" w:fill="BDD7EE"/>
            <w:vAlign w:val="center"/>
            <w:hideMark/>
          </w:tcPr>
          <w:p w:rsidR="00D4086A" w:rsidRDefault="00D4086A">
            <w:pPr>
              <w:spacing w:after="0"/>
              <w:rPr>
                <w:rFonts w:ascii="Times New Roman" w:eastAsia="Times New Roman" w:hAnsi="Times New Roman"/>
                <w:b/>
                <w:noProof/>
                <w:sz w:val="20"/>
                <w:szCs w:val="20"/>
              </w:rPr>
            </w:pPr>
          </w:p>
        </w:tc>
        <w:tc>
          <w:tcPr>
            <w:tcW w:w="1625" w:type="dxa"/>
            <w:vMerge/>
            <w:tcBorders>
              <w:left w:val="nil"/>
              <w:bottom w:val="single" w:sz="4" w:space="0" w:color="auto"/>
              <w:right w:val="single" w:sz="4" w:space="0" w:color="auto"/>
            </w:tcBorders>
            <w:shd w:val="clear" w:color="auto" w:fill="BDD7EE"/>
            <w:vAlign w:val="center"/>
            <w:hideMark/>
          </w:tcPr>
          <w:p w:rsidR="00D4086A" w:rsidRDefault="00D4086A">
            <w:pPr>
              <w:spacing w:after="0"/>
              <w:rPr>
                <w:rFonts w:ascii="Times New Roman" w:eastAsia="Times New Roman" w:hAnsi="Times New Roman"/>
                <w:b/>
                <w:noProof/>
                <w:sz w:val="20"/>
                <w:szCs w:val="20"/>
              </w:rPr>
            </w:pPr>
          </w:p>
        </w:tc>
        <w:tc>
          <w:tcPr>
            <w:tcW w:w="1219"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Мерна единица</w:t>
            </w:r>
          </w:p>
        </w:tc>
        <w:tc>
          <w:tcPr>
            <w:tcW w:w="1008"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Базова линия</w:t>
            </w:r>
          </w:p>
        </w:tc>
        <w:tc>
          <w:tcPr>
            <w:tcW w:w="816"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Цел</w:t>
            </w:r>
          </w:p>
        </w:tc>
        <w:tc>
          <w:tcPr>
            <w:tcW w:w="916"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Тримесечие</w:t>
            </w:r>
          </w:p>
        </w:tc>
        <w:tc>
          <w:tcPr>
            <w:tcW w:w="1042" w:type="dxa"/>
            <w:tcBorders>
              <w:top w:val="nil"/>
              <w:left w:val="nil"/>
              <w:bottom w:val="single" w:sz="4" w:space="0" w:color="auto"/>
              <w:right w:val="single" w:sz="4" w:space="0" w:color="auto"/>
            </w:tcBorders>
            <w:shd w:val="clear" w:color="auto" w:fill="BDD7EE"/>
            <w:vAlign w:val="center"/>
            <w:hideMark/>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Година</w:t>
            </w:r>
          </w:p>
        </w:tc>
        <w:tc>
          <w:tcPr>
            <w:tcW w:w="3969" w:type="dxa"/>
            <w:vMerge/>
            <w:tcBorders>
              <w:left w:val="nil"/>
              <w:bottom w:val="single" w:sz="4" w:space="0" w:color="auto"/>
              <w:right w:val="single" w:sz="4" w:space="0" w:color="auto"/>
            </w:tcBorders>
            <w:shd w:val="clear" w:color="auto" w:fill="BDD7EE"/>
            <w:vAlign w:val="center"/>
            <w:hideMark/>
          </w:tcPr>
          <w:p w:rsidR="00D4086A" w:rsidRDefault="00D4086A">
            <w:pPr>
              <w:spacing w:after="0"/>
              <w:rPr>
                <w:rFonts w:ascii="Times New Roman" w:eastAsia="Times New Roman" w:hAnsi="Times New Roman"/>
                <w:noProof/>
                <w:sz w:val="20"/>
                <w:szCs w:val="20"/>
              </w:rPr>
            </w:pPr>
          </w:p>
        </w:tc>
      </w:tr>
      <w:tr w:rsidR="00D4086A">
        <w:trPr>
          <w:trHeight w:val="961"/>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Цифрова Словакия – </w:t>
            </w:r>
            <w:r>
              <w:rPr>
                <w:rFonts w:ascii="Times New Roman" w:hAnsi="Times New Roman"/>
                <w:noProof/>
                <w:color w:val="006100"/>
                <w:sz w:val="20"/>
                <w:szCs w:val="20"/>
              </w:rPr>
              <w:t>реформа 1: Създаване на решения на електронното управление за приоритетни житейски ситуации</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Инвестиционен план за приоритетни житейски ситуации</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Публикуване на списъка с приоритети, одобрен от MIRRI</w:t>
            </w: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104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Публикуване на списъка на приори</w:t>
            </w:r>
            <w:r>
              <w:rPr>
                <w:rFonts w:ascii="Times New Roman" w:hAnsi="Times New Roman"/>
                <w:noProof/>
                <w:color w:val="006100"/>
                <w:sz w:val="20"/>
                <w:szCs w:val="20"/>
              </w:rPr>
              <w:t xml:space="preserve">тетните електронни услуги, одобрени от MIRRI SR, въз основа на целевия показател на eGOV и като се вземе предвид приложение II към Регламента за единния цифров портал, </w:t>
            </w:r>
          </w:p>
        </w:tc>
      </w:tr>
      <w:tr w:rsidR="00D4086A">
        <w:trPr>
          <w:trHeight w:val="1154"/>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Цифрова Словакия – реформа 1: Създаване на решения на електронното управление </w:t>
            </w:r>
            <w:r>
              <w:rPr>
                <w:rFonts w:ascii="Times New Roman" w:hAnsi="Times New Roman"/>
                <w:noProof/>
                <w:color w:val="006100"/>
                <w:sz w:val="20"/>
                <w:szCs w:val="20"/>
              </w:rPr>
              <w:t>за приоритетни житейски ситуации</w:t>
            </w:r>
          </w:p>
        </w:tc>
        <w:tc>
          <w:tcPr>
            <w:tcW w:w="1443"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Пътна карта за приоритетните ситуации, свързани с живота</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Публикуване на пътната карта</w:t>
            </w:r>
          </w:p>
        </w:tc>
        <w:tc>
          <w:tcPr>
            <w:tcW w:w="1219"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rPr>
                <w:rFonts w:ascii="Times New Roman" w:eastAsia="Times New Roman" w:hAnsi="Times New Roman"/>
                <w:noProof/>
                <w:color w:val="006100"/>
                <w:sz w:val="20"/>
                <w:szCs w:val="20"/>
              </w:rPr>
            </w:pPr>
          </w:p>
        </w:tc>
        <w:tc>
          <w:tcPr>
            <w:tcW w:w="1008"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rPr>
                <w:rFonts w:ascii="Times New Roman" w:eastAsia="Times New Roman" w:hAnsi="Times New Roman"/>
                <w:noProof/>
                <w:color w:val="006100"/>
                <w:sz w:val="20"/>
                <w:szCs w:val="20"/>
              </w:rPr>
            </w:pPr>
          </w:p>
        </w:tc>
        <w:tc>
          <w:tcPr>
            <w:tcW w:w="816"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rPr>
                <w:rFonts w:ascii="Times New Roman" w:eastAsia="Times New Roman" w:hAnsi="Times New Roman"/>
                <w:noProof/>
                <w:color w:val="006100"/>
                <w:sz w:val="20"/>
                <w:szCs w:val="20"/>
              </w:rPr>
            </w:pPr>
          </w:p>
        </w:tc>
        <w:tc>
          <w:tcPr>
            <w:tcW w:w="916"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1042"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2023</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Анализ на структурата на услугите и установяване на недостатъци (пътна карта) за тяхното подобряване чрез всички </w:t>
            </w:r>
            <w:r>
              <w:rPr>
                <w:rFonts w:ascii="Times New Roman" w:hAnsi="Times New Roman"/>
                <w:noProof/>
                <w:color w:val="006100"/>
                <w:sz w:val="20"/>
                <w:szCs w:val="20"/>
              </w:rPr>
              <w:t>съответни публични институции</w:t>
            </w:r>
          </w:p>
          <w:p w:rsidR="00D4086A" w:rsidRDefault="00D4086A">
            <w:pPr>
              <w:spacing w:after="0"/>
              <w:rPr>
                <w:rFonts w:ascii="Times New Roman" w:eastAsia="Times New Roman" w:hAnsi="Times New Roman"/>
                <w:noProof/>
                <w:color w:val="006100"/>
                <w:sz w:val="20"/>
                <w:szCs w:val="20"/>
              </w:rPr>
            </w:pPr>
          </w:p>
        </w:tc>
      </w:tr>
      <w:tr w:rsidR="00D4086A">
        <w:trPr>
          <w:trHeight w:val="225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Цифрова Словакия – реформа 2: Централно управление на информационните ресурси</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Централна платформа за използване на ИТ ресурси (цифров пазар)</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Стартиране на платформата</w:t>
            </w: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104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2023</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Въвеждане в експлоатация</w:t>
            </w:r>
            <w:r>
              <w:rPr>
                <w:rFonts w:ascii="Times New Roman" w:hAnsi="Times New Roman"/>
                <w:noProof/>
                <w:color w:val="006100"/>
                <w:sz w:val="20"/>
                <w:szCs w:val="20"/>
              </w:rPr>
              <w:t xml:space="preserve"> на платформа от инструменти и политики за нов начин за купуване и използване на ИТ стоки, експертен опит, използване на услуги в облак и код с отворен код. Услугите се възлагат централно (рамков договор) и потребителите на услугите имат възможност при нео</w:t>
            </w:r>
            <w:r>
              <w:rPr>
                <w:rFonts w:ascii="Times New Roman" w:hAnsi="Times New Roman"/>
                <w:noProof/>
                <w:color w:val="006100"/>
                <w:sz w:val="20"/>
                <w:szCs w:val="20"/>
              </w:rPr>
              <w:t>бходимост динамично да ползват централната платформа.</w:t>
            </w: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4</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Цифрова Словакия – Инвестиция 1: По-добри услуги за гражданите и предприятията</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 на изградените и внедрени решения за електронно управление</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4086A">
            <w:pPr>
              <w:spacing w:after="0"/>
              <w:rPr>
                <w:rFonts w:ascii="Times New Roman" w:eastAsia="Times New Roman" w:hAnsi="Times New Roman"/>
                <w:noProof/>
                <w:color w:val="006100"/>
                <w:sz w:val="20"/>
                <w:szCs w:val="20"/>
              </w:rPr>
            </w:pP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Т1</w:t>
            </w:r>
          </w:p>
        </w:tc>
        <w:tc>
          <w:tcPr>
            <w:tcW w:w="104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Внедряване на цифрови решения</w:t>
            </w:r>
            <w:r>
              <w:rPr>
                <w:rFonts w:ascii="Times New Roman" w:hAnsi="Times New Roman"/>
                <w:noProof/>
                <w:color w:val="006100"/>
                <w:sz w:val="20"/>
                <w:szCs w:val="20"/>
              </w:rPr>
              <w:t xml:space="preserve"> за две избрани житейски ситуации със следните характеристики: единен достъп до търсене на услуги; единна точка за предоставяне на услуги; когато е приложимо, мобилна версия; единен дизайн; ясна навигация; плавен преход през житейската ситуация; преглед на</w:t>
            </w:r>
            <w:r>
              <w:rPr>
                <w:rFonts w:ascii="Times New Roman" w:hAnsi="Times New Roman"/>
                <w:noProof/>
                <w:color w:val="006100"/>
                <w:sz w:val="20"/>
                <w:szCs w:val="20"/>
              </w:rPr>
              <w:t xml:space="preserve"> състоянието на искането; уведомления за състоянието; и онлайн плащания. Проектът включва интегриране на решенията в портала на централната публична администрация, преработване на бизнес процесите във всеобхватни, модернизиране на системите от дневния ред </w:t>
            </w:r>
            <w:r>
              <w:rPr>
                <w:rFonts w:ascii="Times New Roman" w:hAnsi="Times New Roman"/>
                <w:noProof/>
                <w:color w:val="006100"/>
                <w:sz w:val="20"/>
                <w:szCs w:val="20"/>
              </w:rPr>
              <w:t>и свързване с централния мидълуер и централните бекенд системи. Прилагане на двете най-използвани житейски ситуации.</w:t>
            </w: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5</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Цифрова Словакия – Инвестиция 1: По-добри услуги за гражданите и предприятията</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Брой на изградените и внедрени решения за </w:t>
            </w:r>
            <w:r>
              <w:rPr>
                <w:rFonts w:ascii="Times New Roman" w:hAnsi="Times New Roman"/>
                <w:noProof/>
                <w:color w:val="006100"/>
                <w:sz w:val="20"/>
                <w:szCs w:val="20"/>
              </w:rPr>
              <w:t>електронно управление</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16</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104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Пълно внедряване на цифрови решения за 16 избрани житейски ситуации със следните характеристики: единен достъп до търсене на услуги; единна точка за предоставяне на услуги; когато е приложимо, мобилна версия; едине</w:t>
            </w:r>
            <w:r>
              <w:rPr>
                <w:rFonts w:ascii="Times New Roman" w:hAnsi="Times New Roman"/>
                <w:noProof/>
                <w:color w:val="006100"/>
                <w:sz w:val="20"/>
                <w:szCs w:val="20"/>
              </w:rPr>
              <w:t xml:space="preserve">н дизайн; ясна навигация; плавен преход през житейската ситуация; преглед на състоянието на искането; уведомления за състоянието; и онлайн плащания. Проектът включва интегриране на решенията в портала на централната публична администрация, преработване на </w:t>
            </w:r>
            <w:r>
              <w:rPr>
                <w:rFonts w:ascii="Times New Roman" w:hAnsi="Times New Roman"/>
                <w:noProof/>
                <w:color w:val="006100"/>
                <w:sz w:val="20"/>
                <w:szCs w:val="20"/>
              </w:rPr>
              <w:t>бизнес процесите във всеобхватни, модернизиране на системите от дневния ред и свързване с централния мидълуер и централните бекенд системи.</w:t>
            </w: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6</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Цифрова Словакия – Инвестиция 1: По-добри услуги за гражданите и предприятията</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Платформа за </w:t>
            </w:r>
            <w:r>
              <w:rPr>
                <w:rFonts w:ascii="Times New Roman" w:hAnsi="Times New Roman"/>
                <w:noProof/>
                <w:color w:val="006100"/>
                <w:sz w:val="20"/>
                <w:szCs w:val="20"/>
              </w:rPr>
              <w:t>разработване и предоставяне на приоритетни житейски ситуации</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Пълно прилагане на платформата</w:t>
            </w: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104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Модернизиране на фронтенд, бекенд и мидълуерна платформа (общи модули) въз основа на принципите за компоненти с нисък конфигуриран код, управлявани це</w:t>
            </w:r>
            <w:r>
              <w:rPr>
                <w:rFonts w:ascii="Times New Roman" w:hAnsi="Times New Roman"/>
                <w:noProof/>
                <w:color w:val="006100"/>
                <w:sz w:val="20"/>
                <w:szCs w:val="20"/>
              </w:rPr>
              <w:t xml:space="preserve">нтрално за всички доставчици на обществени услуги. Платформата е предпоставка за внедряването на решения на електронното управление за ситуации, свързани с живота. </w:t>
            </w:r>
          </w:p>
          <w:p w:rsidR="00D4086A" w:rsidRDefault="00D4086A">
            <w:pPr>
              <w:spacing w:after="0"/>
              <w:rPr>
                <w:rFonts w:ascii="Times New Roman" w:eastAsia="Times New Roman" w:hAnsi="Times New Roman"/>
                <w:noProof/>
                <w:color w:val="006100"/>
                <w:sz w:val="20"/>
                <w:szCs w:val="20"/>
              </w:rPr>
            </w:pP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7</w:t>
            </w:r>
          </w:p>
        </w:tc>
        <w:tc>
          <w:tcPr>
            <w:tcW w:w="1461"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Цифрова Словакия – Инвестиция 2: Цифрова трансформация на предоставянето на </w:t>
            </w:r>
            <w:r>
              <w:rPr>
                <w:rFonts w:ascii="Times New Roman" w:hAnsi="Times New Roman"/>
                <w:noProof/>
                <w:color w:val="006100"/>
                <w:sz w:val="20"/>
                <w:szCs w:val="20"/>
              </w:rPr>
              <w:t>обществени услуги</w:t>
            </w:r>
          </w:p>
        </w:tc>
        <w:tc>
          <w:tcPr>
            <w:tcW w:w="1443"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547"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Цифрова трансформация на отделите на публичната администрация</w:t>
            </w:r>
          </w:p>
        </w:tc>
        <w:tc>
          <w:tcPr>
            <w:tcW w:w="1625" w:type="dxa"/>
            <w:tcBorders>
              <w:top w:val="nil"/>
              <w:left w:val="nil"/>
              <w:bottom w:val="single" w:sz="4" w:space="0" w:color="auto"/>
              <w:right w:val="single" w:sz="4" w:space="0" w:color="auto"/>
            </w:tcBorders>
            <w:shd w:val="clear" w:color="auto" w:fill="C6EFCE"/>
            <w:vAlign w:val="center"/>
          </w:tcPr>
          <w:p w:rsidR="00D4086A" w:rsidRDefault="00D4086A">
            <w:pPr>
              <w:spacing w:after="0"/>
              <w:rPr>
                <w:rFonts w:ascii="Times New Roman" w:eastAsia="Times New Roman" w:hAnsi="Times New Roman"/>
                <w:noProof/>
                <w:color w:val="006100"/>
                <w:sz w:val="20"/>
                <w:szCs w:val="20"/>
              </w:rPr>
            </w:pPr>
          </w:p>
        </w:tc>
        <w:tc>
          <w:tcPr>
            <w:tcW w:w="1219"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08"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8</w:t>
            </w:r>
          </w:p>
        </w:tc>
        <w:tc>
          <w:tcPr>
            <w:tcW w:w="916"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1042"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Осем процеса и секции в публичната администрация трябва да бъдат оптимизирани и автоматизирани. Инвестициите са насочени към подобряване на качеството на </w:t>
            </w:r>
            <w:r>
              <w:rPr>
                <w:rFonts w:ascii="Times New Roman" w:hAnsi="Times New Roman"/>
                <w:noProof/>
                <w:color w:val="006100"/>
                <w:sz w:val="20"/>
                <w:szCs w:val="20"/>
              </w:rPr>
              <w:t>обществените услуги или подобряване на ефективността (чрез намаляване на оперативните разходи, процедурни грешки, срокове за завършване или изисквания по отношение на човешките ресурси). Това се постига по целесъобразност чрез изменение на законодателствот</w:t>
            </w:r>
            <w:r>
              <w:rPr>
                <w:rFonts w:ascii="Times New Roman" w:hAnsi="Times New Roman"/>
                <w:noProof/>
                <w:color w:val="006100"/>
                <w:sz w:val="20"/>
                <w:szCs w:val="20"/>
              </w:rPr>
              <w:t>о или чрез промяна на организацията на процесите. Отделите на публичната администрация са регистрирани в Централната метаинформационна система на публичната администрация в съответствие със Закон № 575/2001 Сб. за организацията на държавната дейност и орга</w:t>
            </w:r>
            <w:r>
              <w:rPr>
                <w:rFonts w:ascii="Times New Roman" w:hAnsi="Times New Roman"/>
                <w:noProof/>
                <w:color w:val="006100"/>
                <w:sz w:val="20"/>
                <w:szCs w:val="20"/>
              </w:rPr>
              <w:t>низацията на централната държавна администрация.</w:t>
            </w: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8</w:t>
            </w:r>
          </w:p>
        </w:tc>
        <w:tc>
          <w:tcPr>
            <w:tcW w:w="1461"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Цифрова Словакия – Инвестиция 2: Цифрова трансформация на предоставянето на обществени услуги</w:t>
            </w:r>
          </w:p>
        </w:tc>
        <w:tc>
          <w:tcPr>
            <w:tcW w:w="1443"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547"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Цифрова трансформация на отделите на публичната администрация </w:t>
            </w:r>
          </w:p>
        </w:tc>
        <w:tc>
          <w:tcPr>
            <w:tcW w:w="1625"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08"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8</w:t>
            </w:r>
          </w:p>
        </w:tc>
        <w:tc>
          <w:tcPr>
            <w:tcW w:w="816"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42</w:t>
            </w:r>
          </w:p>
        </w:tc>
        <w:tc>
          <w:tcPr>
            <w:tcW w:w="916"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1042"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2026 </w:t>
            </w:r>
          </w:p>
        </w:tc>
        <w:tc>
          <w:tcPr>
            <w:tcW w:w="3969"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42 процеса и </w:t>
            </w:r>
            <w:r>
              <w:rPr>
                <w:rFonts w:ascii="Times New Roman" w:hAnsi="Times New Roman"/>
                <w:noProof/>
                <w:color w:val="006100"/>
                <w:sz w:val="20"/>
                <w:szCs w:val="20"/>
              </w:rPr>
              <w:t>секции в публичната администрация трябва да бъдат оптимизирани и автоматизирани. Инвестициите са насочени към подобряване на качеството на обществените услуги или подобряване на ефективността (чрез намаляване на оперативните разходи, процедурни грешки, сро</w:t>
            </w:r>
            <w:r>
              <w:rPr>
                <w:rFonts w:ascii="Times New Roman" w:hAnsi="Times New Roman"/>
                <w:noProof/>
                <w:color w:val="006100"/>
                <w:sz w:val="20"/>
                <w:szCs w:val="20"/>
              </w:rPr>
              <w:t xml:space="preserve">кове за завършване или изисквания по отношение на човешките ресурси). Това се постига по целесъобразност чрез изменение на законодателството или чрез промяна на организацията на процесите. Отделите на публичната администрация са регистрирани в Централната </w:t>
            </w:r>
            <w:r>
              <w:rPr>
                <w:rFonts w:ascii="Times New Roman" w:hAnsi="Times New Roman"/>
                <w:noProof/>
                <w:color w:val="006100"/>
                <w:sz w:val="20"/>
                <w:szCs w:val="20"/>
              </w:rPr>
              <w:t>метаинформационна система на публичната администрация в съответствие със Закон № 575/2001 Сб. за организацията на държавната дейност и организацията на централната държавна администрация.</w:t>
            </w:r>
          </w:p>
          <w:p w:rsidR="00D4086A" w:rsidRDefault="00D4086A">
            <w:pPr>
              <w:spacing w:after="0"/>
              <w:rPr>
                <w:rFonts w:ascii="Times New Roman" w:eastAsia="Times New Roman" w:hAnsi="Times New Roman"/>
                <w:noProof/>
                <w:color w:val="006100"/>
                <w:sz w:val="20"/>
                <w:szCs w:val="20"/>
              </w:rPr>
            </w:pP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9</w:t>
            </w:r>
          </w:p>
        </w:tc>
        <w:tc>
          <w:tcPr>
            <w:tcW w:w="1461"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Цифрова Словакия – реформа 3: Управление на цифровата </w:t>
            </w:r>
            <w:r>
              <w:rPr>
                <w:rFonts w:ascii="Times New Roman" w:hAnsi="Times New Roman"/>
                <w:noProof/>
                <w:color w:val="006100"/>
                <w:sz w:val="20"/>
                <w:szCs w:val="20"/>
              </w:rPr>
              <w:t>трансформация на икономиката и обществото</w:t>
            </w:r>
          </w:p>
        </w:tc>
        <w:tc>
          <w:tcPr>
            <w:tcW w:w="1443"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547"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План за действие за цифровата трансформация на Словакия за периода 2023—2026 г.</w:t>
            </w:r>
          </w:p>
        </w:tc>
        <w:tc>
          <w:tcPr>
            <w:tcW w:w="1625"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Разработване и приемане от MIRRI </w:t>
            </w:r>
          </w:p>
        </w:tc>
        <w:tc>
          <w:tcPr>
            <w:tcW w:w="1219"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1042"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Приемане от MIRRI на нов стратегически документ – План за действие за цифровата трансформация на Словакия за периода 2023—2026 г. В плана за действие се предлагат действия за подобряване на цифровата ефективност на Словакия въз основа на стратегията за циф</w:t>
            </w:r>
            <w:r>
              <w:rPr>
                <w:rFonts w:ascii="Times New Roman" w:hAnsi="Times New Roman"/>
                <w:noProof/>
                <w:color w:val="006100"/>
                <w:sz w:val="20"/>
                <w:szCs w:val="20"/>
              </w:rPr>
              <w:t xml:space="preserve">рова трансформация за Словакия до 2030 г. и въз основа на настоящата пътна карта за периода 2019—2022 г. </w:t>
            </w: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Цифрова Словакия – Инвестиция 3: Участие в многонационални европейски проекти, свързани с цифровата икономика</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Брой цифрови иновационни центрове/европейски цифрови иновационни центрове </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5</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Т3</w:t>
            </w:r>
          </w:p>
        </w:tc>
        <w:tc>
          <w:tcPr>
            <w:tcW w:w="104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2022 г.</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Тази цел се постига чрез:</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 Изграждане на мрежа от четири европейски цифрови иновационни центъра (EDIH) в Словакия, които ще предоставят услуги на предприятия</w:t>
            </w:r>
            <w:r>
              <w:rPr>
                <w:rFonts w:ascii="Times New Roman" w:hAnsi="Times New Roman"/>
                <w:noProof/>
                <w:color w:val="006100"/>
                <w:sz w:val="20"/>
                <w:szCs w:val="20"/>
              </w:rPr>
              <w:t xml:space="preserve">та в подкрепа на внедряването на нови технологии и иновации. Те участват в общоевропейската мрежа на EDIH. Кандидатите за създаването на четирите EDIH бяха номинирани през септември 2020 г. </w:t>
            </w:r>
          </w:p>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В допълнение към четирите EDIH се създава най-малко един допълни</w:t>
            </w:r>
            <w:r>
              <w:rPr>
                <w:rFonts w:ascii="Times New Roman" w:hAnsi="Times New Roman"/>
                <w:noProof/>
                <w:color w:val="006100"/>
                <w:sz w:val="20"/>
                <w:szCs w:val="20"/>
              </w:rPr>
              <w:t>телен център, като се следва един от двата варианта:</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а) EDIH без финансова подкрепа от програмата „Цифрова Европа“, на който ще бъде присъден Печат за високи постижения в конкуренцията в ЕО; или </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 локален DIH, който се избира по националната схема и ще д</w:t>
            </w:r>
            <w:r>
              <w:rPr>
                <w:rFonts w:ascii="Times New Roman" w:hAnsi="Times New Roman"/>
                <w:noProof/>
                <w:color w:val="006100"/>
                <w:sz w:val="20"/>
                <w:szCs w:val="20"/>
              </w:rPr>
              <w:t xml:space="preserve">опълва мрежата от съществуващи EDIH. </w:t>
            </w:r>
          </w:p>
        </w:tc>
      </w:tr>
      <w:tr w:rsidR="00D4086A">
        <w:trPr>
          <w:trHeight w:val="10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11</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Цифрова Словакия – Инвестиция 3: Участие в многонационални европейски проекти, свързани с цифровата икономика</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Разработване и изграждане на суперкомпютъра за националния суперкомпютърен център</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Пускане в експлоатация на суперкомпютъра и представяне на предавателно писмо</w:t>
            </w: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after="0"/>
              <w:rPr>
                <w:rFonts w:ascii="Times New Roman" w:eastAsia="Times New Roman" w:hAnsi="Times New Roman"/>
                <w:noProof/>
                <w:color w:val="006100"/>
                <w:sz w:val="20"/>
                <w:szCs w:val="20"/>
              </w:rPr>
            </w:pP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after="0"/>
              <w:rPr>
                <w:rFonts w:ascii="Times New Roman" w:eastAsia="Times New Roman" w:hAnsi="Times New Roman"/>
                <w:noProof/>
                <w:color w:val="006100"/>
                <w:sz w:val="20"/>
                <w:szCs w:val="20"/>
              </w:rPr>
            </w:pP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4086A">
            <w:pPr>
              <w:spacing w:after="0"/>
              <w:rPr>
                <w:rFonts w:ascii="Times New Roman" w:eastAsia="Times New Roman" w:hAnsi="Times New Roman"/>
                <w:noProof/>
                <w:color w:val="006100"/>
                <w:sz w:val="20"/>
                <w:szCs w:val="20"/>
              </w:rPr>
            </w:pP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104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Пускането в експлоатация и пускането в експлоатация на компютърната инфраструктура въз основа на функционални изпитвания и протокол за предаване. </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Инвестицията ще </w:t>
            </w:r>
            <w:r>
              <w:rPr>
                <w:rFonts w:ascii="Times New Roman" w:hAnsi="Times New Roman"/>
                <w:noProof/>
                <w:color w:val="006100"/>
                <w:sz w:val="20"/>
                <w:szCs w:val="20"/>
              </w:rPr>
              <w:t>финансира изграждането на суперкомпютър, като се използва архитектура с интегриран CPU и GPU на един чип, с амбицията да се класира сред първите 10 от общия списък „Зелен 500“ на високо енергийно ефективните суперкомпютри. Подробности за архитектурата се п</w:t>
            </w:r>
            <w:r>
              <w:rPr>
                <w:rFonts w:ascii="Times New Roman" w:hAnsi="Times New Roman"/>
                <w:noProof/>
                <w:color w:val="006100"/>
                <w:sz w:val="20"/>
                <w:szCs w:val="20"/>
              </w:rPr>
              <w:t>осочват в проучването за осъществимост.</w:t>
            </w:r>
          </w:p>
        </w:tc>
      </w:tr>
      <w:tr w:rsidR="00D4086A">
        <w:trPr>
          <w:trHeight w:val="288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12</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Цифрова Словакия – Инвестиция 3: Участие в многонационални европейски проекти, свързани с цифровата икономика</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Участие в многонационални цифрови проекти от предварително определения набор </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104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Подкрепа, предоставена за участие в два многонационални проекта в областта на цифровите технологии от следните предложения на Европейската комисия:   Центрове за операции по сигурността, MediaInvest, Европейска инфраструктура за услуги на основата на </w:t>
            </w:r>
            <w:r>
              <w:rPr>
                <w:rFonts w:ascii="Times New Roman" w:hAnsi="Times New Roman"/>
                <w:noProof/>
                <w:color w:val="006100"/>
                <w:sz w:val="20"/>
                <w:szCs w:val="20"/>
              </w:rPr>
              <w:t>блокчейн технологии, EuroQCI, 5G коридори, Обща европейска инфраструктура за данни, Процесори и полупроводникови интегрални схеми, Свързана публична администрация, Геном на Европа, Цифрови умения.</w:t>
            </w: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13</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Цифрова Словакия – Инвестиция 4: Подкрепа за </w:t>
            </w:r>
            <w:r>
              <w:rPr>
                <w:rFonts w:ascii="Times New Roman" w:hAnsi="Times New Roman"/>
                <w:noProof/>
                <w:color w:val="006100"/>
                <w:sz w:val="20"/>
                <w:szCs w:val="20"/>
              </w:rPr>
              <w:t>проекти, насочени към разработването и прилагането на водещи цифрови технологии</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Разработване на схема за подпомагане на разработването и прилагането на водещи цифрови технологии</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Стартиране на схема за подпомагане</w:t>
            </w: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104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Създава се и публикува схема за подпомагане на научноизследователската и развойната дейност в областта на цифровите решения от звеното за изпълнение на MIRRI за малки и средни предприятия, големи предприятия, частни научноизследователски и развойни институ</w:t>
            </w:r>
            <w:r>
              <w:rPr>
                <w:rFonts w:ascii="Times New Roman" w:hAnsi="Times New Roman"/>
                <w:noProof/>
                <w:color w:val="006100"/>
                <w:sz w:val="20"/>
                <w:szCs w:val="20"/>
              </w:rPr>
              <w:t>ции, публични научноизследователски и развойни институции, включително академичните среди и Словашката академия на науките, неправителствени организации и организации с нестопанска цел, медии, публични институции, включително общини и други допустими канди</w:t>
            </w:r>
            <w:r>
              <w:rPr>
                <w:rFonts w:ascii="Times New Roman" w:hAnsi="Times New Roman"/>
                <w:noProof/>
                <w:color w:val="006100"/>
                <w:sz w:val="20"/>
                <w:szCs w:val="20"/>
              </w:rPr>
              <w:t xml:space="preserve">дати. </w:t>
            </w:r>
          </w:p>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Схемата служи също така като механизъм за съфинансиране на проекти, които успешно се управляват пряко от програми на ЕС (Цифрова Европа, „Хоризонт Европа“ и Механизма за свързване на Европа). Приоритет се дава на успешни проекти въз основа на оценк</w:t>
            </w:r>
            <w:r>
              <w:rPr>
                <w:rFonts w:ascii="Times New Roman" w:hAnsi="Times New Roman"/>
                <w:noProof/>
                <w:color w:val="006100"/>
                <w:sz w:val="20"/>
                <w:szCs w:val="20"/>
              </w:rPr>
              <w:t>а на ВПОИ от Европейската комисия. Проектите също така се оценяват въз основа на приоритетните области, определени в измерение 4 (Цифрова трансформация на Словакия) в Стратегията за интелигентна специализация (RIS3).</w:t>
            </w:r>
          </w:p>
          <w:p w:rsidR="00D4086A" w:rsidRDefault="00D4086A">
            <w:pPr>
              <w:spacing w:after="0"/>
              <w:rPr>
                <w:rFonts w:ascii="Times New Roman" w:eastAsia="Times New Roman" w:hAnsi="Times New Roman"/>
                <w:noProof/>
                <w:color w:val="006100"/>
                <w:sz w:val="20"/>
                <w:szCs w:val="20"/>
              </w:rPr>
            </w:pP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14</w:t>
            </w:r>
          </w:p>
        </w:tc>
        <w:tc>
          <w:tcPr>
            <w:tcW w:w="1461"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Цифрова Словакия – Инвестиция</w:t>
            </w:r>
            <w:r>
              <w:rPr>
                <w:rFonts w:ascii="Times New Roman" w:hAnsi="Times New Roman"/>
                <w:noProof/>
                <w:color w:val="006100"/>
                <w:sz w:val="20"/>
                <w:szCs w:val="20"/>
              </w:rPr>
              <w:t xml:space="preserve"> 4: Подкрепа за проекти, насочени към разработването и прилагането на водещи цифрови технологии</w:t>
            </w:r>
          </w:p>
        </w:tc>
        <w:tc>
          <w:tcPr>
            <w:tcW w:w="1443"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547"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 проекти за разработване и прилагане на водещи цифрови технологии</w:t>
            </w:r>
          </w:p>
        </w:tc>
        <w:tc>
          <w:tcPr>
            <w:tcW w:w="1625"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08"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w:t>
            </w:r>
          </w:p>
        </w:tc>
        <w:tc>
          <w:tcPr>
            <w:tcW w:w="916"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1042"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tcPr>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Подпомагане, изплатено за 20 проекта за разработване и прилагане </w:t>
            </w:r>
            <w:r>
              <w:rPr>
                <w:rFonts w:ascii="Times New Roman" w:hAnsi="Times New Roman"/>
                <w:noProof/>
                <w:color w:val="006100"/>
                <w:sz w:val="20"/>
                <w:szCs w:val="20"/>
              </w:rPr>
              <w:t>на цифрови решения по схемата за подпомагане</w:t>
            </w:r>
          </w:p>
          <w:p w:rsidR="00D4086A" w:rsidRDefault="00D4086A">
            <w:pPr>
              <w:spacing w:after="0"/>
              <w:rPr>
                <w:rFonts w:ascii="Times New Roman" w:eastAsia="Times New Roman" w:hAnsi="Times New Roman"/>
                <w:noProof/>
                <w:color w:val="006100"/>
                <w:sz w:val="20"/>
                <w:szCs w:val="20"/>
              </w:rPr>
            </w:pPr>
          </w:p>
          <w:p w:rsidR="00D4086A" w:rsidRDefault="00D4086A">
            <w:pPr>
              <w:spacing w:after="0"/>
              <w:rPr>
                <w:rFonts w:ascii="Times New Roman" w:eastAsia="Times New Roman" w:hAnsi="Times New Roman"/>
                <w:noProof/>
                <w:color w:val="006100"/>
                <w:sz w:val="20"/>
                <w:szCs w:val="20"/>
              </w:rPr>
            </w:pP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15</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Цифрова Словакия – Инвестиция 4: Подкрепа за проекти, насочени към разработването и прилагането на водещи цифрови технологии</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 проекти за разработване и прилагане на водещи цифрови технологии</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43</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104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2026 г</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Подпомагане, изплатено за 43 проекта за разработване и прилагане на цифрови решения по схемата за подпомагане</w:t>
            </w:r>
          </w:p>
          <w:p w:rsidR="00D4086A" w:rsidRDefault="00D4086A">
            <w:pPr>
              <w:spacing w:after="0"/>
              <w:rPr>
                <w:rFonts w:ascii="Times New Roman" w:eastAsia="Times New Roman" w:hAnsi="Times New Roman"/>
                <w:noProof/>
                <w:color w:val="006100"/>
                <w:sz w:val="20"/>
                <w:szCs w:val="20"/>
              </w:rPr>
            </w:pPr>
          </w:p>
          <w:p w:rsidR="00D4086A" w:rsidRDefault="00D4086A">
            <w:pPr>
              <w:spacing w:after="0"/>
              <w:rPr>
                <w:rFonts w:ascii="Times New Roman" w:eastAsia="Times New Roman" w:hAnsi="Times New Roman"/>
                <w:noProof/>
                <w:color w:val="006100"/>
                <w:sz w:val="20"/>
                <w:szCs w:val="20"/>
              </w:rPr>
            </w:pP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16</w:t>
            </w:r>
          </w:p>
        </w:tc>
        <w:tc>
          <w:tcPr>
            <w:tcW w:w="1461"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Цифрова Словакия – Инвестиция 5: Бързи безвъзмездни средства – хакатони</w:t>
            </w:r>
          </w:p>
        </w:tc>
        <w:tc>
          <w:tcPr>
            <w:tcW w:w="1443"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547"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Брой на организираните събития за </w:t>
            </w:r>
            <w:r>
              <w:rPr>
                <w:rFonts w:ascii="Times New Roman" w:hAnsi="Times New Roman"/>
                <w:noProof/>
                <w:color w:val="006100"/>
                <w:sz w:val="20"/>
                <w:szCs w:val="20"/>
              </w:rPr>
              <w:t>бързо отпускане на безвъзмездни средства – хакатони</w:t>
            </w:r>
          </w:p>
        </w:tc>
        <w:tc>
          <w:tcPr>
            <w:tcW w:w="1625" w:type="dxa"/>
            <w:tcBorders>
              <w:top w:val="nil"/>
              <w:left w:val="nil"/>
              <w:bottom w:val="single" w:sz="4" w:space="0" w:color="auto"/>
              <w:right w:val="single" w:sz="4" w:space="0" w:color="auto"/>
            </w:tcBorders>
            <w:shd w:val="clear" w:color="auto" w:fill="C6EFCE"/>
            <w:vAlign w:val="center"/>
          </w:tcPr>
          <w:p w:rsidR="00D4086A" w:rsidRDefault="00D4086A">
            <w:pPr>
              <w:spacing w:after="0"/>
              <w:rPr>
                <w:rFonts w:ascii="Times New Roman" w:eastAsia="Times New Roman" w:hAnsi="Times New Roman"/>
                <w:noProof/>
                <w:color w:val="006100"/>
                <w:sz w:val="20"/>
                <w:szCs w:val="20"/>
              </w:rPr>
            </w:pPr>
          </w:p>
        </w:tc>
        <w:tc>
          <w:tcPr>
            <w:tcW w:w="1219"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08"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w:t>
            </w:r>
          </w:p>
        </w:tc>
        <w:tc>
          <w:tcPr>
            <w:tcW w:w="916" w:type="dxa"/>
            <w:tcBorders>
              <w:top w:val="nil"/>
              <w:left w:val="nil"/>
              <w:bottom w:val="single" w:sz="4" w:space="0" w:color="auto"/>
              <w:right w:val="single" w:sz="4" w:space="0" w:color="auto"/>
            </w:tcBorders>
            <w:shd w:val="clear" w:color="auto" w:fill="C6EFCE"/>
            <w:noWrap/>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1042"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3969" w:type="dxa"/>
            <w:tcBorders>
              <w:top w:val="nil"/>
              <w:left w:val="nil"/>
              <w:bottom w:val="single" w:sz="4" w:space="0" w:color="auto"/>
              <w:right w:val="single" w:sz="4" w:space="0" w:color="auto"/>
            </w:tcBorders>
            <w:shd w:val="clear" w:color="auto" w:fill="C6EFCE"/>
            <w:vAlign w:val="center"/>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Организиране на 20 хакатона – събития, при които се отпускат бързи безвъзмездни средства за новаторски решения за най-иновативните решения за настоящите обществени предизвикателства. Пр</w:t>
            </w:r>
            <w:r>
              <w:rPr>
                <w:rFonts w:ascii="Times New Roman" w:hAnsi="Times New Roman"/>
                <w:noProof/>
                <w:color w:val="006100"/>
                <w:sz w:val="20"/>
                <w:szCs w:val="20"/>
              </w:rPr>
              <w:t>оявата включва стартиращи предприятия, други дружества, научноизследователски институти, университети и техните студенти, както и други специалисти.</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Спечелилите екипи предоставят своите решения на публичната администрация или широката общественост.</w:t>
            </w:r>
          </w:p>
          <w:p w:rsidR="00D4086A" w:rsidRDefault="00D4086A">
            <w:pPr>
              <w:spacing w:after="0"/>
              <w:rPr>
                <w:rFonts w:ascii="Times New Roman" w:eastAsia="Times New Roman" w:hAnsi="Times New Roman"/>
                <w:noProof/>
                <w:color w:val="006100"/>
                <w:sz w:val="20"/>
                <w:szCs w:val="20"/>
              </w:rPr>
            </w:pP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w:t>
            </w:r>
            <w:r>
              <w:rPr>
                <w:rFonts w:ascii="Times New Roman" w:hAnsi="Times New Roman"/>
                <w:noProof/>
                <w:color w:val="006100"/>
                <w:sz w:val="20"/>
                <w:szCs w:val="20"/>
              </w:rPr>
              <w:t xml:space="preserve"> – Цифрова Словакия – реформа 5: Подобряване на обучението и уменията в областта на киберсигурността (ITVS – Информационни технологии за публичната администрация)</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Брой ИТ персонал в публичната администрация, обучен в областта на киберсигурността </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29</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600</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1042"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Още 571 ИТ експерти в публичната администрация преквалифицирани за киберсигурност на ниво „професионално„, „управляващо“ и „IT Manager“.</w:t>
            </w: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18</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Цифрова Словакия – Инвестиция 6: Засилване на превантивните мерки, повишаване на скоростта</w:t>
            </w:r>
            <w:r>
              <w:rPr>
                <w:rFonts w:ascii="Times New Roman" w:hAnsi="Times New Roman"/>
                <w:noProof/>
                <w:color w:val="006100"/>
                <w:sz w:val="20"/>
                <w:szCs w:val="20"/>
              </w:rPr>
              <w:t xml:space="preserve"> на откриване и разрешаване на инциденти (ITVS – Информационни технологии за публичната администрация)</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 на обезопасените ИТ системи в публичната администрация</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70</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1000</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104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Обезопасяване на 1000 информационни системи, които се определят като: инструментите на системата за ранно предупреждение (СРП) са интегрирани в системата за управление на киберинциденти, като се внедряват необходимите хардуерни/софтуерни елементи, двупосо</w:t>
            </w:r>
            <w:r>
              <w:rPr>
                <w:rFonts w:ascii="Times New Roman" w:hAnsi="Times New Roman"/>
                <w:noProof/>
                <w:color w:val="006100"/>
                <w:sz w:val="20"/>
                <w:szCs w:val="20"/>
              </w:rPr>
              <w:t xml:space="preserve">чна криптирана комуникация и изпращане на предупреждения. </w:t>
            </w: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19</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Цифрова Словакия – Инвестиция 6: Засилване на превантивните мерки, повишаване на скоростта на откриване и разрешаване на инциденти (ITVS – Информационни технологии за публичната </w:t>
            </w:r>
            <w:r>
              <w:rPr>
                <w:rFonts w:ascii="Times New Roman" w:hAnsi="Times New Roman"/>
                <w:noProof/>
                <w:color w:val="006100"/>
                <w:sz w:val="20"/>
                <w:szCs w:val="20"/>
              </w:rPr>
              <w:t>администрация)</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Одити на сигурността на заявленията в публичната администрация </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Въвеждане в експлоатация на нови или актуализиране на съществуващи приложения </w:t>
            </w: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1042"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Внедряване на нови или преразгледани одитни инструменти за киберсигурността на публичните ИТ приложения. Оценката се извършва чрез проникващи изпитвания и използване на софтуер за оценка на уязвимостта, като проверката на одита за сигурност винаги се извър</w:t>
            </w:r>
            <w:r>
              <w:rPr>
                <w:rFonts w:ascii="Times New Roman" w:hAnsi="Times New Roman"/>
                <w:noProof/>
                <w:color w:val="006100"/>
                <w:sz w:val="20"/>
                <w:szCs w:val="20"/>
              </w:rPr>
              <w:t xml:space="preserve">шва преди внедряването. </w:t>
            </w: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Приоритет се дава на информационните системи, които са част от критична инфраструктура.</w:t>
            </w:r>
          </w:p>
        </w:tc>
      </w:tr>
      <w:tr w:rsidR="00D4086A">
        <w:trPr>
          <w:trHeight w:val="210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Цифрова Словакия – реформа 6: Стратегически подход към образованието в областта на цифровите умения в сътрудничество с представители на ключови заинтересовани страни </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Национална стратегия за цифровите умения</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Одобряване на стратегията за </w:t>
            </w:r>
            <w:r>
              <w:rPr>
                <w:rFonts w:ascii="Times New Roman" w:hAnsi="Times New Roman"/>
                <w:noProof/>
                <w:color w:val="006100"/>
                <w:sz w:val="20"/>
                <w:szCs w:val="20"/>
              </w:rPr>
              <w:t>цифровите умения от словашкото правителство и публикуване</w:t>
            </w: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104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Стратегията е насочена към хората в продуктивна и следпроизводствена възраст и включва анализ на актуалното състояние, определяне на съществуващите пречки и визия за образованието за с</w:t>
            </w:r>
            <w:r>
              <w:rPr>
                <w:rFonts w:ascii="Times New Roman" w:hAnsi="Times New Roman"/>
                <w:noProof/>
                <w:color w:val="006100"/>
                <w:sz w:val="20"/>
                <w:szCs w:val="20"/>
              </w:rPr>
              <w:t>ледващия период и за ученето през целия живот в съответствие с препоръките на ОИСР до 2020 г., както и предложение за мерки и препоръки за публичните администрации с цел подобряване на статуквото и постигане на поставените цели. Мерките се финансират от из</w:t>
            </w:r>
            <w:r>
              <w:rPr>
                <w:rFonts w:ascii="Times New Roman" w:hAnsi="Times New Roman"/>
                <w:noProof/>
                <w:color w:val="006100"/>
                <w:sz w:val="20"/>
                <w:szCs w:val="20"/>
              </w:rPr>
              <w:t>точници, различни от Механизма за възстановяване и устойчивост.</w:t>
            </w: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21</w:t>
            </w:r>
          </w:p>
        </w:tc>
        <w:tc>
          <w:tcPr>
            <w:tcW w:w="1461"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Цифрова Словакия – Инвестиция 7: Подобряване на цифровите умения на възрастните хора и разпространението на таблети за възрастни хора</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Брой възрастни хора и лица в неравностойно </w:t>
            </w:r>
            <w:r>
              <w:rPr>
                <w:rFonts w:ascii="Times New Roman" w:hAnsi="Times New Roman"/>
                <w:noProof/>
                <w:color w:val="006100"/>
                <w:sz w:val="20"/>
                <w:szCs w:val="20"/>
              </w:rPr>
              <w:t>положение, обучени за придобиване на основни цифрови умения</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1000</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104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Изпълнение на пилотен проект за валидиране на предложените дейности и решения за повишаване на цифровите умения сред извадка от 1000 възрастни хора и лица в неравностойно пол</w:t>
            </w:r>
            <w:r>
              <w:rPr>
                <w:rFonts w:ascii="Times New Roman" w:hAnsi="Times New Roman"/>
                <w:noProof/>
                <w:color w:val="006100"/>
                <w:sz w:val="20"/>
                <w:szCs w:val="20"/>
              </w:rPr>
              <w:t xml:space="preserve">ожение. Това се постига чрез завършване на програма за обучение, последвана от разпределение на субсидирано оборудване. </w:t>
            </w:r>
          </w:p>
          <w:p w:rsidR="00D4086A" w:rsidRDefault="00D4086A">
            <w:pPr>
              <w:spacing w:after="0"/>
              <w:rPr>
                <w:rFonts w:ascii="Times New Roman" w:eastAsia="Times New Roman" w:hAnsi="Times New Roman"/>
                <w:noProof/>
                <w:color w:val="006100"/>
                <w:sz w:val="20"/>
                <w:szCs w:val="20"/>
              </w:rPr>
            </w:pPr>
          </w:p>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Резултатите от пилотния проект се оценяват и водят до решение относно формата на продължаване на проекта.</w:t>
            </w:r>
          </w:p>
        </w:tc>
      </w:tr>
      <w:tr w:rsidR="00D4086A">
        <w:trPr>
          <w:trHeight w:val="192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22</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Цифрова Словакия – </w:t>
            </w:r>
            <w:r>
              <w:rPr>
                <w:rFonts w:ascii="Times New Roman" w:hAnsi="Times New Roman"/>
                <w:noProof/>
                <w:color w:val="006100"/>
                <w:sz w:val="20"/>
                <w:szCs w:val="20"/>
              </w:rPr>
              <w:t>Инвестиция 7: Подобряване на цифровите умения на възрастните хора и разпространението на таблети за възрастни хора</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Цел</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 възрастни хора и лица в неравностойно положение, обучени за придобиване на основни цифрови умения</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Брой</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1000</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172800</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Т2</w:t>
            </w:r>
          </w:p>
        </w:tc>
        <w:tc>
          <w:tcPr>
            <w:tcW w:w="104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След пилотния проект и неговите препоръки да подобри цифровите умения на 172 800 възрастни хора и хора в неравностойно положение. Това се постига чрез завършване на програма за обучение и разпределяне на субсидирано оборудване за всяко лице. </w:t>
            </w:r>
          </w:p>
        </w:tc>
      </w:tr>
      <w:tr w:rsidR="00D4086A">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23</w:t>
            </w:r>
          </w:p>
        </w:tc>
        <w:tc>
          <w:tcPr>
            <w:tcW w:w="1461"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w:t>
            </w:r>
            <w:r>
              <w:rPr>
                <w:rFonts w:ascii="Times New Roman" w:hAnsi="Times New Roman"/>
                <w:noProof/>
                <w:color w:val="006100"/>
                <w:sz w:val="20"/>
                <w:szCs w:val="20"/>
              </w:rPr>
              <w:t>Цифрова Словакия – реформа 4: Стандартизация на технически и процедурни решения за киберсигурност (ITVS – Информационни технологии за публичната администрация)</w:t>
            </w:r>
          </w:p>
        </w:tc>
        <w:tc>
          <w:tcPr>
            <w:tcW w:w="1443"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Ключов етап</w:t>
            </w:r>
          </w:p>
        </w:tc>
        <w:tc>
          <w:tcPr>
            <w:tcW w:w="1547"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Национална концепция за информатизация на публичната администрация (NKIVS) 2021—2030</w:t>
            </w:r>
            <w:r>
              <w:rPr>
                <w:rFonts w:ascii="Times New Roman" w:hAnsi="Times New Roman"/>
                <w:noProof/>
                <w:color w:val="006100"/>
                <w:sz w:val="20"/>
                <w:szCs w:val="20"/>
              </w:rPr>
              <w:t xml:space="preserve"> г.</w:t>
            </w:r>
          </w:p>
        </w:tc>
        <w:tc>
          <w:tcPr>
            <w:tcW w:w="1625"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Приемане и одобряване на Националната концепция за информатизация на публичната администрация от MIRRI и публикуване </w:t>
            </w:r>
          </w:p>
        </w:tc>
        <w:tc>
          <w:tcPr>
            <w:tcW w:w="1219"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Т4</w:t>
            </w:r>
          </w:p>
        </w:tc>
        <w:tc>
          <w:tcPr>
            <w:tcW w:w="1042" w:type="dxa"/>
            <w:tcBorders>
              <w:top w:val="nil"/>
              <w:left w:val="nil"/>
              <w:bottom w:val="single" w:sz="4" w:space="0" w:color="auto"/>
              <w:right w:val="single" w:sz="4" w:space="0" w:color="auto"/>
            </w:tcBorders>
            <w:shd w:val="clear" w:color="auto" w:fill="C6EFCE"/>
            <w:noWrap/>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2021</w:t>
            </w:r>
          </w:p>
        </w:tc>
        <w:tc>
          <w:tcPr>
            <w:tcW w:w="3969" w:type="dxa"/>
            <w:tcBorders>
              <w:top w:val="nil"/>
              <w:left w:val="nil"/>
              <w:bottom w:val="single" w:sz="4" w:space="0" w:color="auto"/>
              <w:right w:val="single" w:sz="4" w:space="0" w:color="auto"/>
            </w:tcBorders>
            <w:shd w:val="clear" w:color="auto" w:fill="C6EFCE"/>
            <w:vAlign w:val="center"/>
            <w:hideMark/>
          </w:tcPr>
          <w:p w:rsidR="00D4086A" w:rsidRDefault="00D5307E">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Националната концепция за информатизация на публичната администрация (NKIVS) определя рамката за цифрови реформи по синх</w:t>
            </w:r>
            <w:r>
              <w:rPr>
                <w:rFonts w:ascii="Times New Roman" w:hAnsi="Times New Roman"/>
                <w:noProof/>
                <w:color w:val="006100"/>
                <w:sz w:val="20"/>
                <w:szCs w:val="20"/>
              </w:rPr>
              <w:t>ронизиран начин с Програмата за възстановяване и устойчивост. Отделните действия и проекти на RRP изпълняват съответните стратегически задачи на NKIVS. NKIVS определя рамката за стандартизация за изискванията за киберсигурност. Ще бъдат необходими по-натат</w:t>
            </w:r>
            <w:r>
              <w:rPr>
                <w:rFonts w:ascii="Times New Roman" w:hAnsi="Times New Roman"/>
                <w:noProof/>
                <w:color w:val="006100"/>
                <w:sz w:val="20"/>
                <w:szCs w:val="20"/>
              </w:rPr>
              <w:t>ъшни действия за определяне на техническите и процедурните стандарти в областта на киберсигурността.</w:t>
            </w:r>
          </w:p>
        </w:tc>
      </w:tr>
    </w:tbl>
    <w:p w:rsidR="00D4086A" w:rsidRDefault="00D4086A">
      <w:pPr>
        <w:spacing w:before="120" w:after="120" w:line="240" w:lineRule="auto"/>
        <w:rPr>
          <w:rFonts w:ascii="Times New Roman" w:hAnsi="Times New Roman"/>
          <w:noProof/>
          <w:sz w:val="24"/>
        </w:rPr>
      </w:pPr>
    </w:p>
    <w:p w:rsidR="00D4086A" w:rsidRDefault="00D4086A">
      <w:pPr>
        <w:tabs>
          <w:tab w:val="left" w:pos="3918"/>
        </w:tabs>
        <w:spacing w:before="120" w:after="120" w:line="240" w:lineRule="auto"/>
        <w:jc w:val="both"/>
        <w:rPr>
          <w:rFonts w:ascii="Times New Roman" w:hAnsi="Times New Roman"/>
          <w:noProof/>
          <w:sz w:val="24"/>
        </w:rPr>
        <w:sectPr w:rsidR="00D4086A">
          <w:headerReference w:type="even" r:id="rId216"/>
          <w:headerReference w:type="default" r:id="rId217"/>
          <w:footerReference w:type="even" r:id="rId218"/>
          <w:footerReference w:type="default" r:id="rId219"/>
          <w:headerReference w:type="first" r:id="rId220"/>
          <w:footerReference w:type="first" r:id="rId221"/>
          <w:pgSz w:w="16839" w:h="11907" w:orient="landscape"/>
          <w:pgMar w:top="0" w:right="1134" w:bottom="1418" w:left="1134" w:header="709" w:footer="709" w:gutter="0"/>
          <w:cols w:space="720"/>
          <w:docGrid w:linePitch="360"/>
        </w:sectPr>
      </w:pPr>
    </w:p>
    <w:p w:rsidR="00D4086A" w:rsidRDefault="00D5307E">
      <w:pPr>
        <w:keepNext/>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КОМПОНЕНТ 18: Стабилни, устойчиви и конкурентоспособни публични финанси</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Словакия е изправена пред</w:t>
      </w:r>
      <w:r>
        <w:rPr>
          <w:rFonts w:ascii="Times New Roman" w:hAnsi="Times New Roman"/>
          <w:noProof/>
          <w:sz w:val="24"/>
          <w:szCs w:val="24"/>
        </w:rPr>
        <w:t xml:space="preserve"> високи рискове за фискалната устойчивост поради съчетанието от застаряващо население, фискално неустойчива пенсионна система и рамка на фискалната политика, която не стимулира в достатъчна степен фискалната устойчивост. Освен това, потенциалът за приходи </w:t>
      </w:r>
      <w:r>
        <w:rPr>
          <w:rFonts w:ascii="Times New Roman" w:hAnsi="Times New Roman"/>
          <w:noProof/>
          <w:sz w:val="24"/>
          <w:szCs w:val="24"/>
        </w:rPr>
        <w:t>от екологичното и имущественото данъчно облагане не се използва в достатъчна степен в сравнение с другите държави от ЕС.</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Този компонент на словашкия план за възстановяване и устойчивост подобрява устойчивостта, стабилността и конкурентоспособността на публичните финанси посредством три елемента на реформата, а именно пенсионна реформа, многогодишни тавани на разходите и рефо</w:t>
      </w:r>
      <w:r>
        <w:rPr>
          <w:rFonts w:ascii="Times New Roman" w:hAnsi="Times New Roman"/>
          <w:noProof/>
          <w:sz w:val="24"/>
          <w:szCs w:val="24"/>
        </w:rPr>
        <w:t xml:space="preserve">рма на управлението на публичните инвестиции.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w:t>
      </w:r>
      <w:r>
        <w:rPr>
          <w:rFonts w:ascii="Times New Roman" w:hAnsi="Times New Roman"/>
          <w:noProof/>
          <w:sz w:val="24"/>
          <w:szCs w:val="24"/>
        </w:rPr>
        <w:t xml:space="preserve">кчаване на последиците, определени в плана за възстановяване и устойчивост в съответствие с Техническите насоки на DNSH (2021/C58/01).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По този начин компонентът допринася за изпълнението на специфичната за всяка държава препоръка 2019.1 за запазване на д</w:t>
      </w:r>
      <w:r>
        <w:rPr>
          <w:rFonts w:ascii="Times New Roman" w:hAnsi="Times New Roman"/>
          <w:noProof/>
          <w:sz w:val="24"/>
        </w:rPr>
        <w:t>ългосрочната устойчивост на публичните финанси, по-специално на пенсионната система, и за изпълнение на специфичната за всяка държава препоръка 2020.1 за провеждане на фискални политики, насочени към постигане на разумни средносрочни фискални позиции и оси</w:t>
      </w:r>
      <w:r>
        <w:rPr>
          <w:rFonts w:ascii="Times New Roman" w:hAnsi="Times New Roman"/>
          <w:noProof/>
          <w:sz w:val="24"/>
        </w:rPr>
        <w:t>гуряване на устойчивост на дълга, когато икономическите условия позволяват това. Тя спомага също така за изпълнението на специфичните за всяка държава препоръки 2020.3 и 2019.3, за да се даде приоритет на готови за изпълнение публични инвестиционни проекти</w:t>
      </w:r>
      <w:r>
        <w:rPr>
          <w:rFonts w:ascii="Times New Roman" w:hAnsi="Times New Roman"/>
          <w:noProof/>
          <w:sz w:val="24"/>
        </w:rPr>
        <w:t>, както и да се съсредоточат инвестициите в конкретни области.</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Реформа 1: Подобряване на устойчивостта на пенсионната система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Публичните финанси на Словакия са изправени пред високи рискове за устойчивостта както в средносрочен, така и в дългосрочен план. </w:t>
      </w:r>
      <w:r>
        <w:rPr>
          <w:rFonts w:ascii="Times New Roman" w:hAnsi="Times New Roman"/>
          <w:noProof/>
          <w:sz w:val="24"/>
        </w:rPr>
        <w:t xml:space="preserve">Това се дължи отчасти на бързото застаряване на населението. Коефициентът на възрастова зависимост (сравняващ дела на възрастните хора с дела на населението в трудоспособна възраст или в обучение) се очаква да нарасне почти три пъти до 2060 г. Таваните на </w:t>
      </w:r>
      <w:r>
        <w:rPr>
          <w:rFonts w:ascii="Times New Roman" w:hAnsi="Times New Roman"/>
          <w:noProof/>
          <w:sz w:val="24"/>
        </w:rPr>
        <w:t>пенсионната възраст изострят последиците за дългосрочната фискална устойчивост. Освен това спестяванията във втория стълб на пенсионната система са неефективни и имат ниска възвръщаемост, а осведомеността сред населението е ниска.</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Пенсионната реформа подоб</w:t>
      </w:r>
      <w:r>
        <w:rPr>
          <w:rFonts w:ascii="Times New Roman" w:hAnsi="Times New Roman"/>
          <w:noProof/>
          <w:sz w:val="24"/>
        </w:rPr>
        <w:t>рява дългосрочната фискална устойчивост на пенсионната система. За тази цел тя обвързва пенсионната възраст с очакваната продължителност на живота и премахва горните граници на пенсионната възраст. Освен това тя гарантира правото на актюерско неутрално обе</w:t>
      </w:r>
      <w:r>
        <w:rPr>
          <w:rFonts w:ascii="Times New Roman" w:hAnsi="Times New Roman"/>
          <w:noProof/>
          <w:sz w:val="24"/>
        </w:rPr>
        <w:t xml:space="preserve">зщетение след минимален брой прослужени години и въвежда нова стратегия за спестявания, основана на жизнения цикъл, във втория пенсионен стълб, като инвестира по-малко в облигации с ниска доходност, с възможност за неучастие, за да повиши ефективността на </w:t>
      </w:r>
      <w:r>
        <w:rPr>
          <w:rFonts w:ascii="Times New Roman" w:hAnsi="Times New Roman"/>
          <w:noProof/>
          <w:sz w:val="24"/>
        </w:rPr>
        <w:t>спестяванията във втория стълб. Тя също така повишава прозрачността чрез редовно информиране на хората за очакваните от тях пенсии.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Изпълнението на реформата приключва до 31 март 2023 г.</w:t>
      </w:r>
    </w:p>
    <w:p w:rsidR="00D4086A" w:rsidRDefault="00D5307E">
      <w:pPr>
        <w:spacing w:before="120" w:after="120" w:line="240" w:lineRule="auto"/>
        <w:jc w:val="both"/>
        <w:rPr>
          <w:rFonts w:ascii="Times New Roman" w:hAnsi="Times New Roman"/>
          <w:b/>
          <w:noProof/>
          <w:sz w:val="24"/>
        </w:rPr>
      </w:pPr>
      <w:r>
        <w:rPr>
          <w:rFonts w:ascii="Times New Roman" w:hAnsi="Times New Roman"/>
          <w:b/>
          <w:noProof/>
          <w:sz w:val="24"/>
        </w:rPr>
        <w:t>Реформа 2: Въвеждане на многогодишни тавани на разходите</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Средносрочна</w:t>
      </w:r>
      <w:r>
        <w:rPr>
          <w:rFonts w:ascii="Times New Roman" w:hAnsi="Times New Roman"/>
          <w:noProof/>
          <w:sz w:val="24"/>
          <w:szCs w:val="24"/>
        </w:rPr>
        <w:t>та бюджетна рамка на Словакия не доведе до достатъчна фискална дисциплина. Словакия не е успяла да води антициклична фискална политика при благоприятна икономическа конюнктура. Това оказва влияние върху средносрочната и дългосрочната фискална устойчивост.</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Следователно тази реформа ще засили фискалната дисциплина, за да се подобри средносрочната и дългосрочната фискална устойчивост. За тази цел се въвеждат задължителни многогодишни тавани на разходите като ключов инструмент за по-добро провеждане на антицикл</w:t>
      </w:r>
      <w:r>
        <w:rPr>
          <w:rFonts w:ascii="Times New Roman" w:hAnsi="Times New Roman"/>
          <w:noProof/>
          <w:sz w:val="24"/>
          <w:szCs w:val="24"/>
        </w:rPr>
        <w:t xml:space="preserve">ичната фискална политика, подобряване на бюджетното планиране и постигане на дългосрочна фискална устойчивост. Тези тавани на разходите са свързани с планираните структурни салда, свързани с дългосрочните цели за устойчивост. Тя се прилага в програмата за </w:t>
      </w:r>
      <w:r>
        <w:rPr>
          <w:rFonts w:ascii="Times New Roman" w:hAnsi="Times New Roman"/>
          <w:noProof/>
          <w:sz w:val="24"/>
          <w:szCs w:val="24"/>
        </w:rPr>
        <w:t>стабилност за периода 2022—2025 г. през април 2022 г., за да обхване целия бюджетен цикъл за 2023 г.</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Изпълнението на реформата приключва до 31 декември 2021 г.</w:t>
      </w:r>
    </w:p>
    <w:p w:rsidR="00D4086A" w:rsidRDefault="00D4086A">
      <w:pPr>
        <w:spacing w:before="120" w:after="120" w:line="240" w:lineRule="auto"/>
        <w:jc w:val="both"/>
        <w:rPr>
          <w:rFonts w:ascii="Times New Roman" w:hAnsi="Times New Roman"/>
          <w:noProof/>
          <w:sz w:val="24"/>
          <w:szCs w:val="24"/>
        </w:rPr>
      </w:pPr>
    </w:p>
    <w:p w:rsidR="00D4086A" w:rsidRDefault="00D5307E">
      <w:pPr>
        <w:spacing w:before="120" w:after="120" w:line="240" w:lineRule="auto"/>
        <w:jc w:val="both"/>
        <w:rPr>
          <w:rFonts w:ascii="Times New Roman" w:hAnsi="Times New Roman"/>
          <w:b/>
          <w:noProof/>
          <w:sz w:val="24"/>
          <w:szCs w:val="24"/>
        </w:rPr>
      </w:pPr>
      <w:r>
        <w:rPr>
          <w:rFonts w:ascii="Times New Roman" w:hAnsi="Times New Roman"/>
          <w:b/>
          <w:noProof/>
          <w:sz w:val="24"/>
          <w:szCs w:val="24"/>
        </w:rPr>
        <w:t>Реформа 3: Рационализиране на публичните инвестиции</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Икономическата стойност на повечето публичн</w:t>
      </w:r>
      <w:r>
        <w:rPr>
          <w:rFonts w:ascii="Times New Roman" w:hAnsi="Times New Roman"/>
          <w:noProof/>
          <w:sz w:val="24"/>
          <w:szCs w:val="24"/>
        </w:rPr>
        <w:t>и инвестиционни проекти, оценени от Министерството на финансите, е надвишила само леко разходите по тях, като съотношението между ползите и разходите за проектите (BCR) е между 1,0 и 1,5. Освен това степента на усвояване на бюджета за публични инвестиции е</w:t>
      </w:r>
      <w:r>
        <w:rPr>
          <w:rFonts w:ascii="Times New Roman" w:hAnsi="Times New Roman"/>
          <w:noProof/>
          <w:sz w:val="24"/>
          <w:szCs w:val="24"/>
        </w:rPr>
        <w:t xml:space="preserve"> ниска, което показва затруднения при планирането и изпълнението на бюджета. В същото време при приоритизирането на инвестициите липсват обективни и рационализирани критерии.</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Реформата ще подготви по-добре проектите за публични инвестиции чрез последовател</w:t>
      </w:r>
      <w:r>
        <w:rPr>
          <w:rFonts w:ascii="Times New Roman" w:hAnsi="Times New Roman"/>
          <w:noProof/>
          <w:sz w:val="24"/>
          <w:szCs w:val="24"/>
        </w:rPr>
        <w:t>но прилагане на принципите за икономическа ефективност. Той стратегически дава приоритет на инвестиционните проекти от самото начало и финансира само проекти в напреднал стадий на развитие. За постигането на тези цели реформата въвежда на практика нова и х</w:t>
      </w:r>
      <w:r>
        <w:rPr>
          <w:rFonts w:ascii="Times New Roman" w:hAnsi="Times New Roman"/>
          <w:noProof/>
          <w:sz w:val="24"/>
          <w:szCs w:val="24"/>
        </w:rPr>
        <w:t>армонизирана методология за подготовка и приоритизиране на проекти за публични инвестиции. Тази методика дава възможност за разработване на специфични за отделните сектори проекти и за подобряване на средното съотношение между разходите и ползите на новоиз</w:t>
      </w:r>
      <w:r>
        <w:rPr>
          <w:rFonts w:ascii="Times New Roman" w:hAnsi="Times New Roman"/>
          <w:noProof/>
          <w:sz w:val="24"/>
          <w:szCs w:val="24"/>
        </w:rPr>
        <w:t xml:space="preserve">браните инвестиционни проекти, като същевременно се повишава точността на инвестиционното бюджетиране. Инвестиционният процес е стандартизиран за всички проекти, които се оценяват централно и на ранен етап. </w:t>
      </w:r>
    </w:p>
    <w:p w:rsidR="00D4086A" w:rsidRDefault="00D5307E">
      <w:pPr>
        <w:spacing w:before="120" w:after="120" w:line="240" w:lineRule="auto"/>
        <w:jc w:val="both"/>
        <w:rPr>
          <w:rFonts w:ascii="Times New Roman" w:hAnsi="Times New Roman"/>
          <w:noProof/>
          <w:sz w:val="24"/>
          <w:szCs w:val="24"/>
        </w:rPr>
      </w:pPr>
      <w:r>
        <w:rPr>
          <w:rFonts w:ascii="Times New Roman" w:hAnsi="Times New Roman"/>
          <w:noProof/>
          <w:sz w:val="24"/>
          <w:szCs w:val="24"/>
        </w:rPr>
        <w:t>Изпълнението на реформата приключва до 30 юни 20</w:t>
      </w:r>
      <w:r>
        <w:rPr>
          <w:rFonts w:ascii="Times New Roman" w:hAnsi="Times New Roman"/>
          <w:noProof/>
          <w:sz w:val="24"/>
          <w:szCs w:val="24"/>
        </w:rPr>
        <w:t>26 г.</w:t>
      </w:r>
    </w:p>
    <w:p w:rsidR="00D4086A" w:rsidRDefault="00D4086A">
      <w:pPr>
        <w:spacing w:before="120" w:after="120" w:line="240" w:lineRule="auto"/>
        <w:ind w:left="850"/>
        <w:jc w:val="both"/>
        <w:rPr>
          <w:rFonts w:ascii="Times New Roman" w:hAnsi="Times New Roman"/>
          <w:noProof/>
          <w:sz w:val="24"/>
          <w:u w:val="single"/>
        </w:rPr>
        <w:sectPr w:rsidR="00D4086A">
          <w:headerReference w:type="even" r:id="rId222"/>
          <w:headerReference w:type="default" r:id="rId223"/>
          <w:footerReference w:type="even" r:id="rId224"/>
          <w:footerReference w:type="default" r:id="rId225"/>
          <w:headerReference w:type="first" r:id="rId226"/>
          <w:footerReference w:type="first" r:id="rId227"/>
          <w:pgSz w:w="11907" w:h="16839"/>
          <w:pgMar w:top="1134" w:right="1418" w:bottom="1134" w:left="1418" w:header="709" w:footer="709" w:gutter="0"/>
          <w:cols w:space="720"/>
          <w:docGrid w:linePitch="360"/>
        </w:sectPr>
      </w:pPr>
    </w:p>
    <w:p w:rsidR="00D4086A" w:rsidRDefault="00D4086A">
      <w:pPr>
        <w:spacing w:before="120" w:after="120" w:line="240" w:lineRule="auto"/>
        <w:ind w:left="850"/>
        <w:jc w:val="both"/>
        <w:rPr>
          <w:rFonts w:ascii="Times New Roman" w:hAnsi="Times New Roman"/>
          <w:noProof/>
          <w:sz w:val="24"/>
          <w:u w:val="single"/>
        </w:rPr>
      </w:pPr>
    </w:p>
    <w:p w:rsidR="00D4086A" w:rsidRDefault="00D5307E">
      <w:pPr>
        <w:spacing w:before="120" w:after="120" w:line="240" w:lineRule="auto"/>
        <w:ind w:left="850"/>
        <w:jc w:val="both"/>
        <w:rPr>
          <w:rFonts w:ascii="Times New Roman" w:hAnsi="Times New Roman"/>
          <w:b/>
          <w:bCs/>
          <w:noProof/>
          <w:sz w:val="24"/>
          <w:szCs w:val="24"/>
          <w:u w:val="single"/>
        </w:rPr>
      </w:pPr>
      <w:r>
        <w:rPr>
          <w:rFonts w:ascii="Times New Roman" w:hAnsi="Times New Roman"/>
          <w:b/>
          <w:bCs/>
          <w:noProof/>
          <w:sz w:val="24"/>
          <w:szCs w:val="24"/>
          <w:u w:val="single"/>
        </w:rPr>
        <w:t xml:space="preserve">A.2. </w:t>
      </w:r>
      <w:r>
        <w:rPr>
          <w:noProof/>
        </w:rPr>
        <w:tab/>
      </w:r>
      <w:r>
        <w:rPr>
          <w:rFonts w:ascii="Times New Roman" w:hAnsi="Times New Roman"/>
          <w:b/>
          <w:bCs/>
          <w:noProof/>
          <w:sz w:val="24"/>
          <w:szCs w:val="24"/>
          <w:u w:val="single"/>
        </w:rPr>
        <w:t>Ключови етапи, цели, показатели и график за мониторинг и изпълнение на безвъзмездната финансова подкрепа</w:t>
      </w:r>
    </w:p>
    <w:p w:rsidR="00D4086A" w:rsidRDefault="00D4086A">
      <w:pPr>
        <w:spacing w:before="120" w:after="120" w:line="240" w:lineRule="auto"/>
        <w:jc w:val="both"/>
        <w:rPr>
          <w:noProof/>
        </w:rPr>
      </w:pPr>
    </w:p>
    <w:tbl>
      <w:tblPr>
        <w:tblW w:w="15168" w:type="dxa"/>
        <w:tblInd w:w="-318" w:type="dxa"/>
        <w:shd w:val="clear" w:color="auto" w:fill="C6EFCE"/>
        <w:tblLayout w:type="fixed"/>
        <w:tblLook w:val="04A0" w:firstRow="1" w:lastRow="0" w:firstColumn="1" w:lastColumn="0" w:noHBand="0" w:noVBand="1"/>
      </w:tblPr>
      <w:tblGrid>
        <w:gridCol w:w="959"/>
        <w:gridCol w:w="992"/>
        <w:gridCol w:w="1169"/>
        <w:gridCol w:w="850"/>
        <w:gridCol w:w="1276"/>
        <w:gridCol w:w="1276"/>
        <w:gridCol w:w="1383"/>
        <w:gridCol w:w="850"/>
        <w:gridCol w:w="1134"/>
        <w:gridCol w:w="1134"/>
        <w:gridCol w:w="4145"/>
      </w:tblGrid>
      <w:tr w:rsidR="00D4086A">
        <w:trPr>
          <w:trHeight w:val="900"/>
        </w:trPr>
        <w:tc>
          <w:tcPr>
            <w:tcW w:w="959"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w:t>
            </w:r>
          </w:p>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 </w:t>
            </w:r>
          </w:p>
          <w:p w:rsidR="00D4086A" w:rsidRDefault="00D5307E">
            <w:pPr>
              <w:jc w:val="center"/>
              <w:rPr>
                <w:rFonts w:ascii="Times New Roman" w:eastAsia="Times New Roman" w:hAnsi="Times New Roman"/>
                <w:b/>
                <w:noProof/>
                <w:sz w:val="20"/>
                <w:szCs w:val="20"/>
              </w:rPr>
            </w:pPr>
            <w:r>
              <w:rPr>
                <w:rFonts w:ascii="Times New Roman" w:hAnsi="Times New Roman"/>
                <w:b/>
                <w:bCs/>
                <w:noProof/>
                <w:sz w:val="20"/>
                <w:szCs w:val="20"/>
              </w:rPr>
              <w:t xml:space="preserve"> </w:t>
            </w:r>
          </w:p>
        </w:tc>
        <w:tc>
          <w:tcPr>
            <w:tcW w:w="992"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Свързана мярка (реформа или инвестиция)</w:t>
            </w:r>
          </w:p>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 </w:t>
            </w:r>
          </w:p>
          <w:p w:rsidR="00D4086A" w:rsidRDefault="00D5307E">
            <w:pPr>
              <w:jc w:val="center"/>
              <w:rPr>
                <w:rFonts w:ascii="Times New Roman" w:eastAsia="Times New Roman" w:hAnsi="Times New Roman"/>
                <w:b/>
                <w:noProof/>
                <w:sz w:val="20"/>
                <w:szCs w:val="20"/>
              </w:rPr>
            </w:pPr>
            <w:r>
              <w:rPr>
                <w:rFonts w:ascii="Times New Roman" w:hAnsi="Times New Roman"/>
                <w:b/>
                <w:bCs/>
                <w:noProof/>
                <w:sz w:val="20"/>
                <w:szCs w:val="20"/>
              </w:rPr>
              <w:t xml:space="preserve"> </w:t>
            </w:r>
          </w:p>
        </w:tc>
        <w:tc>
          <w:tcPr>
            <w:tcW w:w="1169"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Ключов етап / Цел</w:t>
            </w:r>
          </w:p>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 </w:t>
            </w:r>
          </w:p>
          <w:p w:rsidR="00D4086A" w:rsidRDefault="00D5307E">
            <w:pPr>
              <w:spacing w:after="0"/>
              <w:rPr>
                <w:rFonts w:ascii="Times New Roman" w:eastAsia="Times New Roman" w:hAnsi="Times New Roman"/>
                <w:b/>
                <w:noProof/>
                <w:sz w:val="20"/>
                <w:szCs w:val="20"/>
              </w:rPr>
            </w:pPr>
            <w:r>
              <w:rPr>
                <w:rFonts w:ascii="Times New Roman" w:hAnsi="Times New Roman"/>
                <w:b/>
                <w:bCs/>
                <w:noProof/>
                <w:sz w:val="20"/>
                <w:szCs w:val="20"/>
              </w:rPr>
              <w:t xml:space="preserve"> </w:t>
            </w:r>
          </w:p>
        </w:tc>
        <w:tc>
          <w:tcPr>
            <w:tcW w:w="850"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Наименование</w:t>
            </w:r>
          </w:p>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 </w:t>
            </w:r>
          </w:p>
          <w:p w:rsidR="00D4086A" w:rsidRDefault="00D5307E">
            <w:pPr>
              <w:jc w:val="center"/>
              <w:rPr>
                <w:rFonts w:ascii="Times New Roman" w:eastAsia="Times New Roman" w:hAnsi="Times New Roman"/>
                <w:b/>
                <w:noProof/>
                <w:sz w:val="20"/>
                <w:szCs w:val="20"/>
              </w:rPr>
            </w:pPr>
            <w:r>
              <w:rPr>
                <w:rFonts w:ascii="Times New Roman" w:hAnsi="Times New Roman"/>
                <w:b/>
                <w:bCs/>
                <w:noProof/>
                <w:sz w:val="20"/>
                <w:szCs w:val="20"/>
              </w:rPr>
              <w:t xml:space="preserve"> </w:t>
            </w:r>
          </w:p>
        </w:tc>
        <w:tc>
          <w:tcPr>
            <w:tcW w:w="1276" w:type="dxa"/>
            <w:vMerge w:val="restart"/>
            <w:tcBorders>
              <w:top w:val="single" w:sz="8" w:space="0" w:color="auto"/>
              <w:left w:val="single" w:sz="8" w:space="0" w:color="auto"/>
              <w:right w:val="single" w:sz="8" w:space="0" w:color="auto"/>
            </w:tcBorders>
            <w:shd w:val="clear" w:color="auto" w:fill="BDD7EE"/>
            <w:vAlign w:val="center"/>
          </w:tcPr>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Качествени показатели (за ключовите етапи)</w:t>
            </w:r>
          </w:p>
          <w:p w:rsidR="00D4086A" w:rsidRDefault="00D5307E">
            <w:pPr>
              <w:spacing w:after="0"/>
              <w:rPr>
                <w:rFonts w:ascii="Times New Roman" w:eastAsia="Times New Roman" w:hAnsi="Times New Roman"/>
                <w:b/>
                <w:noProof/>
                <w:sz w:val="20"/>
                <w:szCs w:val="20"/>
              </w:rPr>
            </w:pPr>
            <w:r>
              <w:rPr>
                <w:rFonts w:ascii="Times New Roman" w:hAnsi="Times New Roman"/>
                <w:b/>
                <w:noProof/>
                <w:sz w:val="20"/>
                <w:szCs w:val="20"/>
              </w:rPr>
              <w:t> </w:t>
            </w:r>
          </w:p>
          <w:p w:rsidR="00D4086A" w:rsidRDefault="00D5307E">
            <w:pPr>
              <w:jc w:val="center"/>
              <w:rPr>
                <w:rFonts w:ascii="Times New Roman" w:eastAsia="Times New Roman" w:hAnsi="Times New Roman"/>
                <w:b/>
                <w:noProof/>
                <w:sz w:val="20"/>
                <w:szCs w:val="20"/>
              </w:rPr>
            </w:pPr>
            <w:r>
              <w:rPr>
                <w:rFonts w:ascii="Times New Roman" w:hAnsi="Times New Roman"/>
                <w:b/>
                <w:bCs/>
                <w:noProof/>
                <w:sz w:val="20"/>
                <w:szCs w:val="20"/>
              </w:rPr>
              <w:t xml:space="preserve"> </w:t>
            </w:r>
          </w:p>
        </w:tc>
        <w:tc>
          <w:tcPr>
            <w:tcW w:w="3509"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Качествени показатели (за целите)</w:t>
            </w:r>
          </w:p>
        </w:tc>
        <w:tc>
          <w:tcPr>
            <w:tcW w:w="2268" w:type="dxa"/>
            <w:gridSpan w:val="2"/>
            <w:tcBorders>
              <w:top w:val="single" w:sz="8" w:space="0" w:color="auto"/>
              <w:left w:val="nil"/>
              <w:bottom w:val="single" w:sz="8" w:space="0" w:color="auto"/>
              <w:right w:val="single" w:sz="8" w:space="0" w:color="000000"/>
            </w:tcBorders>
            <w:shd w:val="clear" w:color="auto" w:fill="BDD7EE"/>
            <w:vAlign w:val="center"/>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Ориентировъчен график за приключване</w:t>
            </w:r>
          </w:p>
        </w:tc>
        <w:tc>
          <w:tcPr>
            <w:tcW w:w="4145" w:type="dxa"/>
            <w:vMerge w:val="restart"/>
            <w:tcBorders>
              <w:top w:val="single" w:sz="8" w:space="0" w:color="auto"/>
              <w:left w:val="nil"/>
              <w:right w:val="single" w:sz="8" w:space="0" w:color="auto"/>
            </w:tcBorders>
            <w:shd w:val="clear" w:color="auto" w:fill="BDD7EE"/>
            <w:vAlign w:val="center"/>
          </w:tcPr>
          <w:p w:rsidR="00D4086A" w:rsidRDefault="00D5307E">
            <w:pPr>
              <w:spacing w:after="0"/>
              <w:jc w:val="center"/>
              <w:rPr>
                <w:rFonts w:ascii="Times New Roman" w:eastAsia="Times New Roman" w:hAnsi="Times New Roman"/>
                <w:b/>
                <w:noProof/>
                <w:sz w:val="20"/>
                <w:szCs w:val="20"/>
              </w:rPr>
            </w:pPr>
            <w:r>
              <w:rPr>
                <w:rFonts w:ascii="Times New Roman" w:hAnsi="Times New Roman"/>
                <w:b/>
                <w:noProof/>
                <w:sz w:val="20"/>
                <w:szCs w:val="20"/>
              </w:rPr>
              <w:t>Описание и ясно определяне на всеки ключов етап и цел</w:t>
            </w:r>
          </w:p>
          <w:p w:rsidR="00D4086A" w:rsidRDefault="00D4086A">
            <w:pPr>
              <w:spacing w:after="0"/>
              <w:jc w:val="center"/>
              <w:rPr>
                <w:rFonts w:ascii="Times New Roman" w:eastAsia="Times New Roman" w:hAnsi="Times New Roman"/>
                <w:b/>
                <w:noProof/>
                <w:sz w:val="20"/>
                <w:szCs w:val="20"/>
              </w:rPr>
            </w:pPr>
          </w:p>
          <w:p w:rsidR="00D4086A" w:rsidRDefault="00D4086A">
            <w:pPr>
              <w:jc w:val="center"/>
              <w:rPr>
                <w:rFonts w:ascii="Times New Roman" w:eastAsia="Times New Roman" w:hAnsi="Times New Roman"/>
                <w:b/>
                <w:noProof/>
                <w:sz w:val="20"/>
                <w:szCs w:val="20"/>
              </w:rPr>
            </w:pPr>
          </w:p>
        </w:tc>
      </w:tr>
      <w:tr w:rsidR="00D4086A">
        <w:trPr>
          <w:trHeight w:val="585"/>
        </w:trPr>
        <w:tc>
          <w:tcPr>
            <w:tcW w:w="959"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992"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169"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850"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276"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c>
          <w:tcPr>
            <w:tcW w:w="1276"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Мерна единица</w:t>
            </w:r>
          </w:p>
        </w:tc>
        <w:tc>
          <w:tcPr>
            <w:tcW w:w="1383" w:type="dxa"/>
            <w:tcBorders>
              <w:top w:val="nil"/>
              <w:left w:val="single" w:sz="8" w:space="0" w:color="auto"/>
              <w:bottom w:val="single" w:sz="8" w:space="0" w:color="auto"/>
              <w:right w:val="single" w:sz="8" w:space="0" w:color="auto"/>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Контекст</w:t>
            </w:r>
          </w:p>
        </w:tc>
        <w:tc>
          <w:tcPr>
            <w:tcW w:w="850"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Цел</w:t>
            </w:r>
          </w:p>
        </w:tc>
        <w:tc>
          <w:tcPr>
            <w:tcW w:w="1134" w:type="dxa"/>
            <w:tcBorders>
              <w:top w:val="single" w:sz="8" w:space="0" w:color="auto"/>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Тримесечие</w:t>
            </w:r>
          </w:p>
        </w:tc>
        <w:tc>
          <w:tcPr>
            <w:tcW w:w="1134" w:type="dxa"/>
            <w:tcBorders>
              <w:top w:val="nil"/>
              <w:left w:val="single" w:sz="8" w:space="0" w:color="auto"/>
              <w:bottom w:val="single" w:sz="8" w:space="0" w:color="auto"/>
              <w:right w:val="single" w:sz="8" w:space="0" w:color="000000"/>
            </w:tcBorders>
            <w:shd w:val="clear" w:color="auto" w:fill="BDD7EE"/>
            <w:vAlign w:val="center"/>
          </w:tcPr>
          <w:p w:rsidR="00D4086A" w:rsidRDefault="00D5307E">
            <w:pPr>
              <w:jc w:val="center"/>
              <w:rPr>
                <w:rFonts w:ascii="Times New Roman" w:hAnsi="Times New Roman"/>
                <w:noProof/>
                <w:sz w:val="20"/>
                <w:szCs w:val="20"/>
              </w:rPr>
            </w:pPr>
            <w:r>
              <w:rPr>
                <w:rFonts w:ascii="Times New Roman" w:hAnsi="Times New Roman"/>
                <w:b/>
                <w:bCs/>
                <w:noProof/>
                <w:sz w:val="20"/>
                <w:szCs w:val="20"/>
              </w:rPr>
              <w:t>Година</w:t>
            </w:r>
          </w:p>
        </w:tc>
        <w:tc>
          <w:tcPr>
            <w:tcW w:w="4145" w:type="dxa"/>
            <w:vMerge/>
            <w:tcBorders>
              <w:left w:val="single" w:sz="8" w:space="0" w:color="auto"/>
              <w:bottom w:val="single" w:sz="8" w:space="0" w:color="auto"/>
              <w:right w:val="single" w:sz="8" w:space="0" w:color="auto"/>
            </w:tcBorders>
            <w:shd w:val="clear" w:color="auto" w:fill="BDD7EE"/>
            <w:vAlign w:val="center"/>
          </w:tcPr>
          <w:p w:rsidR="00D4086A" w:rsidRDefault="00D4086A">
            <w:pPr>
              <w:jc w:val="center"/>
              <w:rPr>
                <w:rFonts w:ascii="Times New Roman" w:hAnsi="Times New Roman"/>
                <w:noProof/>
                <w:sz w:val="20"/>
                <w:szCs w:val="20"/>
              </w:rPr>
            </w:pPr>
          </w:p>
        </w:tc>
      </w:tr>
      <w:tr w:rsidR="00D4086A">
        <w:trPr>
          <w:trHeight w:val="180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18 – Равни, устойчиви и конкурентоспособни публични финанси – реформа 1: Подобряване на устойчивостта на пенсионната система</w:t>
            </w:r>
          </w:p>
        </w:tc>
        <w:tc>
          <w:tcPr>
            <w:tcW w:w="116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Ключов етап</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 xml:space="preserve"> Реформа на пенсионната система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 xml:space="preserve">Влизане в сила на пакета от изменения (№ 461/2003 Сб. относно </w:t>
            </w:r>
            <w:r>
              <w:rPr>
                <w:rFonts w:ascii="Times New Roman" w:hAnsi="Times New Roman"/>
                <w:noProof/>
                <w:sz w:val="20"/>
                <w:szCs w:val="20"/>
              </w:rPr>
              <w:t>социалното осигуряване и № 43/2004 Сб. относно пенсионните спестявания за старост)</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 xml:space="preserve"> </w:t>
            </w:r>
          </w:p>
        </w:tc>
        <w:tc>
          <w:tcPr>
            <w:tcW w:w="138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sz w:val="20"/>
                <w:szCs w:val="20"/>
              </w:rPr>
              <w:t>Т1</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sz w:val="20"/>
                <w:szCs w:val="20"/>
              </w:rPr>
              <w:t>2023</w:t>
            </w:r>
          </w:p>
        </w:tc>
        <w:tc>
          <w:tcPr>
            <w:tcW w:w="414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Влизане в сила на пакета от мерки от парламента (Закон за социалното осигуряване и Закона за пенсионното осигуряване за старост) до края на четвъртото тримесеч</w:t>
            </w:r>
            <w:r>
              <w:rPr>
                <w:rFonts w:ascii="Times New Roman" w:hAnsi="Times New Roman"/>
                <w:noProof/>
                <w:sz w:val="20"/>
                <w:szCs w:val="20"/>
              </w:rPr>
              <w:t>ие на 2022 г., считано от първото тримесечие на 2023 г., което ще подобри дългосрочната финансова устойчивост на пенсионната система, а именно:1) обвързване на увеличаването на пенсионната възраст с увеличаването на очакваната продължителност на живота; 2)</w:t>
            </w:r>
            <w:r>
              <w:rPr>
                <w:rFonts w:ascii="Times New Roman" w:hAnsi="Times New Roman"/>
                <w:noProof/>
                <w:sz w:val="20"/>
                <w:szCs w:val="20"/>
              </w:rPr>
              <w:t xml:space="preserve"> въвеждане на право на актюерно неутрални обезщетения от първия разходопокривен пенсионен стълб за лицата след задължителен минимален брой години трудов стаж, 3) въвеждане на стандартна стратегия за спестяванията въз основа на съществуващия стълб на жизнен</w:t>
            </w:r>
            <w:r>
              <w:rPr>
                <w:rFonts w:ascii="Times New Roman" w:hAnsi="Times New Roman"/>
                <w:noProof/>
                <w:sz w:val="20"/>
                <w:szCs w:val="20"/>
              </w:rPr>
              <w:t>ия цикъл на стълб II</w:t>
            </w:r>
          </w:p>
        </w:tc>
      </w:tr>
      <w:tr w:rsidR="00D4086A">
        <w:trPr>
          <w:trHeight w:val="2205"/>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sz w:val="20"/>
                <w:szCs w:val="20"/>
              </w:rPr>
              <w:t>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18 – Равни, устойчиви и конкурентоспособни публични финанси – реформа 2: Въвеждане на тавани за разходите</w:t>
            </w:r>
          </w:p>
        </w:tc>
        <w:tc>
          <w:tcPr>
            <w:tcW w:w="116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Ключов етап</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Залагане на тавани на разходите в Закон 523/2004 относно бюджетните правила</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Влизане в сила на изменението на Закон</w:t>
            </w:r>
            <w:r>
              <w:rPr>
                <w:rFonts w:ascii="Times New Roman" w:hAnsi="Times New Roman"/>
                <w:noProof/>
                <w:sz w:val="20"/>
                <w:szCs w:val="20"/>
              </w:rPr>
              <w:t xml:space="preserve"> 523/2004 относно бюджетните правила</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 xml:space="preserve"> </w:t>
            </w:r>
          </w:p>
        </w:tc>
        <w:tc>
          <w:tcPr>
            <w:tcW w:w="138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sz w:val="20"/>
                <w:szCs w:val="20"/>
              </w:rPr>
              <w:t>Т4</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sz w:val="20"/>
                <w:szCs w:val="20"/>
              </w:rPr>
              <w:t>2021</w:t>
            </w:r>
          </w:p>
        </w:tc>
        <w:tc>
          <w:tcPr>
            <w:tcW w:w="414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Влизане в сила на многогодишните тавани за публичните разходи и тяхното изпълнение в програмата за стабилност за периода 2022—2025 г. през април 2022 г., за да се обхване целият бюджетен цикъл за 2023 г.</w:t>
            </w:r>
          </w:p>
        </w:tc>
      </w:tr>
      <w:tr w:rsidR="00D4086A">
        <w:trPr>
          <w:trHeight w:val="30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sz w:val="20"/>
                <w:szCs w:val="20"/>
              </w:rPr>
              <w:t>3</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18 – Здравословни, устойчиви и конкурентоспособни публични финанси – реформа 3: Реформа на управлението на публичните инвестиции</w:t>
            </w:r>
          </w:p>
        </w:tc>
        <w:tc>
          <w:tcPr>
            <w:tcW w:w="1169"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Ключов етап</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прилагане на методологията за процедурите за подготовка и приоритизиране на инвестициите</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 xml:space="preserve"> </w:t>
            </w:r>
          </w:p>
          <w:p w:rsidR="00D4086A" w:rsidRDefault="00D5307E">
            <w:pPr>
              <w:rPr>
                <w:rFonts w:ascii="Times New Roman" w:hAnsi="Times New Roman"/>
                <w:noProof/>
                <w:sz w:val="20"/>
                <w:szCs w:val="20"/>
              </w:rPr>
            </w:pPr>
            <w:r>
              <w:rPr>
                <w:rFonts w:ascii="Times New Roman" w:hAnsi="Times New Roman"/>
                <w:noProof/>
                <w:sz w:val="20"/>
                <w:szCs w:val="20"/>
              </w:rPr>
              <w:t xml:space="preserve">Оценка на проектите за публични инвестиции, осъществени в съответствие с приета методология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 xml:space="preserve"> </w:t>
            </w:r>
          </w:p>
        </w:tc>
        <w:tc>
          <w:tcPr>
            <w:tcW w:w="1383"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sz w:val="20"/>
                <w:szCs w:val="20"/>
              </w:rPr>
              <w:t>Т2</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jc w:val="center"/>
              <w:rPr>
                <w:rFonts w:ascii="Times New Roman" w:hAnsi="Times New Roman"/>
                <w:noProof/>
                <w:sz w:val="20"/>
                <w:szCs w:val="20"/>
              </w:rPr>
            </w:pPr>
            <w:r>
              <w:rPr>
                <w:rFonts w:ascii="Times New Roman" w:hAnsi="Times New Roman"/>
                <w:noProof/>
                <w:sz w:val="20"/>
                <w:szCs w:val="20"/>
              </w:rPr>
              <w:t>2026</w:t>
            </w:r>
          </w:p>
        </w:tc>
        <w:tc>
          <w:tcPr>
            <w:tcW w:w="4145" w:type="dxa"/>
            <w:tcBorders>
              <w:top w:val="single" w:sz="8" w:space="0" w:color="auto"/>
              <w:left w:val="single" w:sz="8" w:space="0" w:color="auto"/>
              <w:bottom w:val="single" w:sz="8" w:space="0" w:color="auto"/>
              <w:right w:val="single" w:sz="8" w:space="0" w:color="auto"/>
            </w:tcBorders>
            <w:shd w:val="clear" w:color="auto" w:fill="C6EFCE"/>
            <w:vAlign w:val="center"/>
          </w:tcPr>
          <w:p w:rsidR="00D4086A" w:rsidRDefault="00D5307E">
            <w:pPr>
              <w:rPr>
                <w:rFonts w:ascii="Times New Roman" w:hAnsi="Times New Roman"/>
                <w:noProof/>
                <w:sz w:val="20"/>
                <w:szCs w:val="20"/>
              </w:rPr>
            </w:pPr>
            <w:r>
              <w:rPr>
                <w:rFonts w:ascii="Times New Roman" w:hAnsi="Times New Roman"/>
                <w:noProof/>
                <w:sz w:val="20"/>
                <w:szCs w:val="20"/>
              </w:rPr>
              <w:t>Подготовката и оценката на всички съответни проекти за публични инвестиции се извършват в съответствие с публикуваната методология за хармонизиране н</w:t>
            </w:r>
            <w:r>
              <w:rPr>
                <w:rFonts w:ascii="Times New Roman" w:hAnsi="Times New Roman"/>
                <w:noProof/>
                <w:sz w:val="20"/>
                <w:szCs w:val="20"/>
              </w:rPr>
              <w:t xml:space="preserve">а подготовката и приоритизирането. Оценката се извършва от Министерството на финансите и се прилага за всички нови инвестиционни проекти на национално равнище в размер над 1 млн. EUR, както е видно от документацията на избраните проекти. Методологията има </w:t>
            </w:r>
            <w:r>
              <w:rPr>
                <w:rFonts w:ascii="Times New Roman" w:hAnsi="Times New Roman"/>
                <w:noProof/>
                <w:sz w:val="20"/>
                <w:szCs w:val="20"/>
              </w:rPr>
              <w:t>за цел създаването на портфейл от инвестиционни проекти на секторно равнище и увеличаването на съотношението разходи/ползи за нови инвестиционни проекти.</w:t>
            </w:r>
          </w:p>
        </w:tc>
      </w:tr>
    </w:tbl>
    <w:p w:rsidR="00D4086A" w:rsidRDefault="00D5307E">
      <w:pPr>
        <w:pStyle w:val="NumPar1"/>
        <w:rPr>
          <w:b/>
          <w:noProof/>
        </w:rPr>
      </w:pPr>
      <w:r>
        <w:rPr>
          <w:b/>
          <w:noProof/>
        </w:rPr>
        <w:t>Прогнозни общи разходи за плана за възстановяване и устойчивост</w:t>
      </w:r>
    </w:p>
    <w:p w:rsidR="00D4086A" w:rsidRDefault="00D5307E">
      <w:pPr>
        <w:pStyle w:val="Text1"/>
        <w:rPr>
          <w:noProof/>
        </w:rPr>
      </w:pPr>
      <w:r>
        <w:rPr>
          <w:noProof/>
        </w:rPr>
        <w:t xml:space="preserve">Прогнозните общи разходи за плана за </w:t>
      </w:r>
      <w:r>
        <w:rPr>
          <w:noProof/>
        </w:rPr>
        <w:t>възстановяване и устойчивост на Словакия възлизат на 6 575 000 000 EUR.</w:t>
      </w:r>
      <w:r>
        <w:rPr>
          <w:noProof/>
          <w:szCs w:val="24"/>
        </w:rPr>
        <w:fldChar w:fldCharType="begin"/>
      </w:r>
      <w:r>
        <w:rPr>
          <w:noProof/>
          <w:szCs w:val="24"/>
        </w:rPr>
        <w:instrText xml:space="preserve"> LINK Excel.Sheet.12 "\\\\NET1.cec.eu.int\\homes\\085\\garcpbl\\Desktop\\CID - Components.xlsx" "T1 Míľniky a Ciele (18)!R3C1:R7C11" \a \f 4 \h  \* MERGEFORMAT </w:instrText>
      </w:r>
      <w:r>
        <w:rPr>
          <w:noProof/>
          <w:szCs w:val="24"/>
        </w:rPr>
        <w:fldChar w:fldCharType="separate"/>
      </w:r>
    </w:p>
    <w:p w:rsidR="00D4086A" w:rsidRDefault="00D5307E">
      <w:pPr>
        <w:jc w:val="both"/>
        <w:rPr>
          <w:noProof/>
        </w:rPr>
      </w:pPr>
      <w:r>
        <w:rPr>
          <w:rFonts w:ascii="Times New Roman" w:hAnsi="Times New Roman"/>
          <w:noProof/>
          <w:sz w:val="24"/>
        </w:rPr>
        <w:fldChar w:fldCharType="end"/>
      </w:r>
      <w:r>
        <w:rPr>
          <w:rFonts w:ascii="Times New Roman" w:hAnsi="Times New Roman"/>
          <w:noProof/>
          <w:sz w:val="24"/>
          <w:szCs w:val="24"/>
        </w:rPr>
        <w:fldChar w:fldCharType="begin"/>
      </w:r>
      <w:r>
        <w:rPr>
          <w:rFonts w:ascii="Times New Roman" w:hAnsi="Times New Roman"/>
          <w:noProof/>
          <w:sz w:val="24"/>
          <w:szCs w:val="24"/>
        </w:rPr>
        <w:instrText xml:space="preserve"> LINK Excel.Sheet.12 "\\\\NET1.cec.eu.int\\homes\\085\\garcpbl\\Desktop\\CID - Components.xlsx" "T1 Míľniky a Ciele (18)!R3C1:R7C11" \a \f 4 \h  \* MERGEFORMAT </w:instrText>
      </w:r>
      <w:r>
        <w:rPr>
          <w:rFonts w:ascii="Times New Roman" w:hAnsi="Times New Roman"/>
          <w:noProof/>
          <w:sz w:val="24"/>
          <w:szCs w:val="24"/>
        </w:rPr>
        <w:fldChar w:fldCharType="separate"/>
      </w:r>
    </w:p>
    <w:p w:rsidR="00D4086A" w:rsidRDefault="00D5307E">
      <w:pPr>
        <w:jc w:val="both"/>
        <w:rPr>
          <w:rFonts w:ascii="Times New Roman" w:hAnsi="Times New Roman"/>
          <w:noProof/>
          <w:sz w:val="24"/>
        </w:rPr>
        <w:sectPr w:rsidR="00D4086A">
          <w:headerReference w:type="even" r:id="rId228"/>
          <w:headerReference w:type="default" r:id="rId229"/>
          <w:footerReference w:type="even" r:id="rId230"/>
          <w:footerReference w:type="default" r:id="rId231"/>
          <w:headerReference w:type="first" r:id="rId232"/>
          <w:footerReference w:type="first" r:id="rId233"/>
          <w:pgSz w:w="16839" w:h="11907" w:orient="landscape"/>
          <w:pgMar w:top="426" w:right="1134" w:bottom="1418" w:left="1134" w:header="709" w:footer="709" w:gutter="0"/>
          <w:cols w:space="720"/>
          <w:docGrid w:linePitch="360"/>
        </w:sectPr>
      </w:pPr>
      <w:r>
        <w:rPr>
          <w:rFonts w:ascii="Times New Roman" w:hAnsi="Times New Roman"/>
          <w:noProof/>
          <w:sz w:val="24"/>
        </w:rPr>
        <w:fldChar w:fldCharType="end"/>
      </w:r>
    </w:p>
    <w:p w:rsidR="00D4086A" w:rsidRDefault="00D5307E">
      <w:pPr>
        <w:spacing w:before="120" w:after="120"/>
        <w:rPr>
          <w:rFonts w:ascii="Times New Roman" w:hAnsi="Times New Roman"/>
          <w:noProof/>
          <w:sz w:val="24"/>
        </w:rPr>
      </w:pPr>
      <w:r>
        <w:rPr>
          <w:rFonts w:ascii="Times New Roman" w:hAnsi="Times New Roman"/>
          <w:b/>
          <w:bCs/>
          <w:noProof/>
          <w:sz w:val="24"/>
        </w:rPr>
        <w:t xml:space="preserve">РАЗДЕЛ 2: ФИНАНСОВА ПОДКРЕПА </w:t>
      </w:r>
    </w:p>
    <w:p w:rsidR="00D4086A" w:rsidRDefault="00D5307E">
      <w:pPr>
        <w:pStyle w:val="ListParagraph"/>
        <w:numPr>
          <w:ilvl w:val="0"/>
          <w:numId w:val="49"/>
        </w:numPr>
        <w:tabs>
          <w:tab w:val="num" w:pos="850"/>
        </w:tabs>
        <w:spacing w:before="120" w:after="120" w:line="240" w:lineRule="auto"/>
        <w:jc w:val="both"/>
        <w:rPr>
          <w:rFonts w:ascii="Times New Roman" w:hAnsi="Times New Roman"/>
          <w:b/>
          <w:noProof/>
          <w:sz w:val="24"/>
        </w:rPr>
      </w:pPr>
      <w:r>
        <w:rPr>
          <w:rFonts w:ascii="Times New Roman" w:hAnsi="Times New Roman"/>
          <w:b/>
          <w:noProof/>
          <w:sz w:val="24"/>
        </w:rPr>
        <w:t xml:space="preserve">Финансиране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Вноските, посочени в член 2, параграф 2, се организират по следния начин:</w:t>
      </w:r>
    </w:p>
    <w:p w:rsidR="00D4086A" w:rsidRDefault="00D4086A">
      <w:pPr>
        <w:spacing w:before="120" w:after="120" w:line="240" w:lineRule="auto"/>
        <w:jc w:val="both"/>
        <w:rPr>
          <w:rFonts w:ascii="Times New Roman" w:hAnsi="Times New Roman"/>
          <w:noProof/>
          <w:sz w:val="24"/>
        </w:rPr>
      </w:pPr>
    </w:p>
    <w:p w:rsidR="00D4086A" w:rsidRDefault="00D5307E">
      <w:pPr>
        <w:pStyle w:val="NumPar2"/>
        <w:numPr>
          <w:ilvl w:val="1"/>
          <w:numId w:val="49"/>
        </w:numPr>
        <w:rPr>
          <w:b/>
          <w:noProof/>
        </w:rPr>
      </w:pPr>
      <w:r>
        <w:rPr>
          <w:b/>
          <w:noProof/>
        </w:rPr>
        <w:t xml:space="preserve">Първа вноска (безвъзмездна подкрепа): </w:t>
      </w:r>
    </w:p>
    <w:p w:rsidR="00D4086A" w:rsidRDefault="00D4086A">
      <w:pPr>
        <w:rPr>
          <w:noProof/>
        </w:rPr>
      </w:pPr>
    </w:p>
    <w:tbl>
      <w:tblPr>
        <w:tblW w:w="10572" w:type="dxa"/>
        <w:tblInd w:w="-601" w:type="dxa"/>
        <w:tblLook w:val="04A0" w:firstRow="1" w:lastRow="0" w:firstColumn="1" w:lastColumn="0" w:noHBand="0" w:noVBand="1"/>
      </w:tblPr>
      <w:tblGrid>
        <w:gridCol w:w="1277"/>
        <w:gridCol w:w="3969"/>
        <w:gridCol w:w="1178"/>
        <w:gridCol w:w="4148"/>
      </w:tblGrid>
      <w:tr w:rsidR="00D4086A">
        <w:trPr>
          <w:trHeight w:val="1320"/>
        </w:trPr>
        <w:tc>
          <w:tcPr>
            <w:tcW w:w="1277"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Пореден номер</w:t>
            </w:r>
          </w:p>
        </w:tc>
        <w:tc>
          <w:tcPr>
            <w:tcW w:w="3969"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Свързана мярка (реформа или инвестиция)</w:t>
            </w:r>
          </w:p>
        </w:tc>
        <w:tc>
          <w:tcPr>
            <w:tcW w:w="1178"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Ключов етап / Цел</w:t>
            </w:r>
          </w:p>
        </w:tc>
        <w:tc>
          <w:tcPr>
            <w:tcW w:w="4148"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Наименование</w:t>
            </w:r>
          </w:p>
        </w:tc>
      </w:tr>
      <w:tr w:rsidR="00D4086A">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 – Възобновяеми енергийни източници и енергийна инфраструктура-Реформа 1: Адаптиране на правната рамка в областта на електроенергията </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4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Освобождаване на ограниченията върху техническите мощности за пренос на електроенергия в рамките на словашка</w:t>
            </w:r>
            <w:r>
              <w:rPr>
                <w:noProof/>
                <w:color w:val="000000"/>
              </w:rPr>
              <w:t xml:space="preserve">та електроенергийна система </w:t>
            </w:r>
          </w:p>
        </w:tc>
      </w:tr>
      <w:tr w:rsidR="00D4086A">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3 – Устойчив транспорт – Реформа 1: Реформа на подготовката на инвестиционни проекти в областта на транспорта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4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Инвестиционен план за проекти за железопътна инфраструктура</w:t>
            </w:r>
          </w:p>
        </w:tc>
      </w:tr>
      <w:tr w:rsidR="00D4086A">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3 – Устойчив транспорт – Реформа 1: </w:t>
            </w:r>
            <w:r>
              <w:rPr>
                <w:noProof/>
                <w:color w:val="000000"/>
              </w:rPr>
              <w:t>Реформа на подготовката на инвестиционни проекти в областта на транспорта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4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Методология за подбор, подготовка и изпълнение на проекти за колоездене</w:t>
            </w:r>
          </w:p>
        </w:tc>
      </w:tr>
      <w:tr w:rsidR="00D4086A">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4</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8 – Увеличаване на резултатите на словашките висши учебни заведения – Реформа 4: Реформа на упр</w:t>
            </w:r>
            <w:r>
              <w:rPr>
                <w:noProof/>
                <w:color w:val="000000"/>
              </w:rPr>
              <w:t>авлението на университетите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4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Реформата на системата за управление на висшите учебни заведения</w:t>
            </w:r>
          </w:p>
        </w:tc>
      </w:tr>
      <w:tr w:rsidR="00D4086A">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5</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8 – Увеличаване на резултатите на словашките висши учебни заведения-Реформа 5: Концентрация на отличния образователен и научноизследователски </w:t>
            </w:r>
            <w:r>
              <w:rPr>
                <w:noProof/>
                <w:color w:val="000000"/>
              </w:rPr>
              <w:t>капацитет</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4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 Започване на обединяването на университети в по-големи единици</w:t>
            </w:r>
          </w:p>
        </w:tc>
      </w:tr>
      <w:tr w:rsidR="00D4086A">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6</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9 – По-ефективно управление и укрепване на финансирането на НИРДИ – Реформа 2: Реформа на организацията и финансирането на нестопански научноизследователски институции</w:t>
            </w:r>
            <w:r>
              <w:rPr>
                <w:noProof/>
                <w:color w:val="000000"/>
              </w:rPr>
              <w:t>, по-специално Словашката академия на науките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4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rPr>
              <w:t>Реформа на Словашката академия на науките (SaS)</w:t>
            </w:r>
          </w:p>
        </w:tc>
      </w:tr>
      <w:tr w:rsidR="00D4086A">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7</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10 – Привличане и задържане на таланти-Инвестиции 4: Насърчаване на интернационализацията в академичната среда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4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Стратегия за </w:t>
            </w:r>
            <w:r>
              <w:rPr>
                <w:noProof/>
                <w:color w:val="000000"/>
              </w:rPr>
              <w:t>интернационализация на университетите</w:t>
            </w:r>
          </w:p>
        </w:tc>
      </w:tr>
      <w:tr w:rsidR="00D4086A">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8</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15 – Съдебна реформа – Реформа 2:Борба с корупцията и укрепване на почтеността и независимостта на съдебната система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4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Пакет от закони за борба с корупцията и укрепване на почтеността и независимостта на с</w:t>
            </w:r>
            <w:r>
              <w:rPr>
                <w:noProof/>
                <w:color w:val="000000"/>
              </w:rPr>
              <w:t>ъдебната система</w:t>
            </w:r>
          </w:p>
        </w:tc>
      </w:tr>
      <w:tr w:rsidR="00D4086A">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9</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15 – Съдебна реформа – Реформа 1:Реформа на Съдебната карта – Законодателство</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4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Определяне на нова съдебна карта </w:t>
            </w:r>
          </w:p>
        </w:tc>
      </w:tr>
      <w:tr w:rsidR="00D4086A">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10</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16 – Борба с корупцията и изпирането на пари – реформа 2: Модернизация и изграждане на капацитет на </w:t>
            </w:r>
            <w:r>
              <w:rPr>
                <w:noProof/>
                <w:color w:val="000000"/>
              </w:rPr>
              <w:t>полицейските сили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4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Въвеждане на организационни промени в полицията с цел повишаване на ефективността на разкриването, разследването и разкриването на престъпления</w:t>
            </w:r>
          </w:p>
        </w:tc>
      </w:tr>
      <w:tr w:rsidR="00D4086A">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11</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16 – Борба с корупцията и изпирането на пари – инвестиции 4: Укрепване на адми</w:t>
            </w:r>
            <w:r>
              <w:rPr>
                <w:noProof/>
                <w:color w:val="000000"/>
              </w:rPr>
              <w:t xml:space="preserve">нистративния капацитет на различните равнища на управление – създаване на национален орган за прилагане и координация </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4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Одит и контрол: правно основание</w:t>
            </w:r>
          </w:p>
        </w:tc>
      </w:tr>
      <w:tr w:rsidR="00D4086A">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12</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16 – Борба с корупцията и изпирането на пари – инвестиции 4: Укрепване на административн</w:t>
            </w:r>
            <w:r>
              <w:rPr>
                <w:noProof/>
                <w:color w:val="000000"/>
              </w:rPr>
              <w:t xml:space="preserve">ия капацитет на различните равнища на управление – създаване на национален орган за изпълнение и координация </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4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Система RRP Repository: информация за мониторинг на изпълнението на ПРП</w:t>
            </w:r>
          </w:p>
        </w:tc>
      </w:tr>
      <w:tr w:rsidR="00D4086A">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13</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17 – Цифрова Словакия-Реформа 4: Стандартизация на </w:t>
            </w:r>
            <w:r>
              <w:rPr>
                <w:noProof/>
                <w:color w:val="000000"/>
              </w:rPr>
              <w:t>технически и процедурни решения в областта на киберсигурността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4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Национална концепция за информатизация на публичната администрация (NKIVS) 2021—2030 г.</w:t>
            </w:r>
          </w:p>
        </w:tc>
      </w:tr>
      <w:tr w:rsidR="00D4086A">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14</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18 – Равни, устойчиви и конкурентоспособни публични финанси – Реформа 2: Въвеждане на тав</w:t>
            </w:r>
            <w:r>
              <w:rPr>
                <w:noProof/>
                <w:color w:val="000000"/>
              </w:rPr>
              <w:t>ани за разходите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4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Залагане на тавани на разходите в Закон 523/2004 относно бюджетните правила</w:t>
            </w:r>
          </w:p>
        </w:tc>
      </w:tr>
      <w:tr w:rsidR="00D4086A">
        <w:trPr>
          <w:trHeight w:val="659"/>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3969"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1178"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0000"/>
              </w:rPr>
            </w:pPr>
            <w:r>
              <w:rPr>
                <w:noProof/>
                <w:color w:val="000000"/>
              </w:rPr>
              <w:t>Размер на вноската</w:t>
            </w:r>
          </w:p>
        </w:tc>
        <w:tc>
          <w:tcPr>
            <w:tcW w:w="4148"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rPr>
                <w:rFonts w:eastAsia="Times New Roman" w:cs="Calibri"/>
                <w:noProof/>
                <w:color w:val="000000"/>
              </w:rPr>
            </w:pPr>
            <w:r>
              <w:rPr>
                <w:noProof/>
                <w:color w:val="000000"/>
              </w:rPr>
              <w:t>458 277 000 EUR</w:t>
            </w:r>
          </w:p>
        </w:tc>
      </w:tr>
    </w:tbl>
    <w:p w:rsidR="00D4086A" w:rsidRDefault="00D4086A">
      <w:pPr>
        <w:rPr>
          <w:noProof/>
        </w:rPr>
      </w:pPr>
    </w:p>
    <w:p w:rsidR="00D4086A" w:rsidRDefault="00D5307E">
      <w:pPr>
        <w:pStyle w:val="NumPar2"/>
        <w:numPr>
          <w:ilvl w:val="1"/>
          <w:numId w:val="49"/>
        </w:numPr>
        <w:rPr>
          <w:b/>
          <w:noProof/>
        </w:rPr>
      </w:pPr>
      <w:r>
        <w:rPr>
          <w:b/>
          <w:noProof/>
        </w:rPr>
        <w:t>Втора вноска (безвъзмездна подкрепа):</w:t>
      </w:r>
    </w:p>
    <w:p w:rsidR="00D4086A" w:rsidRDefault="00D5307E">
      <w:pPr>
        <w:pStyle w:val="NumPar2"/>
        <w:numPr>
          <w:ilvl w:val="0"/>
          <w:numId w:val="0"/>
        </w:numPr>
        <w:ind w:left="850"/>
        <w:rPr>
          <w:noProof/>
        </w:rPr>
      </w:pPr>
      <w:r>
        <w:rPr>
          <w:noProof/>
        </w:rPr>
        <w:t xml:space="preserve"> </w:t>
      </w:r>
    </w:p>
    <w:tbl>
      <w:tblPr>
        <w:tblW w:w="10632" w:type="dxa"/>
        <w:tblInd w:w="-601" w:type="dxa"/>
        <w:tblLook w:val="04A0" w:firstRow="1" w:lastRow="0" w:firstColumn="1" w:lastColumn="0" w:noHBand="0" w:noVBand="1"/>
      </w:tblPr>
      <w:tblGrid>
        <w:gridCol w:w="1276"/>
        <w:gridCol w:w="3969"/>
        <w:gridCol w:w="1178"/>
        <w:gridCol w:w="4209"/>
      </w:tblGrid>
      <w:tr w:rsidR="00D4086A">
        <w:trPr>
          <w:trHeight w:val="660"/>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Пореден номер</w:t>
            </w:r>
          </w:p>
        </w:tc>
        <w:tc>
          <w:tcPr>
            <w:tcW w:w="3969"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Свързана мярка (реформа или инвестиция)</w:t>
            </w:r>
          </w:p>
        </w:tc>
        <w:tc>
          <w:tcPr>
            <w:tcW w:w="1178"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 xml:space="preserve">Ключов етап / </w:t>
            </w:r>
            <w:r>
              <w:rPr>
                <w:b/>
                <w:bCs/>
                <w:noProof/>
                <w:color w:val="000000"/>
              </w:rPr>
              <w:t>Цел</w:t>
            </w:r>
          </w:p>
        </w:tc>
        <w:tc>
          <w:tcPr>
            <w:tcW w:w="4209"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Наименование</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2 – Реновиране на сгради – Реформа 3: Управление на строителни отпадъци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Изменението на Закона за отпадъците </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5 – Адаптиране към изменението на климата – инвестиции 1: Адаптиране на регионите към изменението на климата с </w:t>
            </w:r>
            <w:r>
              <w:rPr>
                <w:noProof/>
                <w:color w:val="000000"/>
              </w:rPr>
              <w:t>акцент върху опазването на природата и развитието на биологичното разнообразие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Списък на избраните проекти за регионите Muránska Planina и Polonina</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6 – Достъпност, развитие и качество на приобщаващото образование – инвестиции 1: Премахване на бариер</w:t>
            </w:r>
            <w:r>
              <w:rPr>
                <w:noProof/>
                <w:color w:val="000000"/>
              </w:rPr>
              <w:t xml:space="preserve">ите в училищните сгради </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Въвеждане на определение за стандарт за премахване на бариерите, създаване на наръчник за премахване на бариерите и очертаване на потребностите на училищата на всички равнища на образованието</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4</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8 – Увеличаване на резул</w:t>
            </w:r>
            <w:r>
              <w:rPr>
                <w:noProof/>
                <w:color w:val="000000"/>
              </w:rPr>
              <w:t>татите на словашките висши учебни заведения – Реформа 2: Въвеждане на система за периодична научна оценка на резултатите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Определяне на системата за периодична оценка на научните постижения, въведена със Закон № 172/2005</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5</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9 – По-ефективно </w:t>
            </w:r>
            <w:r>
              <w:rPr>
                <w:noProof/>
                <w:color w:val="000000"/>
              </w:rPr>
              <w:t>управление и укрепване на финансирането на научните изследвания, развойната дейност и иновациите – Реформа 1: Реформа на управлението, оценката и подкрепата в областта на науката, научните изследвания и иновациите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Реформа на управлението и подк</w:t>
            </w:r>
            <w:r>
              <w:rPr>
                <w:noProof/>
                <w:color w:val="000000"/>
              </w:rPr>
              <w:t>репа за научните изследвания, развойната дейност и иновациите.</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6</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10 – Привличане и задържане на таланти- Реформа 1: Реформа на законодателството в областта на пребиваването и труда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Улесняване на завръщането в страната и увеличаване на привлека</w:t>
            </w:r>
            <w:r>
              <w:rPr>
                <w:noProof/>
                <w:color w:val="000000"/>
              </w:rPr>
              <w:t>телността на страната за чужденците със семейни връзки</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7</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10 – Привличане и задържане на таланти-Реформа 1: Реформа на законодателството в областта на пребиваването и труда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Схема за определяне на нова категория кандидати за национална виза (Г).</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8</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10 – Привличане и задържане на таланти- Реформа 2: Опростяване на режима за признаване на квалификации и професионални квалификации за упражняване на регулирани професии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Опростяване на признаването на образователните и професионалните квали</w:t>
            </w:r>
            <w:r>
              <w:rPr>
                <w:noProof/>
                <w:color w:val="000000"/>
              </w:rPr>
              <w:t xml:space="preserve">фикации </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9</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11 – Модерно и достъпно здравеопазване-Реформа 1 Оптимизиране на болничната мрежа (ООН)</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Въвеждане на болничната мрежа</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10</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11 – Модерно и достъпно здравеопазване – Реформа 2 Реформа на изготвянето на инвестиционни планове в областта </w:t>
            </w:r>
            <w:r>
              <w:rPr>
                <w:noProof/>
                <w:color w:val="000000"/>
              </w:rPr>
              <w:t>на здравеопазването</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Приоритетен инвестиционен план съгласно методиката за оценка на инвестициите, приета от Министерството на здравеопазването </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11</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11 – Модерно и достъпно здравеопазване- Реформа 5 Реформа на предоставянето на първична медицинс</w:t>
            </w:r>
            <w:r>
              <w:rPr>
                <w:noProof/>
                <w:color w:val="000000"/>
              </w:rPr>
              <w:t>ка помощ за възрастни, деца и младежи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 Новият закон за създаване на мрежа от доставчици на общи грижи и въвеждането на зониране</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12</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13 – Достъпни и висококачествени дългосрочни социално-здравни грижи – Реформа на надзора на социалните грижи и о</w:t>
            </w:r>
            <w:r>
              <w:rPr>
                <w:noProof/>
                <w:color w:val="000000"/>
              </w:rPr>
              <w:t>сигуряване на инфраструктура за неговото изпълнение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Реформа на надзора на социалните грижи</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13</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14 – Подобряване на бизнес средата – Реформа 3: Реформа на обществените поръчки – адаптиране на законодателството</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Реформа на Закона за процедурите за възлагане на обществени поръчки </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14</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16 – Борба с корупцията и изпирането на пари – Реформа 1: Повишаване на ефективността на борбата с корупцията и с изпирането на пари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Реформи за рационализиране и подобрява</w:t>
            </w:r>
            <w:r>
              <w:rPr>
                <w:noProof/>
                <w:color w:val="000000"/>
              </w:rPr>
              <w:t xml:space="preserve">не на финансовите разследвания </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15</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 – Цифрова Словакия – инвестиции 4: Подкрепа за проекти, насочени към разработването и прилагането на водещи цифрови технологии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Разработване на схема за подпомагане на разработването и прилагането на водещи</w:t>
            </w:r>
            <w:r>
              <w:rPr>
                <w:noProof/>
                <w:color w:val="000000"/>
              </w:rPr>
              <w:t xml:space="preserve"> цифрови технологии</w:t>
            </w:r>
          </w:p>
        </w:tc>
      </w:tr>
      <w:tr w:rsidR="00D4086A">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16</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 – Цифрова Словакия – инвестиции 7: Подобряване на цифровите умения на възрастните хора и разпространението на таблети за възрастни хора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Брой възрастни хора и лица в неравностойно положение, обучени за придобиване на основни </w:t>
            </w:r>
            <w:r>
              <w:rPr>
                <w:noProof/>
                <w:color w:val="000000"/>
              </w:rPr>
              <w:t>цифрови умения</w:t>
            </w:r>
          </w:p>
        </w:tc>
      </w:tr>
      <w:tr w:rsidR="00D4086A">
        <w:trPr>
          <w:trHeight w:val="586"/>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3969"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1178"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0000"/>
              </w:rPr>
            </w:pPr>
            <w:r>
              <w:rPr>
                <w:noProof/>
                <w:color w:val="000000"/>
              </w:rPr>
              <w:t>Размер на вноската</w:t>
            </w:r>
          </w:p>
        </w:tc>
        <w:tc>
          <w:tcPr>
            <w:tcW w:w="4209"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rPr>
                <w:rFonts w:eastAsia="Times New Roman" w:cs="Calibri"/>
                <w:noProof/>
                <w:color w:val="000000"/>
              </w:rPr>
            </w:pPr>
            <w:r>
              <w:rPr>
                <w:noProof/>
                <w:color w:val="000000"/>
              </w:rPr>
              <w:t>814 715 000 EUR</w:t>
            </w:r>
          </w:p>
        </w:tc>
      </w:tr>
    </w:tbl>
    <w:p w:rsidR="00D4086A" w:rsidRDefault="00D4086A">
      <w:pPr>
        <w:rPr>
          <w:noProof/>
        </w:rPr>
      </w:pPr>
    </w:p>
    <w:p w:rsidR="00D4086A" w:rsidRDefault="00D5307E">
      <w:pPr>
        <w:pStyle w:val="NumPar2"/>
        <w:numPr>
          <w:ilvl w:val="1"/>
          <w:numId w:val="49"/>
        </w:numPr>
        <w:rPr>
          <w:b/>
          <w:noProof/>
        </w:rPr>
      </w:pPr>
      <w:r>
        <w:rPr>
          <w:b/>
          <w:noProof/>
        </w:rPr>
        <w:t xml:space="preserve">Трета вноска (безвъзмездна подкрепа): </w:t>
      </w:r>
    </w:p>
    <w:p w:rsidR="00D4086A" w:rsidRDefault="00D4086A">
      <w:pPr>
        <w:pStyle w:val="Text1"/>
        <w:rPr>
          <w:noProof/>
        </w:rPr>
      </w:pPr>
    </w:p>
    <w:tbl>
      <w:tblPr>
        <w:tblW w:w="10632" w:type="dxa"/>
        <w:tblInd w:w="-601" w:type="dxa"/>
        <w:tblLook w:val="04A0" w:firstRow="1" w:lastRow="0" w:firstColumn="1" w:lastColumn="0" w:noHBand="0" w:noVBand="1"/>
      </w:tblPr>
      <w:tblGrid>
        <w:gridCol w:w="1276"/>
        <w:gridCol w:w="3969"/>
        <w:gridCol w:w="1178"/>
        <w:gridCol w:w="4209"/>
      </w:tblGrid>
      <w:tr w:rsidR="00D4086A">
        <w:trPr>
          <w:trHeight w:val="1290"/>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Пореден номер</w:t>
            </w:r>
          </w:p>
        </w:tc>
        <w:tc>
          <w:tcPr>
            <w:tcW w:w="3969"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Свързана мярка (реформа или инвестиция)</w:t>
            </w:r>
          </w:p>
        </w:tc>
        <w:tc>
          <w:tcPr>
            <w:tcW w:w="1178"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Ключов етап / Цел</w:t>
            </w:r>
          </w:p>
        </w:tc>
        <w:tc>
          <w:tcPr>
            <w:tcW w:w="4209"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Наименование</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 – Възобновяеми енергийни източници и енергийна инфраструктура – </w:t>
            </w:r>
            <w:r>
              <w:rPr>
                <w:noProof/>
                <w:color w:val="000000"/>
              </w:rPr>
              <w:t>Реформа 1: Адаптиране на правната рамка в областта на електроенергията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Реформа на пазара на електроенергия</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 – Възобновяеми енергийни източници и енергийна инфраструктура- Реформа 2: Правна рамка за насърчаване на възобновяемите енергийни </w:t>
            </w:r>
            <w:r>
              <w:rPr>
                <w:noProof/>
                <w:color w:val="000000"/>
              </w:rPr>
              <w:t>източници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Рамка за подкрепа на инвестициите в нови възобновяеми източници </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2 – Реновиране на сгради – Реформа 1: Хармонизиране на механизмите за подпомагане на реновирането на семейни жилища  </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 План за изпълнение за мобилизиране </w:t>
            </w:r>
            <w:r>
              <w:rPr>
                <w:noProof/>
                <w:color w:val="000000"/>
              </w:rPr>
              <w:t xml:space="preserve">на екологосъобразно реновиране на семейните къщи </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4</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2 – Реновиране на сгради – Реформа 1:  Подобряване на енергийната ефективност на семейните къщи </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 Стартиране на схеми за подпомагане за мобилизиране на икономии на енергия и екологосъобразно реновиране </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5</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3 – Устойчив транспорт – Реформа 3: Реформа на интермодалния товарен транспорт </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Концепция и призиви за нови схеми за подпомагане</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6</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3 –</w:t>
            </w:r>
            <w:r>
              <w:rPr>
                <w:noProof/>
                <w:color w:val="000000"/>
              </w:rPr>
              <w:t xml:space="preserve"> Устойчив транспорт – Реформа 4: Въвеждане на нови политики за дългосрочно насърчаване на алтернативните горива в транспортния сектор</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Нов пакет от мерки за насърчаване на алтернативните задвижвания</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7</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rPr>
                <w:rFonts w:eastAsia="Times New Roman" w:cs="Calibri"/>
                <w:noProof/>
                <w:color w:val="000000"/>
              </w:rPr>
            </w:pPr>
            <w:r>
              <w:rPr>
                <w:noProof/>
                <w:color w:val="000000"/>
              </w:rPr>
              <w:t xml:space="preserve">4 – Декарбонизация на промишлеността – </w:t>
            </w:r>
            <w:r>
              <w:rPr>
                <w:noProof/>
                <w:color w:val="000000"/>
              </w:rPr>
              <w:t>Реформа 2:Схема за конкурентоспособност за намаляване на емисиите на парникови газове в промишлеността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rPr>
                <w:rFonts w:eastAsia="Times New Roman" w:cs="Calibri"/>
                <w:noProof/>
                <w:color w:val="000000"/>
              </w:rPr>
            </w:pPr>
            <w:r>
              <w:rPr>
                <w:noProof/>
                <w:color w:val="000000"/>
              </w:rPr>
              <w:t>Приемане на схемата за декарбонизация на промишлеността</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8</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5 – Адаптиране към изменението на климата – Реформа 1: Реформа на териториалното у</w:t>
            </w:r>
            <w:r>
              <w:rPr>
                <w:noProof/>
                <w:color w:val="000000"/>
              </w:rPr>
              <w:t>стройство</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Реформата на териториалното устройство </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9</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6 – Достъпност, развитие и качество на приобщаващото образование – Реформа 1: Осигуряване на условия за прилагане на задължително предучилищно образование за деца на петгодишна възраст и въве</w:t>
            </w:r>
            <w:r>
              <w:rPr>
                <w:noProof/>
                <w:color w:val="000000"/>
              </w:rPr>
              <w:t>ждане на законно право на място в детска градина или други доставчици на предучилищно образование след навършване на тригодишна възраст</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Дял на записаните ученици в предучилищните училища за деца на петгодишна възраст</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10</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6 – Достъпност, развитие и </w:t>
            </w:r>
            <w:r>
              <w:rPr>
                <w:noProof/>
                <w:color w:val="000000"/>
              </w:rPr>
              <w:t>качество на приобщаващото образование – реформа 1:1. Осигуряване на условия за прилагане на задължително предучилищно образование за деца на петгодишна възраст и въвеждане на законно право на място в детска градина или други доставчици на предучилищно обра</w:t>
            </w:r>
            <w:r>
              <w:rPr>
                <w:noProof/>
                <w:color w:val="000000"/>
              </w:rPr>
              <w:t>зование след навършване на тригодишна възраст</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Въвеждане на правни промени в задължителното предучилищно образование за деца на петгодишна възраст и въвеждане на законно право на място в детска градина или други доставчици на предучилищно образо</w:t>
            </w:r>
            <w:r>
              <w:rPr>
                <w:noProof/>
                <w:color w:val="000000"/>
              </w:rPr>
              <w:t>вание след навършване на тригодишна възраст.</w:t>
            </w:r>
          </w:p>
        </w:tc>
      </w:tr>
      <w:tr w:rsidR="00D4086A">
        <w:trPr>
          <w:trHeight w:val="1290"/>
        </w:trPr>
        <w:tc>
          <w:tcPr>
            <w:tcW w:w="1276" w:type="dxa"/>
            <w:tcBorders>
              <w:top w:val="nil"/>
              <w:left w:val="single" w:sz="8" w:space="0" w:color="auto"/>
              <w:bottom w:val="nil"/>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11</w:t>
            </w:r>
          </w:p>
        </w:tc>
        <w:tc>
          <w:tcPr>
            <w:tcW w:w="3969" w:type="dxa"/>
            <w:tcBorders>
              <w:top w:val="nil"/>
              <w:left w:val="nil"/>
              <w:bottom w:val="nil"/>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6 – Достъпност, развитие и качество на приобщаващото образование – Реформа 2:Определяне на понятието за специални образователни потребности на децата и учениците и разработване на модел за допустими мерки за</w:t>
            </w:r>
            <w:r>
              <w:rPr>
                <w:noProof/>
                <w:color w:val="000000"/>
              </w:rPr>
              <w:t xml:space="preserve"> подкрепа в образованието и образованието, включително тяхната система за финансиране</w:t>
            </w:r>
          </w:p>
        </w:tc>
        <w:tc>
          <w:tcPr>
            <w:tcW w:w="1178" w:type="dxa"/>
            <w:tcBorders>
              <w:top w:val="nil"/>
              <w:left w:val="nil"/>
              <w:bottom w:val="nil"/>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nil"/>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Приемане на закон за предефиниране на понятието „специални образователни потребности“ и изготвяне на придружаващи методологични материали за преподавателския </w:t>
            </w:r>
            <w:r>
              <w:rPr>
                <w:noProof/>
                <w:color w:val="000000"/>
              </w:rPr>
              <w:t>състав, специализирания персонал и училищните ръководители.</w:t>
            </w:r>
          </w:p>
        </w:tc>
      </w:tr>
      <w:tr w:rsidR="00D4086A">
        <w:trPr>
          <w:trHeight w:val="1290"/>
        </w:trPr>
        <w:tc>
          <w:tcPr>
            <w:tcW w:w="1276"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12</w:t>
            </w:r>
          </w:p>
        </w:tc>
        <w:tc>
          <w:tcPr>
            <w:tcW w:w="3969" w:type="dxa"/>
            <w:tcBorders>
              <w:top w:val="single" w:sz="8" w:space="0" w:color="auto"/>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6 – Достъпност, развитие и качество на приобщаващото образование – Реформа 6: Компенсаторни мерки за смекчаване на въздействието на пандемията върху образованието за учениците в началните и </w:t>
            </w:r>
            <w:r>
              <w:rPr>
                <w:noProof/>
                <w:color w:val="000000"/>
              </w:rPr>
              <w:t>средните училища</w:t>
            </w:r>
          </w:p>
        </w:tc>
        <w:tc>
          <w:tcPr>
            <w:tcW w:w="1178" w:type="dxa"/>
            <w:tcBorders>
              <w:top w:val="single" w:sz="8" w:space="0" w:color="auto"/>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209" w:type="dxa"/>
            <w:tcBorders>
              <w:top w:val="single" w:sz="8" w:space="0" w:color="auto"/>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ученици, участващи в програми за обучение</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13</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8 – Увеличаване на резултатите на словашките висши учебни заведения – инвестиции 1: подкрепа за стратегическото развитие на университетите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Най-малко 2 приключени покани за представяне на предложения за подкрепа на стратегическото развитие на университетите </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14</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8 – Увеличаване на резултатите на словашките висши учебни заведения – Реформа 1: Промяна във финансирането на университетите, </w:t>
            </w:r>
            <w:r>
              <w:rPr>
                <w:noProof/>
                <w:color w:val="000000"/>
              </w:rPr>
              <w:t>включително въвеждане на договори за изпълнение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Въвеждане на договори за изпълнение</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15</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8 – Увеличаване на резултатите на словашките висши учебни заведения – Реформа 2: Въвеждане на система за периодична научна оценка на резултатите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из</w:t>
            </w:r>
            <w:r>
              <w:rPr>
                <w:noProof/>
                <w:color w:val="000000"/>
              </w:rPr>
              <w:t xml:space="preserve">вършени оценки </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16</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8 – Увеличаване на резултатите на словашките висши учебни заведения – Реформа 3:Нов подход към акредитацията на висшето образование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Процент на университетите кандидатстват за проверка на съответствието на вътрешните системи за </w:t>
            </w:r>
            <w:r>
              <w:rPr>
                <w:noProof/>
                <w:color w:val="000000"/>
              </w:rPr>
              <w:t>качество и учебните програми със стандартите</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17</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9 – По-ефективно управление и укрепване на финансирането на научните изследвания, развойната дейност и иновациите – Реформа 1: Реформа на управлението, оценката и подкрепата в областта на науката, научните и</w:t>
            </w:r>
            <w:r>
              <w:rPr>
                <w:noProof/>
                <w:color w:val="000000"/>
              </w:rPr>
              <w:t>зследвания и иновациите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Разработване на националната всеобхватна стратегия за НИРДИ</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18</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9 – По-ефективно управление и укрепване на финансирането на научните изследвания, развойната дейност и иновациите – Инвестиция 1: Насърчаване на международн</w:t>
            </w:r>
            <w:r>
              <w:rPr>
                <w:noProof/>
                <w:color w:val="000000"/>
              </w:rPr>
              <w:t>ото сътрудничество и участие в проекти по „Хоризонт Европа“ и EIT</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Отправяне на покани за представяне на проекти в подкрепа на участието на словашки участници в „Хоризонт Европа“ </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19</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9 – По-ефективно управление и укрепване на финансирането на н</w:t>
            </w:r>
            <w:r>
              <w:rPr>
                <w:noProof/>
                <w:color w:val="000000"/>
              </w:rPr>
              <w:t>аучните изследвания, развойната дейност и иновациите – Инвестиция 2: Подкрепа за сътрудничеството между предприятията, академичните среди и организациите за научни изследвания и развойна дейност</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Отправяне на покани за представяне на проекти в подкрепа на сътрудничеството между предприятията, академичните среди и научноизследователската и развойна дейност; организации за развитие и ваучери </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20</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9 – По-ефективно управление и укрепване на финансиране</w:t>
            </w:r>
            <w:r>
              <w:rPr>
                <w:noProof/>
                <w:color w:val="000000"/>
              </w:rPr>
              <w:t>то на научните изследвания, развойната дейност и иновациите – Инвестиция 3: Високи постижения в научната област</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Отправяне на покани за представяне на предложения в подкрепа на отлични изследователи</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21</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9 – По-ефективно управление и укрепване на</w:t>
            </w:r>
            <w:r>
              <w:rPr>
                <w:noProof/>
                <w:color w:val="000000"/>
              </w:rPr>
              <w:t xml:space="preserve"> финансирането на научните изследвания, развойната дейност и иновациите – Инвестиция 4: Научни изследвания и иновации за декарбонизация на икономиката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Отправяне на покани за представяне на предложения за тематични проекти, насочени към справяне</w:t>
            </w:r>
            <w:r>
              <w:rPr>
                <w:noProof/>
                <w:color w:val="000000"/>
              </w:rPr>
              <w:t xml:space="preserve"> с предизвикателствата на екологичния преход</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22</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9 – По-ефективно управление и укрепване на финансирането на научните изследвания, развойната дейност и иновациите – Инвестиция 5: Научни изследвания и иновации за цифровизацията на икономиката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Отправяне на покани за представяне на предложения за тематични проекти, насочени към преодоляване на предизвикателствата на цифровия преход</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23</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9 – По-ефективно управление и укрепване на финансирането на научните изследвания, развойната дейност и иновациит</w:t>
            </w:r>
            <w:r>
              <w:rPr>
                <w:noProof/>
                <w:color w:val="000000"/>
              </w:rPr>
              <w:t>е – Инвестиция 6: Финансови инструменти в подкрепа на иновациите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Стартиране и прилагане на финансови инструменти в подкрепа на иновациите</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24</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16 – Борба с корупцията и изпирането на пари – инвестиции 4: Укрепване на административния капацитет н</w:t>
            </w:r>
            <w:r>
              <w:rPr>
                <w:noProof/>
                <w:color w:val="000000"/>
              </w:rPr>
              <w:t>а различните равнища на управление – създаване на национален орган за изпълнение и координация</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Свеждане до минимум на риска при изпълнението чрез създаване на координационен, финансов и изпълнителен орган (NIKA) за Механизма за възстановяване и</w:t>
            </w:r>
            <w:r>
              <w:rPr>
                <w:noProof/>
                <w:color w:val="000000"/>
              </w:rPr>
              <w:t xml:space="preserve"> устойчивост</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25</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16 – Борба с корупцията и изпирането на пари – инвестиции 2: Оборудване и цифровизиране на полицейските сили – обновяване на автомобилния парк</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Закупуване на нови превозни средства (10 % от автомобилния парк) на електрически и хибридни </w:t>
            </w:r>
            <w:r>
              <w:rPr>
                <w:noProof/>
                <w:color w:val="000000"/>
              </w:rPr>
              <w:t>превозни средства</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26</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 – Цифрова Словакия – инвестиции 3: Участие в трансгранични европейски проекти, свързани с цифровата икономика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Брой цифрови иновационни центрове в Словакия/Европейски цифров иновационен център за създаване на мрежа </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27</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 – Циф</w:t>
            </w:r>
            <w:r>
              <w:rPr>
                <w:noProof/>
                <w:color w:val="000000"/>
              </w:rPr>
              <w:t>рова Словакия – реформа 1: Създаване на решения на електронното управление за приоритетни житейски ситуации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Инвестиционен план за приоритетни житейски ситуации</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28</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17 – Цифрова Словакия – реформа 3: Управление на цифровата трансформация на </w:t>
            </w:r>
            <w:r>
              <w:rPr>
                <w:noProof/>
                <w:color w:val="000000"/>
              </w:rPr>
              <w:t>икономиката и обществото</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План за действие за цифровата трансформация на Словакия за периода 2023—2026 г.</w:t>
            </w:r>
          </w:p>
        </w:tc>
      </w:tr>
      <w:tr w:rsidR="00D4086A">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29</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 – Цифрова Словакия – реформа 6: Стратегически подход към образованието в областта на цифровите умения в сътрудничество с представите</w:t>
            </w:r>
            <w:r>
              <w:rPr>
                <w:noProof/>
                <w:color w:val="000000"/>
              </w:rPr>
              <w:t>ли на ключови заинтересовани страни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Национална стратегия за цифровите умения</w:t>
            </w:r>
          </w:p>
        </w:tc>
      </w:tr>
      <w:tr w:rsidR="00D4086A">
        <w:trPr>
          <w:trHeight w:val="563"/>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3969"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1178"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0000"/>
              </w:rPr>
            </w:pPr>
            <w:r>
              <w:rPr>
                <w:noProof/>
                <w:color w:val="000000"/>
              </w:rPr>
              <w:t>Размер на вноската</w:t>
            </w:r>
          </w:p>
        </w:tc>
        <w:tc>
          <w:tcPr>
            <w:tcW w:w="4209"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rPr>
                <w:rFonts w:eastAsia="Times New Roman" w:cs="Calibri"/>
                <w:noProof/>
                <w:color w:val="000000"/>
              </w:rPr>
            </w:pPr>
            <w:r>
              <w:rPr>
                <w:noProof/>
                <w:color w:val="000000"/>
              </w:rPr>
              <w:t xml:space="preserve">814 715 000 EUR   </w:t>
            </w:r>
          </w:p>
        </w:tc>
      </w:tr>
    </w:tbl>
    <w:p w:rsidR="00D4086A" w:rsidRDefault="00D4086A">
      <w:pPr>
        <w:pStyle w:val="Text1"/>
        <w:ind w:left="0"/>
        <w:rPr>
          <w:b/>
          <w:noProof/>
        </w:rPr>
      </w:pPr>
    </w:p>
    <w:p w:rsidR="00D4086A" w:rsidRDefault="00D5307E">
      <w:pPr>
        <w:pStyle w:val="NumPar2"/>
        <w:numPr>
          <w:ilvl w:val="1"/>
          <w:numId w:val="49"/>
        </w:numPr>
        <w:rPr>
          <w:b/>
          <w:noProof/>
        </w:rPr>
      </w:pPr>
      <w:r>
        <w:rPr>
          <w:b/>
          <w:noProof/>
        </w:rPr>
        <w:t xml:space="preserve">Четвърти транш (невъзстановима подкрепа): </w:t>
      </w:r>
    </w:p>
    <w:p w:rsidR="00D4086A" w:rsidRDefault="00D4086A">
      <w:pPr>
        <w:pStyle w:val="Text1"/>
        <w:rPr>
          <w:noProof/>
        </w:rPr>
      </w:pPr>
    </w:p>
    <w:tbl>
      <w:tblPr>
        <w:tblW w:w="10632" w:type="dxa"/>
        <w:tblInd w:w="-601" w:type="dxa"/>
        <w:tblLook w:val="04A0" w:firstRow="1" w:lastRow="0" w:firstColumn="1" w:lastColumn="0" w:noHBand="0" w:noVBand="1"/>
      </w:tblPr>
      <w:tblGrid>
        <w:gridCol w:w="1276"/>
        <w:gridCol w:w="3969"/>
        <w:gridCol w:w="1178"/>
        <w:gridCol w:w="4209"/>
      </w:tblGrid>
      <w:tr w:rsidR="00D4086A">
        <w:trPr>
          <w:trHeight w:val="1095"/>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Пореден номер</w:t>
            </w:r>
          </w:p>
        </w:tc>
        <w:tc>
          <w:tcPr>
            <w:tcW w:w="3969"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Свързана мярка (реформа или инвестиция)</w:t>
            </w:r>
          </w:p>
        </w:tc>
        <w:tc>
          <w:tcPr>
            <w:tcW w:w="1178"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Ключов етап / Цел</w:t>
            </w:r>
          </w:p>
        </w:tc>
        <w:tc>
          <w:tcPr>
            <w:tcW w:w="4209"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Наименование</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3 – Устойчив транспорт – Реформа 1: Реформа на подготовката на инвестиционни проекти в областта на транспорта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Изменението на Закона за железниците и свързаните с него наредби относно параметрите на транспортната инфраструктура</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3 – Устойчив транспорт – Реформа 2: Реформа на обществения пътнически транспорт</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Нов закон за обществения пътнически транспорт</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6 – Достъпност, развитие и качество на приобщаващото образование – реформа 2: Определяне на понятието „специални </w:t>
            </w:r>
            <w:r>
              <w:rPr>
                <w:noProof/>
                <w:color w:val="000000"/>
              </w:rPr>
              <w:t>образователни потребности на децата и учениците“ и разработване на модел за допустими мерки за подкрепа в образованието и образованието, включително тяхната система за финансиране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Влизане в сила на ново определение на понятието „специални образ</w:t>
            </w:r>
            <w:r>
              <w:rPr>
                <w:noProof/>
                <w:color w:val="000000"/>
              </w:rPr>
              <w:t xml:space="preserve">ователни потребности“ </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4</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6 – Достъпност, развитие и качество на приобщаващото образование – Реформа 3: Реформа на системата за консултиране и превенция и осигуряване на системно събиране на данни в областта на насърчаването на психичното здраве за деца, у</w:t>
            </w:r>
            <w:r>
              <w:rPr>
                <w:noProof/>
                <w:color w:val="000000"/>
              </w:rPr>
              <w:t>ченици и студенти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 Влизане в сила на законодателството, с което се създава всеобхватна система за консултации</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5</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6 – Достъпност, развитие и качество на приобщаващото образование – реформа 4:Прилагане на инструменти за предотвратяване на </w:t>
            </w:r>
            <w:r>
              <w:rPr>
                <w:noProof/>
                <w:color w:val="000000"/>
              </w:rPr>
              <w:t>преждевременното напускане на училище и адаптиране на програмите за обучение от тип F</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Влизане в сила на законодателни изменения, целящи:• Разширяване на възможността за придобиване на прогимназиален етап на основното професионално образование (</w:t>
            </w:r>
            <w:r>
              <w:rPr>
                <w:noProof/>
                <w:color w:val="000000"/>
              </w:rPr>
              <w:t>ПОО) – оптимизиране на програмите NSOV в отговор на нуждите на пазара на труда и предлагане на програми NSOV във връзка с образователните потребности на целевата група ученици</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6</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7 – Образование за 21 век – реформа 1: Образователно съдържание и реформа на </w:t>
            </w:r>
            <w:r>
              <w:rPr>
                <w:noProof/>
                <w:color w:val="000000"/>
              </w:rPr>
              <w:t>формата – реформа на учебниците и учебниците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Одобряване на окончателната версия на новата учебна програма за всички основни и прогимназиални училища, организирана в рамките на многогодишни образователни цикли</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7</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7 – Образование за 21 век – Рефо</w:t>
            </w:r>
            <w:r>
              <w:rPr>
                <w:noProof/>
                <w:color w:val="000000"/>
              </w:rPr>
              <w:t>рма 2: Подготовка и развитие на учителите за ново съдържание и форма на преподаване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Влизане в сила на законодателните промени за повишаване на качеството на уменията на преподавателския и професионалния персонал и за мотивирането им за </w:t>
            </w:r>
            <w:r>
              <w:rPr>
                <w:noProof/>
                <w:color w:val="000000"/>
              </w:rPr>
              <w:t>професионално развитие през целия живот</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8</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9 – По-ефективно управление и укрепване на финансирането на научните изследвания, развойната дейност и иновациите – Инвестиция 7: Тя подпомага единна система за отпускане на безвъзмездна помощ за научни изследвани</w:t>
            </w:r>
            <w:r>
              <w:rPr>
                <w:noProof/>
                <w:color w:val="000000"/>
              </w:rPr>
              <w:t>я и развойна дейност</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 Проектиране на новата информационна система Г за оценка на схемите за безвъзмездни средства</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9</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11 – Модерно и достъпно здравеопазване – реформа 4 Оптимизиране на мрежата за остри здравни грижи и ново определение за спешна </w:t>
            </w:r>
            <w:r>
              <w:rPr>
                <w:noProof/>
                <w:color w:val="000000"/>
              </w:rPr>
              <w:t>медицинска помощ</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Изменение на Закона за мрежата за оптически линейки и ново определение за спешна медицинска помощ</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10</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13 – Достъпни и висококачествени дългосрочни социално-здравни грижи – Реформа на интеграцията и финансирането на </w:t>
            </w:r>
            <w:r>
              <w:rPr>
                <w:noProof/>
                <w:color w:val="000000"/>
              </w:rPr>
              <w:t>дългосрочните социални и здравни грижи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Нова законодателна рамка за дългосрочно здравеопазване и палиативни грижи</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11</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14 – Подобряване на бизнес средата – Реформа 1: Намаляване на регулаторната тежест за предприятията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въвеждане на но</w:t>
            </w:r>
            <w:r>
              <w:rPr>
                <w:noProof/>
                <w:color w:val="000000"/>
              </w:rPr>
              <w:t>ви инструменти за намаляване на регулаторната тежест: – прилагане на правилото „1in-2out“ – Въвеждане на последваща оценка на съществуващите регламенти (законодателни и незаконодателни материали) – Въвеждане на защита срещу необосновано свръхрегулиране</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12</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14 – Подобряване на бизнес средата – Реформа 3: Реформа на обществените поръчки – цифровизация на процедурите за възлагане на обществени поръчки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Цифровизация на процедурите за възлагане на обществени поръчки чрез единна електронна платформа.</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13</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14 – Подобряване на бизнес средата – Реформа 2: Реформа на нормативната уредба в областта на несъстоятелността – адаптиране на законодателството</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Реформа на нормативната уредба в областта на несъстоятелността</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14</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15 – Съдебна реформа – реформ</w:t>
            </w:r>
            <w:r>
              <w:rPr>
                <w:noProof/>
                <w:color w:val="000000"/>
              </w:rPr>
              <w:t>а 1: Реформа на Съдебната карта – законодателство</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rPr>
                <w:rFonts w:eastAsia="Times New Roman" w:cs="Calibri"/>
                <w:noProof/>
                <w:color w:val="000000"/>
              </w:rPr>
            </w:pPr>
            <w:r>
              <w:rPr>
                <w:noProof/>
                <w:color w:val="000000"/>
              </w:rPr>
              <w:t xml:space="preserve">Въвеждането на новата съдебна мрежа </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15</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16 – Борба с корупцията и изпирането на пари – реформа 3: Оптимизиране на управлението на кризи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Влизане в сила на оптимизираното управление </w:t>
            </w:r>
            <w:r>
              <w:rPr>
                <w:noProof/>
                <w:color w:val="000000"/>
              </w:rPr>
              <w:t>на кризи</w:t>
            </w:r>
          </w:p>
        </w:tc>
      </w:tr>
      <w:tr w:rsidR="00D4086A">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16</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18 – Равни, устойчиви и конкурентоспособни публични финанси – реформа 1: Подобряване на устойчивостта на пенсионната система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 Реформа на пенсионната система </w:t>
            </w:r>
          </w:p>
        </w:tc>
      </w:tr>
      <w:tr w:rsidR="00D4086A">
        <w:trPr>
          <w:trHeight w:val="31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3969"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1178"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0000"/>
              </w:rPr>
            </w:pPr>
            <w:r>
              <w:rPr>
                <w:noProof/>
                <w:color w:val="000000"/>
              </w:rPr>
              <w:t>Размер на вноската</w:t>
            </w:r>
          </w:p>
        </w:tc>
        <w:tc>
          <w:tcPr>
            <w:tcW w:w="4209"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rPr>
                <w:rFonts w:eastAsia="Times New Roman" w:cs="Calibri"/>
                <w:noProof/>
                <w:color w:val="000000"/>
              </w:rPr>
            </w:pPr>
            <w:r>
              <w:rPr>
                <w:noProof/>
                <w:color w:val="000000"/>
              </w:rPr>
              <w:t xml:space="preserve">923 828 000 EUR   </w:t>
            </w:r>
          </w:p>
        </w:tc>
      </w:tr>
    </w:tbl>
    <w:p w:rsidR="00D4086A" w:rsidRDefault="00D4086A">
      <w:pPr>
        <w:pStyle w:val="Text1"/>
        <w:rPr>
          <w:noProof/>
          <w:lang w:val="en-US"/>
        </w:rPr>
      </w:pPr>
    </w:p>
    <w:p w:rsidR="00D4086A" w:rsidRDefault="00D5307E">
      <w:pPr>
        <w:pStyle w:val="NumPar2"/>
        <w:numPr>
          <w:ilvl w:val="1"/>
          <w:numId w:val="49"/>
        </w:numPr>
        <w:rPr>
          <w:b/>
          <w:noProof/>
        </w:rPr>
      </w:pPr>
      <w:r>
        <w:rPr>
          <w:b/>
          <w:noProof/>
        </w:rPr>
        <w:t xml:space="preserve">Пета вноска (невъзстановима подкрепа): </w:t>
      </w:r>
    </w:p>
    <w:p w:rsidR="00D4086A" w:rsidRDefault="00D4086A">
      <w:pPr>
        <w:pStyle w:val="Text1"/>
        <w:rPr>
          <w:noProof/>
        </w:rPr>
      </w:pPr>
    </w:p>
    <w:tbl>
      <w:tblPr>
        <w:tblW w:w="10632" w:type="dxa"/>
        <w:tblInd w:w="-601" w:type="dxa"/>
        <w:tblLook w:val="04A0" w:firstRow="1" w:lastRow="0" w:firstColumn="1" w:lastColumn="0" w:noHBand="0" w:noVBand="1"/>
      </w:tblPr>
      <w:tblGrid>
        <w:gridCol w:w="1276"/>
        <w:gridCol w:w="3969"/>
        <w:gridCol w:w="1178"/>
        <w:gridCol w:w="4209"/>
      </w:tblGrid>
      <w:tr w:rsidR="00D4086A">
        <w:trPr>
          <w:trHeight w:val="1365"/>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Пореден номер</w:t>
            </w:r>
          </w:p>
        </w:tc>
        <w:tc>
          <w:tcPr>
            <w:tcW w:w="3969"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Свързана мярка (реформа или инвестиция)</w:t>
            </w:r>
          </w:p>
        </w:tc>
        <w:tc>
          <w:tcPr>
            <w:tcW w:w="1178"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Ключов етап / Цел</w:t>
            </w:r>
          </w:p>
        </w:tc>
        <w:tc>
          <w:tcPr>
            <w:tcW w:w="4209"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Наименование</w:t>
            </w:r>
          </w:p>
        </w:tc>
      </w:tr>
      <w:tr w:rsidR="00D4086A">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2 – Реновиране на сгради – Реформа 2:  Повишаване на прозрачността и рационализиране на решенията на Управителния съвет на </w:t>
            </w:r>
            <w:r>
              <w:rPr>
                <w:noProof/>
                <w:color w:val="000000"/>
              </w:rPr>
              <w:t>Словашката република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Методологии за процеса на вземане на решения от Управителния съвет на Словашката република</w:t>
            </w:r>
          </w:p>
        </w:tc>
      </w:tr>
      <w:tr w:rsidR="00D4086A">
        <w:trPr>
          <w:trHeight w:val="1166"/>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3 – Устойчив транспорт – Реформа 2: Реформа на обществения пътнически транспорт</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Прилагане на оптимизирано разписание </w:t>
            </w:r>
            <w:r>
              <w:rPr>
                <w:noProof/>
                <w:color w:val="000000"/>
              </w:rPr>
              <w:t>за железопътния транспорт</w:t>
            </w:r>
          </w:p>
        </w:tc>
      </w:tr>
      <w:tr w:rsidR="00D4086A">
        <w:trPr>
          <w:trHeight w:val="1172"/>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4 – Декарбонизация на промишлеността – реформа 1: Прекратяване на производството на електроенергия от въглища в електроцентрала Nováky и трансформация на регион Горна Нитра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Изоставяне на въглищата в региона Горна </w:t>
            </w:r>
            <w:r>
              <w:rPr>
                <w:noProof/>
                <w:color w:val="000000"/>
              </w:rPr>
              <w:t>Нитра</w:t>
            </w:r>
          </w:p>
        </w:tc>
      </w:tr>
      <w:tr w:rsidR="00D4086A">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4</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5 – Адаптиране към изменението на климата – Реформа 2: Реформиране на опазването на природата и управлението на водите в селските райони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По-ефективно прилагане на мерките за опазване на природата в ландшафта в защитените зони и </w:t>
            </w:r>
            <w:r>
              <w:rPr>
                <w:noProof/>
                <w:color w:val="000000"/>
              </w:rPr>
              <w:t>съживяване на водните течения</w:t>
            </w:r>
          </w:p>
        </w:tc>
      </w:tr>
      <w:tr w:rsidR="00D4086A">
        <w:trPr>
          <w:trHeight w:val="1212"/>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5</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5 – Адаптиране към изменението на климата – инвестиции 1: Адаптиране на регионите към изменението на климата с акцент върху опазването на природата и развитието на биологичното разнообразие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Заселване на имоти с частни </w:t>
            </w:r>
            <w:r>
              <w:rPr>
                <w:noProof/>
                <w:color w:val="000000"/>
              </w:rPr>
              <w:t>собственици на земя (в площи, засети в хектари)</w:t>
            </w:r>
          </w:p>
        </w:tc>
      </w:tr>
      <w:tr w:rsidR="00D4086A">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6</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6 – Достъпност, развитие и качество на приобщаващото образование – реформа 5: подпомагане на премахването на сегрегацията в училищата</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Приемане на законодателни изменения, с които се въвежда </w:t>
            </w:r>
            <w:r>
              <w:rPr>
                <w:noProof/>
                <w:color w:val="000000"/>
              </w:rPr>
              <w:t>определението за училищата в законодателството и разработването на методологични материали за прилагане на десегрегацията</w:t>
            </w:r>
          </w:p>
        </w:tc>
      </w:tr>
      <w:tr w:rsidR="00D4086A">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7</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7 – Образование за 21 век – Реформа 2: Подготовка и развитие на учителите за ново съдържание и форма на преподаване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 Процент на учителите, обучени специално за подготовката на новата учебна програма, приобщаващо образование и цифрови умения </w:t>
            </w:r>
          </w:p>
        </w:tc>
      </w:tr>
      <w:tr w:rsidR="00D4086A">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8</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8 – Увеличение на резултатите на словашките висши учебни заведения – Реформа 1:Промяна на финансирането за университетите, вклю</w:t>
            </w:r>
            <w:r>
              <w:rPr>
                <w:noProof/>
                <w:color w:val="000000"/>
              </w:rPr>
              <w:t>чително въвеждане на договори за изпълнение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Договори за изпълнение, подписани с публични университети (в проценти) </w:t>
            </w:r>
          </w:p>
        </w:tc>
      </w:tr>
      <w:tr w:rsidR="00D4086A">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9</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10 – Привличане и задържане на таланти – инвестиции 1: Инструменти за подкрепа и помощ за завърналите се лица, висококвалифицираните </w:t>
            </w:r>
            <w:r>
              <w:rPr>
                <w:noProof/>
                <w:color w:val="000000"/>
              </w:rPr>
              <w:t>работници от трети държави и членовете на техните семейства и чуждестранните студенти, които учат в Словакия</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центрове за обслужване на едно гише за интеграция в Словакия</w:t>
            </w:r>
          </w:p>
        </w:tc>
      </w:tr>
      <w:tr w:rsidR="00D4086A">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10</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11 – Модерно и достъпно здравеопазване – Реформа 3 Централизация на </w:t>
            </w:r>
            <w:r>
              <w:rPr>
                <w:noProof/>
                <w:color w:val="000000"/>
              </w:rPr>
              <w:t>управлението на най-големите болници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Създаване на централен орган за управление на болници от организационна, оперативна и икономическа гледна точка</w:t>
            </w:r>
          </w:p>
        </w:tc>
      </w:tr>
      <w:tr w:rsidR="00D4086A">
        <w:trPr>
          <w:trHeight w:val="1104"/>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11</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11 – Модерно и достъпно здравеопазване – инвестиции 3 Цифровизация в здравеопазването</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Навигационна система за лечение на предсърдно мъждене в 3 институции за сърдечносъдови заболявания</w:t>
            </w:r>
          </w:p>
        </w:tc>
      </w:tr>
      <w:tr w:rsidR="00D4086A">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12</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13 – Достъпни и висококачествени дългосрочни социално-здравни грижи – Реформа на интеграцията и финансирането на дългосрочните социални и здравни грижи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Публикуване на концепцията за финансиране на социалните услуги за обществен дебат</w:t>
            </w:r>
          </w:p>
        </w:tc>
      </w:tr>
      <w:tr w:rsidR="00D4086A">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13</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15 – Съдебна реформа – инвестиции 2: Инструменти за подкрепа на реформата на Съдебната карта – Търговски регистър и централизирана система за съдебно </w:t>
            </w:r>
            <w:r>
              <w:rPr>
                <w:noProof/>
                <w:color w:val="000000"/>
              </w:rPr>
              <w:t>управление</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Разработване и предаване на ИТ система – Търговски регистър</w:t>
            </w:r>
          </w:p>
        </w:tc>
      </w:tr>
      <w:tr w:rsidR="00D4086A">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14</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16 – Борба с корупцията и изпирането на пари – инвестиции 1: Инструменти и капацитет за борба с корупцията и изпирането на пари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 Осигуряване на необходимата </w:t>
            </w:r>
            <w:r>
              <w:rPr>
                <w:noProof/>
                <w:color w:val="000000"/>
              </w:rPr>
              <w:t xml:space="preserve">инфраструктура в подкрепа на борбата срещу изпирането на пари и корупцията </w:t>
            </w:r>
          </w:p>
        </w:tc>
      </w:tr>
      <w:tr w:rsidR="00D4086A">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15</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16 – Борба с корупцията и изпирането на пари – инвестиции 1: Инструменти и капацитет за борба с корупцията и изпирането на пари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Преквалификация на полицейски служители в </w:t>
            </w:r>
            <w:r>
              <w:rPr>
                <w:noProof/>
                <w:color w:val="000000"/>
              </w:rPr>
              <w:t>областта на финансовите разследвания и аналитичните дейности</w:t>
            </w:r>
          </w:p>
        </w:tc>
      </w:tr>
      <w:tr w:rsidR="00D4086A">
        <w:trPr>
          <w:trHeight w:val="1172"/>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16</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 – Цифрова Словакия – реформа 1: Създаване на решения на електронното управление за приоритетни житейски ситуации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Пътна карта за приоритетните ситуации, свързани с живота</w:t>
            </w:r>
          </w:p>
        </w:tc>
      </w:tr>
      <w:tr w:rsidR="00D4086A">
        <w:trPr>
          <w:trHeight w:val="12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17</w:t>
            </w:r>
          </w:p>
        </w:tc>
        <w:tc>
          <w:tcPr>
            <w:tcW w:w="396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w:t>
            </w:r>
            <w:r>
              <w:rPr>
                <w:noProof/>
                <w:color w:val="000000"/>
              </w:rPr>
              <w:t xml:space="preserve"> – Цифрова Словакия – реформа 2: Централно управление на информационните ресурси</w:t>
            </w:r>
          </w:p>
        </w:tc>
        <w:tc>
          <w:tcPr>
            <w:tcW w:w="117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20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Централна платформа за използване на ИТ ресурси (цифров пазар)</w:t>
            </w:r>
          </w:p>
        </w:tc>
      </w:tr>
      <w:tr w:rsidR="00D4086A">
        <w:trPr>
          <w:trHeight w:val="31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3969"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0000"/>
              </w:rPr>
            </w:pPr>
            <w:r>
              <w:rPr>
                <w:noProof/>
                <w:color w:val="000000"/>
              </w:rPr>
              <w:t> </w:t>
            </w:r>
          </w:p>
        </w:tc>
        <w:tc>
          <w:tcPr>
            <w:tcW w:w="1178"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0000"/>
              </w:rPr>
            </w:pPr>
            <w:r>
              <w:rPr>
                <w:noProof/>
                <w:color w:val="000000"/>
              </w:rPr>
              <w:t>Размер на вноската</w:t>
            </w:r>
          </w:p>
        </w:tc>
        <w:tc>
          <w:tcPr>
            <w:tcW w:w="4209"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rPr>
                <w:rFonts w:eastAsia="Times New Roman" w:cs="Calibri"/>
                <w:noProof/>
                <w:color w:val="000000"/>
              </w:rPr>
            </w:pPr>
            <w:r>
              <w:rPr>
                <w:noProof/>
                <w:color w:val="000000"/>
              </w:rPr>
              <w:t xml:space="preserve">923 828 000 EUR   </w:t>
            </w:r>
          </w:p>
        </w:tc>
      </w:tr>
    </w:tbl>
    <w:p w:rsidR="00D4086A" w:rsidRDefault="00D4086A">
      <w:pPr>
        <w:pStyle w:val="Text1"/>
        <w:rPr>
          <w:noProof/>
        </w:rPr>
      </w:pPr>
    </w:p>
    <w:p w:rsidR="00D4086A" w:rsidRDefault="00D5307E">
      <w:pPr>
        <w:pStyle w:val="NumPar2"/>
        <w:numPr>
          <w:ilvl w:val="1"/>
          <w:numId w:val="49"/>
        </w:numPr>
        <w:rPr>
          <w:b/>
          <w:noProof/>
        </w:rPr>
      </w:pPr>
      <w:r>
        <w:rPr>
          <w:b/>
          <w:noProof/>
        </w:rPr>
        <w:t xml:space="preserve">Шесто плащане (невъзстановима подкрепа): </w:t>
      </w:r>
    </w:p>
    <w:p w:rsidR="00D4086A" w:rsidRDefault="00D4086A">
      <w:pPr>
        <w:pStyle w:val="Text1"/>
        <w:rPr>
          <w:noProof/>
          <w:lang w:val="fr-BE"/>
        </w:rPr>
      </w:pPr>
    </w:p>
    <w:tbl>
      <w:tblPr>
        <w:tblW w:w="10490" w:type="dxa"/>
        <w:tblInd w:w="-601" w:type="dxa"/>
        <w:tblLook w:val="04A0" w:firstRow="1" w:lastRow="0" w:firstColumn="1" w:lastColumn="0" w:noHBand="0" w:noVBand="1"/>
      </w:tblPr>
      <w:tblGrid>
        <w:gridCol w:w="1276"/>
        <w:gridCol w:w="3828"/>
        <w:gridCol w:w="1275"/>
        <w:gridCol w:w="4111"/>
      </w:tblGrid>
      <w:tr w:rsidR="00D4086A">
        <w:trPr>
          <w:trHeight w:val="570"/>
        </w:trPr>
        <w:tc>
          <w:tcPr>
            <w:tcW w:w="1276" w:type="dxa"/>
            <w:tcBorders>
              <w:top w:val="single" w:sz="8" w:space="0" w:color="auto"/>
              <w:left w:val="single" w:sz="8" w:space="0" w:color="auto"/>
              <w:bottom w:val="single" w:sz="8" w:space="0" w:color="auto"/>
              <w:right w:val="single" w:sz="8" w:space="0" w:color="auto"/>
            </w:tcBorders>
            <w:shd w:val="clear" w:color="auto" w:fill="BDD7EE"/>
            <w:vAlign w:val="center"/>
            <w:hideMark/>
          </w:tcPr>
          <w:p w:rsidR="00D4086A" w:rsidRDefault="00D5307E">
            <w:pPr>
              <w:spacing w:after="0"/>
              <w:jc w:val="center"/>
              <w:rPr>
                <w:rFonts w:eastAsia="Times New Roman"/>
                <w:b/>
                <w:bCs/>
                <w:noProof/>
                <w:color w:val="000000"/>
              </w:rPr>
            </w:pPr>
            <w:r>
              <w:rPr>
                <w:b/>
                <w:bCs/>
                <w:noProof/>
                <w:color w:val="000000"/>
              </w:rPr>
              <w:t xml:space="preserve">Пореден </w:t>
            </w:r>
            <w:r>
              <w:rPr>
                <w:b/>
                <w:bCs/>
                <w:noProof/>
                <w:color w:val="000000"/>
              </w:rPr>
              <w:t>номер</w:t>
            </w:r>
          </w:p>
        </w:tc>
        <w:tc>
          <w:tcPr>
            <w:tcW w:w="3828" w:type="dxa"/>
            <w:tcBorders>
              <w:top w:val="single" w:sz="8" w:space="0" w:color="auto"/>
              <w:left w:val="nil"/>
              <w:bottom w:val="single" w:sz="8" w:space="0" w:color="auto"/>
              <w:right w:val="single" w:sz="8" w:space="0" w:color="auto"/>
            </w:tcBorders>
            <w:shd w:val="clear" w:color="auto" w:fill="BDD7EE"/>
            <w:vAlign w:val="center"/>
            <w:hideMark/>
          </w:tcPr>
          <w:p w:rsidR="00D4086A" w:rsidRDefault="00D5307E">
            <w:pPr>
              <w:spacing w:after="0"/>
              <w:jc w:val="center"/>
              <w:rPr>
                <w:rFonts w:eastAsia="Times New Roman"/>
                <w:b/>
                <w:bCs/>
                <w:noProof/>
                <w:color w:val="000000"/>
              </w:rPr>
            </w:pPr>
            <w:r>
              <w:rPr>
                <w:b/>
                <w:bCs/>
                <w:noProof/>
                <w:color w:val="000000"/>
              </w:rPr>
              <w:t>Свързана мярка (реформа или инвестиция)</w:t>
            </w:r>
          </w:p>
        </w:tc>
        <w:tc>
          <w:tcPr>
            <w:tcW w:w="1275" w:type="dxa"/>
            <w:tcBorders>
              <w:top w:val="single" w:sz="8" w:space="0" w:color="auto"/>
              <w:left w:val="nil"/>
              <w:bottom w:val="single" w:sz="8" w:space="0" w:color="auto"/>
              <w:right w:val="single" w:sz="8" w:space="0" w:color="auto"/>
            </w:tcBorders>
            <w:shd w:val="clear" w:color="auto" w:fill="BDD7EE"/>
            <w:vAlign w:val="center"/>
            <w:hideMark/>
          </w:tcPr>
          <w:p w:rsidR="00D4086A" w:rsidRDefault="00D5307E">
            <w:pPr>
              <w:spacing w:after="0"/>
              <w:jc w:val="center"/>
              <w:rPr>
                <w:rFonts w:eastAsia="Times New Roman"/>
                <w:b/>
                <w:bCs/>
                <w:noProof/>
                <w:color w:val="000000"/>
              </w:rPr>
            </w:pPr>
            <w:r>
              <w:rPr>
                <w:b/>
                <w:bCs/>
                <w:noProof/>
                <w:color w:val="000000"/>
              </w:rPr>
              <w:t>Ключов етап / Цел</w:t>
            </w:r>
          </w:p>
        </w:tc>
        <w:tc>
          <w:tcPr>
            <w:tcW w:w="4111" w:type="dxa"/>
            <w:tcBorders>
              <w:top w:val="single" w:sz="8" w:space="0" w:color="auto"/>
              <w:left w:val="nil"/>
              <w:bottom w:val="single" w:sz="8" w:space="0" w:color="auto"/>
              <w:right w:val="single" w:sz="8" w:space="0" w:color="auto"/>
            </w:tcBorders>
            <w:shd w:val="clear" w:color="auto" w:fill="BDD7EE"/>
            <w:vAlign w:val="center"/>
            <w:hideMark/>
          </w:tcPr>
          <w:p w:rsidR="00D4086A" w:rsidRDefault="00D5307E">
            <w:pPr>
              <w:spacing w:after="0"/>
              <w:jc w:val="center"/>
              <w:rPr>
                <w:rFonts w:eastAsia="Times New Roman"/>
                <w:b/>
                <w:bCs/>
                <w:noProof/>
                <w:color w:val="000000"/>
              </w:rPr>
            </w:pPr>
            <w:r>
              <w:rPr>
                <w:b/>
                <w:bCs/>
                <w:noProof/>
                <w:color w:val="000000"/>
              </w:rPr>
              <w:t>Наименование</w:t>
            </w:r>
          </w:p>
        </w:tc>
      </w:tr>
      <w:tr w:rsidR="00D4086A">
        <w:trPr>
          <w:trHeight w:val="9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D4086A" w:rsidRDefault="00D5307E">
            <w:pPr>
              <w:spacing w:after="0"/>
              <w:jc w:val="center"/>
              <w:rPr>
                <w:rFonts w:eastAsia="Times New Roman"/>
                <w:noProof/>
                <w:color w:val="006100"/>
              </w:rPr>
            </w:pPr>
            <w:r>
              <w:rPr>
                <w:noProof/>
                <w:color w:val="006100"/>
              </w:rPr>
              <w:t>1</w:t>
            </w:r>
          </w:p>
        </w:tc>
        <w:tc>
          <w:tcPr>
            <w:tcW w:w="3828"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9 – По-ефективно управление и укрепване на финансирането на научните изследвания, развойната дейност и иновациите – Инвестиция 3: Високи постижения в научната област</w:t>
            </w:r>
          </w:p>
        </w:tc>
        <w:tc>
          <w:tcPr>
            <w:tcW w:w="1275"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 xml:space="preserve">Брой на подкрепените отлични изследователи </w:t>
            </w:r>
          </w:p>
        </w:tc>
      </w:tr>
      <w:tr w:rsidR="00D4086A">
        <w:trPr>
          <w:trHeight w:val="9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D4086A" w:rsidRDefault="00D5307E">
            <w:pPr>
              <w:spacing w:after="0"/>
              <w:jc w:val="center"/>
              <w:rPr>
                <w:rFonts w:eastAsia="Times New Roman"/>
                <w:noProof/>
                <w:color w:val="006100"/>
              </w:rPr>
            </w:pPr>
            <w:r>
              <w:rPr>
                <w:noProof/>
                <w:color w:val="006100"/>
              </w:rPr>
              <w:t>2</w:t>
            </w:r>
          </w:p>
        </w:tc>
        <w:tc>
          <w:tcPr>
            <w:tcW w:w="3828"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11 – Модерно и достъпно здравеопазване – инвестиции 2: Нова болнична мрежа – строителство, реконструкция и оборудване</w:t>
            </w:r>
          </w:p>
        </w:tc>
        <w:tc>
          <w:tcPr>
            <w:tcW w:w="1275"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Ключов етап</w:t>
            </w:r>
          </w:p>
        </w:tc>
        <w:tc>
          <w:tcPr>
            <w:tcW w:w="4111"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Покана за участие в търг за изграждане и реконструкция на болници</w:t>
            </w:r>
          </w:p>
        </w:tc>
      </w:tr>
      <w:tr w:rsidR="00D4086A">
        <w:trPr>
          <w:trHeight w:val="6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D4086A" w:rsidRDefault="00D5307E">
            <w:pPr>
              <w:spacing w:after="0"/>
              <w:jc w:val="center"/>
              <w:rPr>
                <w:rFonts w:eastAsia="Times New Roman"/>
                <w:noProof/>
                <w:color w:val="006100"/>
              </w:rPr>
            </w:pPr>
            <w:r>
              <w:rPr>
                <w:noProof/>
                <w:color w:val="006100"/>
              </w:rPr>
              <w:t>3</w:t>
            </w:r>
          </w:p>
        </w:tc>
        <w:tc>
          <w:tcPr>
            <w:tcW w:w="3828"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 xml:space="preserve">13 – </w:t>
            </w:r>
            <w:r>
              <w:rPr>
                <w:noProof/>
                <w:color w:val="000000"/>
              </w:rPr>
              <w:t>Достъпни и висококачествени дългосрочни социално-здравни грижи – реформа 2: Оценка на нуждите от грижи</w:t>
            </w:r>
          </w:p>
        </w:tc>
        <w:tc>
          <w:tcPr>
            <w:tcW w:w="1275"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Ключов етап</w:t>
            </w:r>
          </w:p>
        </w:tc>
        <w:tc>
          <w:tcPr>
            <w:tcW w:w="4111"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Уеднаквяване на системата за оценка</w:t>
            </w:r>
          </w:p>
        </w:tc>
      </w:tr>
      <w:tr w:rsidR="00D4086A">
        <w:trPr>
          <w:trHeight w:val="12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D4086A" w:rsidRDefault="00D5307E">
            <w:pPr>
              <w:spacing w:after="0"/>
              <w:jc w:val="center"/>
              <w:rPr>
                <w:rFonts w:eastAsia="Times New Roman"/>
                <w:noProof/>
                <w:color w:val="006100"/>
              </w:rPr>
            </w:pPr>
            <w:r>
              <w:rPr>
                <w:noProof/>
                <w:color w:val="006100"/>
              </w:rPr>
              <w:t>4</w:t>
            </w:r>
          </w:p>
        </w:tc>
        <w:tc>
          <w:tcPr>
            <w:tcW w:w="3828"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 xml:space="preserve">13 – Достъпни и висококачествени дългосрочни социално-здравни грижи – реформа 3: Реформиране на </w:t>
            </w:r>
            <w:r>
              <w:rPr>
                <w:noProof/>
                <w:color w:val="000000"/>
              </w:rPr>
              <w:t>надзора на социалните грижи и осигуряване на инфраструктура за неговото прилагане</w:t>
            </w:r>
          </w:p>
        </w:tc>
        <w:tc>
          <w:tcPr>
            <w:tcW w:w="1275"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 xml:space="preserve">Създаване на единна система за надзор със седалище и 8 клона </w:t>
            </w:r>
          </w:p>
        </w:tc>
      </w:tr>
      <w:tr w:rsidR="00D4086A">
        <w:trPr>
          <w:trHeight w:val="12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D4086A" w:rsidRDefault="00D5307E">
            <w:pPr>
              <w:spacing w:after="0"/>
              <w:jc w:val="center"/>
              <w:rPr>
                <w:rFonts w:eastAsia="Times New Roman"/>
                <w:noProof/>
                <w:color w:val="006100"/>
              </w:rPr>
            </w:pPr>
            <w:r>
              <w:rPr>
                <w:noProof/>
                <w:color w:val="006100"/>
              </w:rPr>
              <w:t>5</w:t>
            </w:r>
          </w:p>
        </w:tc>
        <w:tc>
          <w:tcPr>
            <w:tcW w:w="3828"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 xml:space="preserve">13 – Достъпни и висококачествени дългосрочни социално-здравни грижи – инвестиции 1: Повишаване на капацитета за социални грижи в общността </w:t>
            </w:r>
          </w:p>
        </w:tc>
        <w:tc>
          <w:tcPr>
            <w:tcW w:w="1275"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Повишаване на капацитета на местните жилищни услуги и на здравните и социални заведения с нисък капацитет (показ</w:t>
            </w:r>
            <w:r>
              <w:rPr>
                <w:noProof/>
                <w:color w:val="000000"/>
              </w:rPr>
              <w:t>ател: минимален брой създадени места)</w:t>
            </w:r>
          </w:p>
        </w:tc>
      </w:tr>
      <w:tr w:rsidR="00D4086A">
        <w:trPr>
          <w:trHeight w:val="9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D4086A" w:rsidRDefault="00D5307E">
            <w:pPr>
              <w:spacing w:after="0"/>
              <w:jc w:val="center"/>
              <w:rPr>
                <w:rFonts w:eastAsia="Times New Roman"/>
                <w:noProof/>
                <w:color w:val="006100"/>
              </w:rPr>
            </w:pPr>
            <w:r>
              <w:rPr>
                <w:noProof/>
                <w:color w:val="006100"/>
              </w:rPr>
              <w:t>6</w:t>
            </w:r>
          </w:p>
        </w:tc>
        <w:tc>
          <w:tcPr>
            <w:tcW w:w="3828"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 xml:space="preserve">13 – Достъпни и висококачествени дългосрочни социално-здравни грижи – Подобряване на капацитета за социални грижи в общността </w:t>
            </w:r>
          </w:p>
        </w:tc>
        <w:tc>
          <w:tcPr>
            <w:tcW w:w="1275"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Увеличаване на капацитета за амбулаторно обслужване (показател: минимален брой създа</w:t>
            </w:r>
            <w:r>
              <w:rPr>
                <w:noProof/>
                <w:color w:val="000000"/>
              </w:rPr>
              <w:t>дени места)</w:t>
            </w:r>
          </w:p>
        </w:tc>
      </w:tr>
      <w:tr w:rsidR="00D4086A">
        <w:trPr>
          <w:trHeight w:val="9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D4086A" w:rsidRDefault="00D5307E">
            <w:pPr>
              <w:spacing w:after="0"/>
              <w:jc w:val="center"/>
              <w:rPr>
                <w:rFonts w:eastAsia="Times New Roman"/>
                <w:noProof/>
                <w:color w:val="006100"/>
              </w:rPr>
            </w:pPr>
            <w:r>
              <w:rPr>
                <w:noProof/>
                <w:color w:val="006100"/>
              </w:rPr>
              <w:t>7</w:t>
            </w:r>
          </w:p>
        </w:tc>
        <w:tc>
          <w:tcPr>
            <w:tcW w:w="3828"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14 – Подобряване на бизнес средата – инвестиции 2: Цифровизация на процедурите по несъстоятелност</w:t>
            </w:r>
          </w:p>
        </w:tc>
        <w:tc>
          <w:tcPr>
            <w:tcW w:w="1275"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auto" w:fill="C6EFCE"/>
            <w:vAlign w:val="center"/>
            <w:hideMark/>
          </w:tcPr>
          <w:p w:rsidR="00D4086A" w:rsidRDefault="00D5307E">
            <w:pPr>
              <w:spacing w:after="0"/>
              <w:jc w:val="center"/>
              <w:rPr>
                <w:rFonts w:eastAsia="Times New Roman" w:cs="Calibri"/>
                <w:noProof/>
                <w:color w:val="000000"/>
              </w:rPr>
            </w:pPr>
            <w:r>
              <w:rPr>
                <w:noProof/>
                <w:color w:val="000000"/>
              </w:rPr>
              <w:t>Напълно функционира единен, напълно цифровизиран процес по несъстоятелност.</w:t>
            </w:r>
          </w:p>
        </w:tc>
      </w:tr>
      <w:tr w:rsidR="00D4086A">
        <w:trPr>
          <w:trHeight w:val="3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D4086A" w:rsidRDefault="00D5307E">
            <w:pPr>
              <w:spacing w:after="0"/>
              <w:jc w:val="center"/>
              <w:rPr>
                <w:rFonts w:eastAsia="Times New Roman"/>
                <w:noProof/>
                <w:color w:val="006100"/>
              </w:rPr>
            </w:pPr>
            <w:r>
              <w:rPr>
                <w:noProof/>
                <w:color w:val="006100"/>
              </w:rPr>
              <w:t> </w:t>
            </w:r>
          </w:p>
        </w:tc>
        <w:tc>
          <w:tcPr>
            <w:tcW w:w="3828" w:type="dxa"/>
            <w:tcBorders>
              <w:top w:val="nil"/>
              <w:left w:val="nil"/>
              <w:bottom w:val="single" w:sz="8" w:space="0" w:color="auto"/>
              <w:right w:val="single" w:sz="8" w:space="0" w:color="auto"/>
            </w:tcBorders>
            <w:shd w:val="clear" w:color="auto" w:fill="C6EFCE"/>
            <w:noWrap/>
            <w:vAlign w:val="center"/>
            <w:hideMark/>
          </w:tcPr>
          <w:p w:rsidR="00D4086A" w:rsidRDefault="00D5307E">
            <w:pPr>
              <w:spacing w:after="0"/>
              <w:jc w:val="center"/>
              <w:rPr>
                <w:rFonts w:eastAsia="Times New Roman"/>
                <w:noProof/>
                <w:color w:val="006100"/>
              </w:rPr>
            </w:pPr>
            <w:r>
              <w:rPr>
                <w:noProof/>
                <w:color w:val="006100"/>
              </w:rPr>
              <w:t> </w:t>
            </w:r>
          </w:p>
        </w:tc>
        <w:tc>
          <w:tcPr>
            <w:tcW w:w="1275" w:type="dxa"/>
            <w:tcBorders>
              <w:top w:val="nil"/>
              <w:left w:val="nil"/>
              <w:bottom w:val="single" w:sz="8" w:space="0" w:color="auto"/>
              <w:right w:val="single" w:sz="8" w:space="0" w:color="auto"/>
            </w:tcBorders>
            <w:shd w:val="clear" w:color="auto" w:fill="C6EFCE"/>
            <w:noWrap/>
            <w:vAlign w:val="center"/>
            <w:hideMark/>
          </w:tcPr>
          <w:p w:rsidR="00D4086A" w:rsidRDefault="00D5307E">
            <w:pPr>
              <w:spacing w:after="0"/>
              <w:jc w:val="center"/>
              <w:rPr>
                <w:rFonts w:eastAsia="Times New Roman"/>
                <w:noProof/>
              </w:rPr>
            </w:pPr>
            <w:r>
              <w:rPr>
                <w:noProof/>
              </w:rPr>
              <w:t>Размер на вноската</w:t>
            </w:r>
          </w:p>
        </w:tc>
        <w:tc>
          <w:tcPr>
            <w:tcW w:w="4111" w:type="dxa"/>
            <w:tcBorders>
              <w:top w:val="nil"/>
              <w:left w:val="nil"/>
              <w:bottom w:val="single" w:sz="8" w:space="0" w:color="auto"/>
              <w:right w:val="single" w:sz="8" w:space="0" w:color="auto"/>
            </w:tcBorders>
            <w:shd w:val="clear" w:color="auto" w:fill="C6EFCE"/>
            <w:noWrap/>
            <w:vAlign w:val="center"/>
            <w:hideMark/>
          </w:tcPr>
          <w:p w:rsidR="00D4086A" w:rsidRDefault="00D5307E">
            <w:pPr>
              <w:spacing w:after="0"/>
              <w:jc w:val="center"/>
              <w:rPr>
                <w:rFonts w:cs="Calibri"/>
                <w:noProof/>
              </w:rPr>
            </w:pPr>
            <w:r>
              <w:rPr>
                <w:noProof/>
              </w:rPr>
              <w:t xml:space="preserve">792 892 000 EUR   </w:t>
            </w:r>
          </w:p>
        </w:tc>
      </w:tr>
    </w:tbl>
    <w:p w:rsidR="00D4086A" w:rsidRDefault="00D4086A">
      <w:pPr>
        <w:pStyle w:val="Text1"/>
        <w:rPr>
          <w:noProof/>
          <w:lang w:val="fr-BE"/>
        </w:rPr>
      </w:pPr>
    </w:p>
    <w:p w:rsidR="00D4086A" w:rsidRDefault="00D5307E">
      <w:pPr>
        <w:pStyle w:val="NumPar2"/>
        <w:numPr>
          <w:ilvl w:val="1"/>
          <w:numId w:val="49"/>
        </w:numPr>
        <w:rPr>
          <w:b/>
          <w:noProof/>
        </w:rPr>
      </w:pPr>
      <w:r>
        <w:rPr>
          <w:b/>
          <w:noProof/>
        </w:rPr>
        <w:t xml:space="preserve">Седми транш (невъзстановима подкрепа): </w:t>
      </w:r>
    </w:p>
    <w:p w:rsidR="00D4086A" w:rsidRDefault="00D4086A">
      <w:pPr>
        <w:pStyle w:val="Text1"/>
        <w:rPr>
          <w:noProof/>
        </w:rPr>
      </w:pPr>
    </w:p>
    <w:tbl>
      <w:tblPr>
        <w:tblW w:w="10490" w:type="dxa"/>
        <w:tblInd w:w="-601" w:type="dxa"/>
        <w:tblLook w:val="04A0" w:firstRow="1" w:lastRow="0" w:firstColumn="1" w:lastColumn="0" w:noHBand="0" w:noVBand="1"/>
      </w:tblPr>
      <w:tblGrid>
        <w:gridCol w:w="1276"/>
        <w:gridCol w:w="3828"/>
        <w:gridCol w:w="1275"/>
        <w:gridCol w:w="4111"/>
      </w:tblGrid>
      <w:tr w:rsidR="00D4086A">
        <w:trPr>
          <w:trHeight w:val="765"/>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Пореден номер</w:t>
            </w:r>
          </w:p>
        </w:tc>
        <w:tc>
          <w:tcPr>
            <w:tcW w:w="3828"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Свързана мярка (реформа или инвестиция)</w:t>
            </w:r>
          </w:p>
        </w:tc>
        <w:tc>
          <w:tcPr>
            <w:tcW w:w="1275"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Ключов етап / Цел</w:t>
            </w:r>
          </w:p>
        </w:tc>
        <w:tc>
          <w:tcPr>
            <w:tcW w:w="4111"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Наименование</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2 – Реновиране на сгради – Инвестиция 1: Подобряване на енергийната ефективност на семейните къщи </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Брой реновирани семейни къщи, които постигат най-малко 30 % икономии на първична енергия </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2 – Реновиране на сгради – Инвестиция 2: Реновиране на обществени исторически и обявени за културни паметници сгради </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Площ (m2) на реновираните обществени исторически и монументални защитени сгради, в които са постигнати най-малко 30 % от икономиите на първична енергия </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5 – Адаптиране към изменението на климата – инвестиции 1: Адаптиране на регионите към изменението на</w:t>
            </w:r>
            <w:r>
              <w:rPr>
                <w:noProof/>
                <w:color w:val="000000"/>
              </w:rPr>
              <w:t xml:space="preserve"> климата с акцент върху опазването на природата и развитието на биологичното разнообразие</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Рехабилитация на водни течения (в километри рехабилитирани водни течения)</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4</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7 – Образование за 21 век – Реформа на образованието 1: Реформа на учебното съдържани</w:t>
            </w:r>
            <w:r>
              <w:rPr>
                <w:noProof/>
                <w:color w:val="000000"/>
              </w:rPr>
              <w:t>е и формата – реформа на учебниците и учебниците</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Създаване на мрежа от регионални центрове за подкрепа</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5</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7 – Образование за 21 век – инвестиции 1: Цифрова инфраструктура в училищата</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Увеличаване на процента на училищата с основно ниво на цифрово </w:t>
            </w:r>
            <w:r>
              <w:rPr>
                <w:noProof/>
                <w:color w:val="000000"/>
              </w:rPr>
              <w:t>оборудване</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6</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7 – Образование за 21 век – инвестиции 2: Завършване на училищната инфраструктура</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 Броят на училищата със собствена библиотека като образователен център или с модернизирана библиотека</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7</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9 – По-ефективно управление и укрепване на финансир</w:t>
            </w:r>
            <w:r>
              <w:rPr>
                <w:noProof/>
                <w:color w:val="000000"/>
              </w:rPr>
              <w:t xml:space="preserve">ането на научните изследвания, развойната дейност и иновациите – Инвестиция 2: Подкрепа за сътрудничеството между предприятията, академичните среди и организациите за научни изследвания и развойна дейност </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 Брой на подкрепените съвместни проекти и ваучери</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8</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9 – По-ефективно управление и укрепване на финансирането на научните изследвания, развойната дейност и иновациите – Инвестиция 4: Научни изследвания и иновации за декарбонизация на икономиката</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н</w:t>
            </w:r>
            <w:r>
              <w:rPr>
                <w:noProof/>
                <w:color w:val="000000"/>
              </w:rPr>
              <w:t xml:space="preserve">а избраните проекти за справяне с предизвикателствата на екологичния преход </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9</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9 – По-ефективно управление и укрепване на финансирането на научните изследвания, развойната дейност и иновациите – Инвестиция 5: Научни изследвания и иновации за цифровизацият</w:t>
            </w:r>
            <w:r>
              <w:rPr>
                <w:noProof/>
                <w:color w:val="000000"/>
              </w:rPr>
              <w:t>а на икономиката</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проекти за научни изследвания, развитие и иновации, избрани в рамките на поканите за представяне на предложения за справяне с предизвикателствата на цифровата трансформация.</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10</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10 – Привличане и задържане на таланти – инвестиции </w:t>
            </w:r>
            <w:r>
              <w:rPr>
                <w:noProof/>
                <w:color w:val="000000"/>
              </w:rPr>
              <w:t>3: Стипендии за местни и чуждестранни талантливи студенти</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на отпуснатите стипендии за талантливи студенти.</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11</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11 – Модерно и достъпно здравеопазване – инвестиции 5: Обновяване на автомобилния парк за спешна медицинска помощ</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Покупка на превозни средства </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12</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14 – Подобряване на бизнес средата – инвестиции 1: Намаляване на регулаторната тежест за предприятията</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Намаляване на административната тежест за предприемачите</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13</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15 – Съдебна реформа – инвестиции 1: Реформа </w:t>
            </w:r>
            <w:r>
              <w:rPr>
                <w:noProof/>
                <w:color w:val="000000"/>
              </w:rPr>
              <w:t>на съдебната карта – Реорганизация на съдилищата – реновиране на сгради</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Реконструирана площ на съдебните сгради (в m²) </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14</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15 – Съдебна реформа – инвестиции 1: Реорганизация на съдилищата – строителство/обществени поръчки за нови сгради</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Площ на по</w:t>
            </w:r>
            <w:r>
              <w:rPr>
                <w:noProof/>
                <w:color w:val="000000"/>
              </w:rPr>
              <w:t>строените или закупените съдебни сгради (в m²) </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15</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16 – Борба с корупцията и изпирането на пари – инвестиции 2: Оборудване и цифровизиране на полицейските сили – обучение и оборудване</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Въведени са обучение и оборудване, свързани с реформата на полицият</w:t>
            </w:r>
            <w:r>
              <w:rPr>
                <w:noProof/>
                <w:color w:val="000000"/>
              </w:rPr>
              <w:t>а</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16</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16 – Борба с корупцията и изпирането на пари – инвестиции 2: Оборудване и цифровизиране на полицейските сили – Реконструкция на сгради</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Размер на реновираната разгъната застроена площ на полицейските сгради за намаляване на енергийната </w:t>
            </w:r>
            <w:r>
              <w:rPr>
                <w:noProof/>
                <w:color w:val="000000"/>
              </w:rPr>
              <w:t>интензивност на сградите (в m²)</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17</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16 – Борба с корупцията и изпирането на пари, – инвестиции 2: Оборудване и цифровизиране на полицейските сили – нова информационна система за регистрация на чуждестранни жители (IS ECU)</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„Електронизиране на пр</w:t>
            </w:r>
            <w:r>
              <w:rPr>
                <w:noProof/>
                <w:color w:val="000000"/>
              </w:rPr>
              <w:t>оцедурите за издаване на разрешения за пребиваване с цел опростяване на процедурите за обществеността“</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18</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16 – Борба с корупцията и изпирането на пари – инвестиции 4: Укрепване на административния капацитет на различните равнища на управление – създаване </w:t>
            </w:r>
            <w:r>
              <w:rPr>
                <w:noProof/>
                <w:color w:val="000000"/>
              </w:rPr>
              <w:t>на съвместни центрове за услуги</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Създаване на общи центрове за услуги.</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19</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 – Цифрова Словакия – инвестиции 1: По-добри услуги за гражданите и предприятията</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Платформа за разработване и предоставяне на приоритетни житейски ситуации</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20</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 –</w:t>
            </w:r>
            <w:r>
              <w:rPr>
                <w:noProof/>
                <w:color w:val="000000"/>
              </w:rPr>
              <w:t xml:space="preserve"> Цифрова Словакия – инвестиции 2: Цифрова трансформация на предоставянето на обществени услуги</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Цифрова трансформация на отделите на публичната администрация</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21</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17 – Цифрова Словакия – инвестиции 3: Участие в трансгранични европейски проекти, свързани </w:t>
            </w:r>
            <w:r>
              <w:rPr>
                <w:noProof/>
                <w:color w:val="000000"/>
              </w:rPr>
              <w:t>с цифровата икономика</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Разработване и изграждане на суперкомпютъра за националния суперкомпютърен център</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22</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 – Цифрова Словакия – инвестиции 3: Участие в трансгранични европейски проекти, свързани с цифровата икономика</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Участие в многонационални цифрови проекти от предварително определения набор </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23</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 – Цифрова Словакия – инвестиции 4: Подкрепа за проекти, насочени към разработването и прилагането на водещи цифрови технологии</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проекти за разработване и прилагане</w:t>
            </w:r>
            <w:r>
              <w:rPr>
                <w:noProof/>
                <w:color w:val="000000"/>
              </w:rPr>
              <w:t xml:space="preserve"> на водещи цифрови технологии</w:t>
            </w:r>
          </w:p>
        </w:tc>
      </w:tr>
      <w:tr w:rsidR="00D4086A">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24</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17 – Цифрова Словакия – Инвестиция 6: Засилване на превантивните мерки, повишаване на скоростта на откриване и разрешаване на инциденти </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на обезопасените ИТ системи в публичната администрация</w:t>
            </w:r>
          </w:p>
        </w:tc>
      </w:tr>
      <w:tr w:rsidR="00D4086A">
        <w:trPr>
          <w:trHeight w:val="31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3828"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1275"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Размер на </w:t>
            </w:r>
            <w:r>
              <w:rPr>
                <w:noProof/>
                <w:color w:val="000000"/>
              </w:rPr>
              <w:t>вноската</w:t>
            </w:r>
          </w:p>
        </w:tc>
        <w:tc>
          <w:tcPr>
            <w:tcW w:w="4111"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rPr>
                <w:rFonts w:eastAsia="Times New Roman" w:cs="Calibri"/>
                <w:noProof/>
                <w:color w:val="000000"/>
              </w:rPr>
            </w:pPr>
            <w:r>
              <w:rPr>
                <w:noProof/>
              </w:rPr>
              <w:t xml:space="preserve">792 892 000 EUR   </w:t>
            </w:r>
          </w:p>
        </w:tc>
      </w:tr>
    </w:tbl>
    <w:p w:rsidR="00D4086A" w:rsidRDefault="00D4086A">
      <w:pPr>
        <w:pStyle w:val="Text1"/>
        <w:rPr>
          <w:noProof/>
        </w:rPr>
      </w:pPr>
    </w:p>
    <w:p w:rsidR="00D4086A" w:rsidRDefault="00D5307E">
      <w:pPr>
        <w:pStyle w:val="NumPar2"/>
        <w:numPr>
          <w:ilvl w:val="1"/>
          <w:numId w:val="49"/>
        </w:numPr>
        <w:rPr>
          <w:b/>
          <w:noProof/>
        </w:rPr>
      </w:pPr>
      <w:r>
        <w:rPr>
          <w:b/>
          <w:noProof/>
        </w:rPr>
        <w:t xml:space="preserve">Осмо плащане (невъзстановяема подкрепа): </w:t>
      </w:r>
    </w:p>
    <w:p w:rsidR="00D4086A" w:rsidRDefault="00D4086A">
      <w:pPr>
        <w:pStyle w:val="Text1"/>
        <w:rPr>
          <w:noProof/>
        </w:rPr>
      </w:pPr>
    </w:p>
    <w:tbl>
      <w:tblPr>
        <w:tblW w:w="10490" w:type="dxa"/>
        <w:tblInd w:w="-601" w:type="dxa"/>
        <w:tblLook w:val="04A0" w:firstRow="1" w:lastRow="0" w:firstColumn="1" w:lastColumn="0" w:noHBand="0" w:noVBand="1"/>
      </w:tblPr>
      <w:tblGrid>
        <w:gridCol w:w="1276"/>
        <w:gridCol w:w="3828"/>
        <w:gridCol w:w="1275"/>
        <w:gridCol w:w="4111"/>
      </w:tblGrid>
      <w:tr w:rsidR="00D4086A">
        <w:trPr>
          <w:trHeight w:val="1815"/>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Пореден номер</w:t>
            </w:r>
          </w:p>
        </w:tc>
        <w:tc>
          <w:tcPr>
            <w:tcW w:w="3828"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Свързана мярка (реформа или инвестиция)</w:t>
            </w:r>
          </w:p>
        </w:tc>
        <w:tc>
          <w:tcPr>
            <w:tcW w:w="1275"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Ключов етап / Цел</w:t>
            </w:r>
          </w:p>
        </w:tc>
        <w:tc>
          <w:tcPr>
            <w:tcW w:w="4111"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Наименование</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3 – Устойчив транспорт – инвестиции 2: Насърчаване на чист пътнически транспорт</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Брой на </w:t>
            </w:r>
            <w:r>
              <w:rPr>
                <w:noProof/>
                <w:color w:val="000000"/>
              </w:rPr>
              <w:t>доставения чист пътнически подвижен състав (среднопретеглен)</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4 – Декарбонизация на промишлеността – инвестиции 2: Гарантиране на функционирането на словашкия инспекторат по околната среда, свързан с декарбонизацията </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Увеличаване на капацитета на словашкия инспекторат по околната среда </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6 – Достъпност, развитие и качество на приобщаващото образование – реформа 4:Прилагане на инструменти за предотвратяване на преждевременното напускане на училище и адаптиране на прогр</w:t>
            </w:r>
            <w:r>
              <w:rPr>
                <w:noProof/>
                <w:color w:val="000000"/>
              </w:rPr>
              <w:t>амите за обучение от тип FF</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Дял на програмите за прогимназиално професионално образование (NSOV), оптимизирани в отговор на нуждите на пазара на труда </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4</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6 – Достъпност, развитие и качество на приобщаващото образование – инвестиции 1: Премахване на ба</w:t>
            </w:r>
            <w:r>
              <w:rPr>
                <w:noProof/>
                <w:color w:val="000000"/>
              </w:rPr>
              <w:t xml:space="preserve">риерите в училищните сгради </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Премахване на архитектурните бариери в по-големите средни училища</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5</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10 – Привличане и задържане на таланти – инвестиции 1: Инструменти за подкрепа и помощ за завърналите се лица, висококвалифицираните работници от трети </w:t>
            </w:r>
            <w:r>
              <w:rPr>
                <w:noProof/>
                <w:color w:val="000000"/>
              </w:rPr>
              <w:t>държави и членовете на техните семейства и чуждестранните студенти, които учат в Словакия</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Брой чужденци, които използват Информационния център на МОМ за миграцията </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6</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11 – Модерно и достъпно здравеопазване – Реформа 3 Централизация на управлението на </w:t>
            </w:r>
            <w:r>
              <w:rPr>
                <w:noProof/>
                <w:color w:val="000000"/>
              </w:rPr>
              <w:t>най-големите болници</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болници, участващи в централната система за управление</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7</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11 – Модерно и достъпно здравеопазване – инвестиции 4 Изграждане и рехабилитация на станции за спешна медицинска помощ (услуги за спешна помощ)</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Брой на изградените </w:t>
            </w:r>
            <w:r>
              <w:rPr>
                <w:noProof/>
                <w:color w:val="000000"/>
              </w:rPr>
              <w:t>или реконструирани станции за спешна медицинска помощ</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8</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12 – Човешко, модерно и достъпно психично здравеопазване – Реформа 1: Координирано междуведомствено сътрудничество и регулиране</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Създаване на две координационни звена в областта на психичн</w:t>
            </w:r>
            <w:r>
              <w:rPr>
                <w:noProof/>
                <w:color w:val="000000"/>
              </w:rPr>
              <w:t>ото здраве</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9</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12 – Човешко, модерно и достъпно психично здравеопазване – инвестиции 6: Създаване на хранилище за психодиагностични методи</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регистрирани и стандартизирани психодиагностични методи</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10</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12 – Човешко, модерно и достъпно психично </w:t>
            </w:r>
            <w:r>
              <w:rPr>
                <w:noProof/>
                <w:color w:val="000000"/>
              </w:rPr>
              <w:t>здравеопазване – инвестиции 8: Обучение на персонала в областта на психичното здраве</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Брой на работещите в здравния сектор, обучени в областта на психичното здраве </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11</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13 – Достъпни и висококачествени дългосрочни социално-здравни грижи – Удължаване и в</w:t>
            </w:r>
            <w:r>
              <w:rPr>
                <w:noProof/>
                <w:color w:val="000000"/>
              </w:rPr>
              <w:t>ъзстановяване на капацитета за последващи грижи и сестрински грижи</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Удължаване и подновяване на доставчиците на здравни грижи в домашни условия (показател: брой на подпомогнатите доставчици)</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12</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13 – Достъпни и висококачествени дългосрочни социално-здра</w:t>
            </w:r>
            <w:r>
              <w:rPr>
                <w:noProof/>
                <w:color w:val="000000"/>
              </w:rPr>
              <w:t xml:space="preserve">вни грижи – Разширяване и възстановяване на капацитета за палиативни грижи </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Разширяване и обновяване на мобилната мрежа от хосписи (показател: брой нови и реконструирани доставчици)</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13</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14 – Подобряване на бизнес средата – Реформа 1: Намаляване на </w:t>
            </w:r>
            <w:r>
              <w:rPr>
                <w:noProof/>
                <w:color w:val="000000"/>
              </w:rPr>
              <w:t>регулаторната тежест за предприятията</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Правилото „1in-2“ – предварителна оценка за предотвратяване на свръхрегулирането и последващи оценки на съществуващото регулиране </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14</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15 – Съдебна реформа – инвестиции 2: Инструменти за подкрепа на реформа</w:t>
            </w:r>
            <w:r>
              <w:rPr>
                <w:noProof/>
                <w:color w:val="000000"/>
              </w:rPr>
              <w:t>та на Съдебната карта – Търговски регистър и централизирана система за съдебно управление</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Разработване и предаване на ИС – Централизирана съдебна система за управление</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15</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 – Цифрова Словакия – инвестиции 1: По-добри услуги за гражданите и пр</w:t>
            </w:r>
            <w:r>
              <w:rPr>
                <w:noProof/>
                <w:color w:val="000000"/>
              </w:rPr>
              <w:t>едприятията</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на изградените и внедрени решения за електронно управление</w:t>
            </w:r>
          </w:p>
        </w:tc>
      </w:tr>
      <w:tr w:rsidR="00D4086A">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16</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 – Цифрова Словакия – инвестиции 6: Засилване на превантивните мерки, повишаване на скоростта на откриване и разрешаване на инциденти</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Одити на сигурността на заявленията в публичната администрация </w:t>
            </w:r>
          </w:p>
        </w:tc>
      </w:tr>
      <w:tr w:rsidR="00D4086A">
        <w:trPr>
          <w:trHeight w:val="31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3828"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1275"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0000"/>
              </w:rPr>
            </w:pPr>
            <w:r>
              <w:rPr>
                <w:noProof/>
                <w:color w:val="000000"/>
              </w:rPr>
              <w:t>Размер на вноската</w:t>
            </w:r>
          </w:p>
        </w:tc>
        <w:tc>
          <w:tcPr>
            <w:tcW w:w="4111"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rPr>
                <w:rFonts w:eastAsia="Times New Roman" w:cs="Calibri"/>
                <w:noProof/>
                <w:color w:val="000000"/>
              </w:rPr>
            </w:pPr>
            <w:r>
              <w:rPr>
                <w:noProof/>
                <w:color w:val="000000"/>
              </w:rPr>
              <w:t xml:space="preserve">400 083 000 EUR   </w:t>
            </w:r>
          </w:p>
        </w:tc>
      </w:tr>
    </w:tbl>
    <w:p w:rsidR="00D4086A" w:rsidRDefault="00D4086A">
      <w:pPr>
        <w:pStyle w:val="Text1"/>
        <w:rPr>
          <w:noProof/>
        </w:rPr>
      </w:pPr>
    </w:p>
    <w:p w:rsidR="00D4086A" w:rsidRDefault="00D4086A">
      <w:pPr>
        <w:pStyle w:val="Text1"/>
        <w:ind w:left="0"/>
        <w:rPr>
          <w:noProof/>
        </w:rPr>
      </w:pPr>
    </w:p>
    <w:p w:rsidR="00D4086A" w:rsidRDefault="00D5307E">
      <w:pPr>
        <w:pStyle w:val="NumPar2"/>
        <w:numPr>
          <w:ilvl w:val="1"/>
          <w:numId w:val="49"/>
        </w:numPr>
        <w:rPr>
          <w:b/>
          <w:noProof/>
        </w:rPr>
      </w:pPr>
      <w:r>
        <w:rPr>
          <w:b/>
          <w:noProof/>
        </w:rPr>
        <w:t xml:space="preserve">Девето плащане (невъзстановяема подкрепа): </w:t>
      </w:r>
    </w:p>
    <w:p w:rsidR="00D4086A" w:rsidRDefault="00D4086A">
      <w:pPr>
        <w:pStyle w:val="Text1"/>
        <w:rPr>
          <w:noProof/>
        </w:rPr>
      </w:pPr>
    </w:p>
    <w:tbl>
      <w:tblPr>
        <w:tblW w:w="10490" w:type="dxa"/>
        <w:tblInd w:w="-601" w:type="dxa"/>
        <w:tblLook w:val="04A0" w:firstRow="1" w:lastRow="0" w:firstColumn="1" w:lastColumn="0" w:noHBand="0" w:noVBand="1"/>
      </w:tblPr>
      <w:tblGrid>
        <w:gridCol w:w="1276"/>
        <w:gridCol w:w="3828"/>
        <w:gridCol w:w="1275"/>
        <w:gridCol w:w="4111"/>
      </w:tblGrid>
      <w:tr w:rsidR="00D4086A">
        <w:trPr>
          <w:trHeight w:val="915"/>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Пореден номер</w:t>
            </w:r>
          </w:p>
        </w:tc>
        <w:tc>
          <w:tcPr>
            <w:tcW w:w="3828"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Свързана мярка (реформа или инвестиция)</w:t>
            </w:r>
          </w:p>
        </w:tc>
        <w:tc>
          <w:tcPr>
            <w:tcW w:w="1275"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Ключов етап / Цел</w:t>
            </w:r>
          </w:p>
        </w:tc>
        <w:tc>
          <w:tcPr>
            <w:tcW w:w="4111"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Наименование</w:t>
            </w:r>
          </w:p>
        </w:tc>
      </w:tr>
      <w:tr w:rsidR="00D4086A">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5 – </w:t>
            </w:r>
            <w:r>
              <w:rPr>
                <w:noProof/>
                <w:color w:val="000000"/>
              </w:rPr>
              <w:t>Адаптиране към изменението на климата – инвестиции 1: Адаптиране на регионите към изменението на климата с акцент върху опазването на природата и развитието на биологичното разнообразие</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Заселване на имоти с частни собственици на земя (в площи, засети в</w:t>
            </w:r>
            <w:r>
              <w:rPr>
                <w:noProof/>
                <w:color w:val="000000"/>
              </w:rPr>
              <w:t xml:space="preserve"> хектари)</w:t>
            </w:r>
          </w:p>
        </w:tc>
      </w:tr>
      <w:tr w:rsidR="00D4086A">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6 – Достъпност, развитие и качество на приобщаващото образование – реформа 5: Подкрепа за премахване на сегрегацията в училищата</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Влизане в сила на законодателното определение за сегрегация в училищата</w:t>
            </w:r>
          </w:p>
        </w:tc>
      </w:tr>
      <w:tr w:rsidR="00D4086A">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6 – Достъпност, развитие и </w:t>
            </w:r>
            <w:r>
              <w:rPr>
                <w:noProof/>
                <w:color w:val="000000"/>
              </w:rPr>
              <w:t>качество на приобщаващото образование – Реформа 1: Осигуряване на условия за прилагане на задължително предучилищно образование за деца на възраст над 5 години и въвеждане на законно право на място в детска градина или други доставчици на предучилищно обра</w:t>
            </w:r>
            <w:r>
              <w:rPr>
                <w:noProof/>
                <w:color w:val="000000"/>
              </w:rPr>
              <w:t>зование от 3-годишна възраст</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новоизградени мощности</w:t>
            </w:r>
          </w:p>
        </w:tc>
      </w:tr>
      <w:tr w:rsidR="00D4086A">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4</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6 – Достъпност, развитие и качество на приобщаващото образование – Реформа 2:Определяне на понятието за специални образователни потребности на децата и учениците и разработване на модел за доп</w:t>
            </w:r>
            <w:r>
              <w:rPr>
                <w:noProof/>
                <w:color w:val="000000"/>
              </w:rPr>
              <w:t>устими мерки за подкрепа в образованието и образованието, включително тяхната система за финансиране</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обучени учители и специализиран персонал</w:t>
            </w:r>
          </w:p>
        </w:tc>
      </w:tr>
      <w:tr w:rsidR="00D4086A">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5</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6 – Достъпност, развитие и качество на приобщаващото образование – реформа 5: Подкрепа за премахване </w:t>
            </w:r>
            <w:r>
              <w:rPr>
                <w:noProof/>
                <w:color w:val="000000"/>
              </w:rPr>
              <w:t>на сегрегацията в училищата</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rPr>
                <w:rFonts w:eastAsia="Times New Roman" w:cs="Calibri"/>
                <w:noProof/>
                <w:color w:val="000000"/>
              </w:rPr>
            </w:pPr>
            <w:r>
              <w:rPr>
                <w:noProof/>
                <w:color w:val="000000"/>
              </w:rPr>
              <w:t>Процент на училищата, прилагащи стандарти за премахване на сегрегацията, произтичащи от приетата методология</w:t>
            </w:r>
          </w:p>
        </w:tc>
      </w:tr>
      <w:tr w:rsidR="00D4086A">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6</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7 – Образование за 21 век – Реформа на образованието 1: Реформа на учебното съдържание и формата – реформа на уч</w:t>
            </w:r>
            <w:r>
              <w:rPr>
                <w:noProof/>
                <w:color w:val="000000"/>
              </w:rPr>
              <w:t>ебниците и учебниците</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Начални училища, които прилагат новата учебна програма (в проценти) </w:t>
            </w:r>
          </w:p>
        </w:tc>
      </w:tr>
      <w:tr w:rsidR="00D4086A">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7</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7 – Образование за 21 век – Реформа на образованието 1: Реформа на учебното съдържание и формата – реформа на учебниците и учебниците</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Въвеждане на онлайн </w:t>
            </w:r>
            <w:r>
              <w:rPr>
                <w:noProof/>
                <w:color w:val="000000"/>
              </w:rPr>
              <w:t>матура (окончателен изпит за завършили гимназиален етап на средното образование)</w:t>
            </w:r>
          </w:p>
        </w:tc>
      </w:tr>
      <w:tr w:rsidR="00D4086A">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8</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10 – Привличане и задържане на таланти – инвестиции 4: Насърчаване на интернационализацията в академичната среда</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проекти, подкрепени за насърчаване или развитие на</w:t>
            </w:r>
            <w:r>
              <w:rPr>
                <w:noProof/>
                <w:color w:val="000000"/>
              </w:rPr>
              <w:t xml:space="preserve"> интернационализацията на университетите и научноизследователските институции</w:t>
            </w:r>
          </w:p>
        </w:tc>
      </w:tr>
      <w:tr w:rsidR="00D4086A">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9</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11 – Модерно и достъпно здравеопазване-Реформа 1 Оптимизиране на болничната мрежа (ООН)</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Дял на препрофилираните болници (разрешени в рамките на общите и специализирани бол</w:t>
            </w:r>
            <w:r>
              <w:rPr>
                <w:noProof/>
                <w:color w:val="000000"/>
              </w:rPr>
              <w:t>ници) в рамките на новата болнична мрежа</w:t>
            </w:r>
          </w:p>
        </w:tc>
      </w:tr>
      <w:tr w:rsidR="00D4086A">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10</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11 – Модерно и достъпно здравеопазване – инвестиции 1 Подкрепа за откриването на нови първични здравни грижи </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Брой на клиниките за първична помощ за амбулаторно лечение, подкрепени от пилотна програма </w:t>
            </w:r>
          </w:p>
        </w:tc>
      </w:tr>
      <w:tr w:rsidR="00D4086A">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11</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11 – Модерно и достъпно здравеопазване – инвестиции 2 Нова болнична мрежа – строителство, реконструкция и оборудване</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Легла, предоставени в модернизирани болници </w:t>
            </w:r>
          </w:p>
        </w:tc>
      </w:tr>
      <w:tr w:rsidR="00D4086A">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12</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11 – Модерно и достъпно здравеопазване – инвестиции 3 Цифровизация в здравеопазването</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Брой болници, свързани с централната система ERP </w:t>
            </w:r>
          </w:p>
        </w:tc>
      </w:tr>
      <w:tr w:rsidR="00D4086A">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13</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12 – Човешко, модерно и достъпно психично здравеопазване – инвестиции 2: Създаване на центрове за задържане</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Капацитет на центровете за задържане на пациенти</w:t>
            </w:r>
          </w:p>
        </w:tc>
      </w:tr>
      <w:tr w:rsidR="00D4086A">
        <w:trPr>
          <w:trHeight w:val="8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14</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12 – Човешки, модерни и достъпни грижи за психичното здраве-Инвестиции 3: Изграждане на психо-социални центрове; Инвестиция 4: Завършване на психиатричната неподвижна мрежа; Инвестиция 5: Създаване на специализирани центрове за разстройства на аутистичния </w:t>
            </w:r>
            <w:r>
              <w:rPr>
                <w:noProof/>
                <w:color w:val="000000"/>
              </w:rPr>
              <w:t xml:space="preserve">спектър </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на създадените в общността центрове за грижи за психичното здраве</w:t>
            </w:r>
          </w:p>
        </w:tc>
      </w:tr>
      <w:tr w:rsidR="00D4086A">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15</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12 – Човешки, модерни и достъпни грижи за психичното здраве-Инвестиции 7: Хуманизиране на институционалните психиатрични грижи</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Капацитет на пациентите в </w:t>
            </w:r>
            <w:r>
              <w:rPr>
                <w:noProof/>
                <w:color w:val="000000"/>
              </w:rPr>
              <w:t>преобразувани стаи в институционални психиатрични грижи.</w:t>
            </w:r>
          </w:p>
        </w:tc>
      </w:tr>
      <w:tr w:rsidR="00D4086A">
        <w:trPr>
          <w:trHeight w:val="1271"/>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16</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13 – Достъпни и висококачествени дългосрочни социално-здравни грижи – Разширяване и възстановяване на капацитета за палиативни грижи</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Разширяване и обновяване на капацитета за палиативни грижи</w:t>
            </w:r>
            <w:r>
              <w:rPr>
                <w:noProof/>
                <w:color w:val="000000"/>
              </w:rPr>
              <w:t xml:space="preserve"> с настаняване (показател: брой създадени и възстановени места за легло)</w:t>
            </w:r>
          </w:p>
        </w:tc>
      </w:tr>
      <w:tr w:rsidR="00D4086A">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17</w:t>
            </w:r>
          </w:p>
        </w:tc>
        <w:tc>
          <w:tcPr>
            <w:tcW w:w="3828"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13 – Достъпни и висококачествени дългосрочни социално-здравни грижи – Реформа на интеграцията и финансирането на дългосрочните социални и здравни грижи</w:t>
            </w:r>
          </w:p>
        </w:tc>
        <w:tc>
          <w:tcPr>
            <w:tcW w:w="1275"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11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Новата система </w:t>
            </w:r>
            <w:r>
              <w:rPr>
                <w:noProof/>
                <w:color w:val="000000"/>
              </w:rPr>
              <w:t>за финансиране на социалните услуги – въвеждане на личен бюджет</w:t>
            </w:r>
          </w:p>
        </w:tc>
      </w:tr>
      <w:tr w:rsidR="00D4086A">
        <w:trPr>
          <w:trHeight w:val="31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3828"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0000"/>
              </w:rPr>
            </w:pPr>
            <w:r>
              <w:rPr>
                <w:noProof/>
                <w:color w:val="000000"/>
              </w:rPr>
              <w:t> </w:t>
            </w:r>
          </w:p>
        </w:tc>
        <w:tc>
          <w:tcPr>
            <w:tcW w:w="1275"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0000"/>
              </w:rPr>
            </w:pPr>
            <w:r>
              <w:rPr>
                <w:noProof/>
                <w:color w:val="000000"/>
              </w:rPr>
              <w:t>Размер на вноската</w:t>
            </w:r>
          </w:p>
        </w:tc>
        <w:tc>
          <w:tcPr>
            <w:tcW w:w="4111"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rPr>
                <w:rFonts w:eastAsia="Times New Roman" w:cs="Calibri"/>
                <w:noProof/>
                <w:color w:val="000000"/>
              </w:rPr>
            </w:pPr>
            <w:r>
              <w:rPr>
                <w:noProof/>
                <w:color w:val="000000"/>
              </w:rPr>
              <w:t xml:space="preserve"> 203 679 000 EUR   </w:t>
            </w:r>
          </w:p>
        </w:tc>
      </w:tr>
    </w:tbl>
    <w:p w:rsidR="00D4086A" w:rsidRDefault="00D4086A">
      <w:pPr>
        <w:pStyle w:val="Text1"/>
        <w:ind w:left="0"/>
        <w:rPr>
          <w:noProof/>
        </w:rPr>
      </w:pPr>
    </w:p>
    <w:p w:rsidR="00D4086A" w:rsidRDefault="00D5307E">
      <w:pPr>
        <w:pStyle w:val="NumPar2"/>
        <w:numPr>
          <w:ilvl w:val="1"/>
          <w:numId w:val="49"/>
        </w:numPr>
        <w:rPr>
          <w:b/>
          <w:noProof/>
        </w:rPr>
      </w:pPr>
      <w:r>
        <w:rPr>
          <w:b/>
          <w:noProof/>
        </w:rPr>
        <w:t xml:space="preserve">Десета заплата (невъзстановима подкрепа): </w:t>
      </w:r>
    </w:p>
    <w:p w:rsidR="00D4086A" w:rsidRDefault="00D4086A">
      <w:pPr>
        <w:pStyle w:val="NumPar2"/>
        <w:numPr>
          <w:ilvl w:val="0"/>
          <w:numId w:val="0"/>
        </w:numPr>
        <w:rPr>
          <w:noProof/>
          <w:lang w:val="fr-BE"/>
        </w:rPr>
      </w:pPr>
    </w:p>
    <w:tbl>
      <w:tblPr>
        <w:tblW w:w="10490" w:type="dxa"/>
        <w:tblInd w:w="-601" w:type="dxa"/>
        <w:tblLook w:val="04A0" w:firstRow="1" w:lastRow="0" w:firstColumn="1" w:lastColumn="0" w:noHBand="0" w:noVBand="1"/>
      </w:tblPr>
      <w:tblGrid>
        <w:gridCol w:w="1339"/>
        <w:gridCol w:w="3831"/>
        <w:gridCol w:w="1241"/>
        <w:gridCol w:w="4079"/>
      </w:tblGrid>
      <w:tr w:rsidR="00D4086A">
        <w:trPr>
          <w:trHeight w:val="1380"/>
        </w:trPr>
        <w:tc>
          <w:tcPr>
            <w:tcW w:w="1339"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Пореден номер</w:t>
            </w:r>
          </w:p>
        </w:tc>
        <w:tc>
          <w:tcPr>
            <w:tcW w:w="3831"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Свързана мярка (реформа или инвестиция)</w:t>
            </w:r>
          </w:p>
        </w:tc>
        <w:tc>
          <w:tcPr>
            <w:tcW w:w="1241"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Ключов етап / Цел</w:t>
            </w:r>
          </w:p>
        </w:tc>
        <w:tc>
          <w:tcPr>
            <w:tcW w:w="4079" w:type="dxa"/>
            <w:tcBorders>
              <w:top w:val="single" w:sz="8" w:space="0" w:color="auto"/>
              <w:left w:val="nil"/>
              <w:bottom w:val="single" w:sz="8" w:space="0" w:color="auto"/>
              <w:right w:val="single" w:sz="8" w:space="0" w:color="auto"/>
            </w:tcBorders>
            <w:shd w:val="clear" w:color="000000" w:fill="BDD7EE"/>
            <w:vAlign w:val="center"/>
            <w:hideMark/>
          </w:tcPr>
          <w:p w:rsidR="00D4086A" w:rsidRDefault="00D5307E">
            <w:pPr>
              <w:spacing w:after="0" w:line="240" w:lineRule="auto"/>
              <w:jc w:val="center"/>
              <w:rPr>
                <w:rFonts w:eastAsia="Times New Roman" w:cs="Calibri"/>
                <w:b/>
                <w:bCs/>
                <w:noProof/>
                <w:color w:val="000000"/>
              </w:rPr>
            </w:pPr>
            <w:r>
              <w:rPr>
                <w:b/>
                <w:bCs/>
                <w:noProof/>
                <w:color w:val="000000"/>
              </w:rPr>
              <w:t>Наименование</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 – </w:t>
            </w:r>
            <w:r>
              <w:rPr>
                <w:noProof/>
                <w:color w:val="000000"/>
              </w:rPr>
              <w:t>Възобновяеми енергийни източници и енергийна инфраструктура – Инвестиция 1:  Изграждане на нови възобновяеми енергийни източници</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Нов капацитет на възобновяемите енергийни източници  </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 – Възобновяеми енергийни източници и енергийна инфраструктура – </w:t>
            </w:r>
            <w:r>
              <w:rPr>
                <w:noProof/>
                <w:color w:val="000000"/>
              </w:rPr>
              <w:t>инвестиции 2: Модернизиране на съществуващите възобновяеми източници на електроенергия (увеличаване на мощността)</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Реконструиран капацитет на възобновяеми енергийни източници</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 – Възобновяеми енергийни източници и енергийна инфраструктура – инвестици</w:t>
            </w:r>
            <w:r>
              <w:rPr>
                <w:noProof/>
                <w:color w:val="000000"/>
              </w:rPr>
              <w:t xml:space="preserve">и 3: Повишаване на гъвкавостта на електроенергийните системи за по-голяма интеграция на възобновяемите енергийни източници </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Кумулативно увеличение на капацитета на инсталациите, увеличаващо гъвкавостта на енергийните системи </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4</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2 – Реновиране на сград</w:t>
            </w:r>
            <w:r>
              <w:rPr>
                <w:noProof/>
                <w:color w:val="000000"/>
              </w:rPr>
              <w:t xml:space="preserve">и – Инвестиция 1: Подобряване на енергийната ефективност на семейните къщи </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Брой реновирани семейни къщи, които постигат най-малко 30 % икономии на първична енергия </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5</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2 – Реновиране на сгради – Инвестиция 2: Реновиране на обществени исторически и котирани сгради </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Площ (m2) на реновираните обществени исторически и монументални защитени сгради</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6</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3 – Устойчив транспорт – Реформа 2: Реформа на обществения пътнически тр</w:t>
            </w:r>
            <w:r>
              <w:rPr>
                <w:noProof/>
                <w:color w:val="000000"/>
              </w:rPr>
              <w:t>анспорт</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на окръзите, в които е въведена тарифна интеграция, позволяваща пътуване с множество видове обществен транспорт или от превозвачи на билет</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7</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3 – Устойчив транспорт – инвестиции 1: Развитие на транспортна инфраструктура с ниски въглеродни </w:t>
            </w:r>
            <w:r>
              <w:rPr>
                <w:noProof/>
                <w:color w:val="000000"/>
              </w:rPr>
              <w:t>емисии</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Дължина на новата велосипедна инфраструктура (km)</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8</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3 – Устойчив транспорт – инвестиции 1: Развитие на транспортна инфраструктура с ниски въглеродни емисии</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Дължина на чистата пътническа железопътна инфраструктура, реконструирана или </w:t>
            </w:r>
            <w:r>
              <w:rPr>
                <w:noProof/>
                <w:color w:val="000000"/>
              </w:rPr>
              <w:t>модернизирана (в километри)</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9</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3 – Устойчив транспорт – инвестиции 1: Развитие на транспортна инфраструктура с ниски въглеродни емисии</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 Дължина на изпратените участъци от железопътните линии (km)</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10</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3 – Устойчив транспорт – инвестиции 3: Развитие на </w:t>
            </w:r>
            <w:r>
              <w:rPr>
                <w:noProof/>
                <w:color w:val="000000"/>
              </w:rPr>
              <w:t>интермодалния товарен транспорт</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 Брой на интермодалните транспортни единици, доставени в двадесетфутови еквивалентни единици  </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11</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3 – Устойчив транспорт – инвестиции 4: Подкрепа за развитието на инфраструктура за превозни средства, използващи алтернат</w:t>
            </w:r>
            <w:r>
              <w:rPr>
                <w:noProof/>
                <w:color w:val="000000"/>
              </w:rPr>
              <w:t xml:space="preserve">ивни горива </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на функциониращите зарядни точки или точки за зареждане с водород.</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12</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4 – Декарбонизация на промишлеността – Инвестиция 1:  Функционирането на схемата за декарбонизация на промишлеността</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 Приключване на изпълнението на пр</w:t>
            </w:r>
            <w:r>
              <w:rPr>
                <w:noProof/>
                <w:color w:val="000000"/>
              </w:rPr>
              <w:t>оектите за декарбонизация на промишлеността, съфинансирани от Механизма за възстановяване и устойчивост</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13</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5 – Адаптиране към изменението на климата – инвестиции 1: Адаптиране на регионите към изменението на климата с акцент върху опазването на природата </w:t>
            </w:r>
            <w:r>
              <w:rPr>
                <w:noProof/>
                <w:color w:val="000000"/>
              </w:rPr>
              <w:t>и развитието на биологичното разнообразие</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Рехабилитация на водни течения (в километри рехабилитирани водни течения)</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14</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7 – Образование за 21 век – инвестиции 2: Приключване на училищната инфраструктура</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Премахване на двойните смени училища </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15</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8 –</w:t>
            </w:r>
            <w:r>
              <w:rPr>
                <w:noProof/>
                <w:color w:val="000000"/>
              </w:rPr>
              <w:t xml:space="preserve"> Увеличаване на резултатите на словашките висши учебни заведения – Реформа 5: Концентрация на отлични образователни и научноизследователски способности</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Приключване на процеса на сливане на изследователски единици </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16</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8 – Увеличение на </w:t>
            </w:r>
            <w:r>
              <w:rPr>
                <w:noProof/>
                <w:color w:val="000000"/>
              </w:rPr>
              <w:t>резултатите на словашките висши учебни заведения – Инвестиции1: подкрепа за стратегическото развитие на университетите</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реконструирана университетска площ и общежитие с икономии на първична енергия над 30 % (в m2)</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17</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9 – По-ефективно управление и </w:t>
            </w:r>
            <w:r>
              <w:rPr>
                <w:noProof/>
                <w:color w:val="000000"/>
              </w:rPr>
              <w:t>укрепване на финансирането на научните изследвания, развойната дейност и иновациите – Инвестиция 3: Високи постижения в научната област</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Брой на подкрепените отлични изследователи </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18</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9 – По-ефективно управление и укрепване на финансирането на научните</w:t>
            </w:r>
            <w:r>
              <w:rPr>
                <w:noProof/>
                <w:color w:val="000000"/>
              </w:rPr>
              <w:t xml:space="preserve"> изследвания, развойната дейност и иновациите – Инвестиция 1: Насърчаване на международното сътрудничество и участие в проекти по „Хоризонт Европа“ и EIT</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Финансова подкрепа за заявления и участващи проекти по програмите „Хоризонт Европа“ по покани за </w:t>
            </w:r>
            <w:r>
              <w:rPr>
                <w:noProof/>
                <w:color w:val="000000"/>
              </w:rPr>
              <w:t>представяне на предложения, финансирани от Фонда за възстановяване.</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19</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9 – По-ефективно управление и укрепване на финансирането на научните изследвания, развойната дейност и иновациите – Инвестиция 2: Подкрепа за сътрудничеството между предприятията, акад</w:t>
            </w:r>
            <w:r>
              <w:rPr>
                <w:noProof/>
                <w:color w:val="000000"/>
              </w:rPr>
              <w:t>емичните среди и организациите за научни изследвания и развойна дейност</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на подкрепените съвместни проекти и ваучери</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20</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9 – По-ефективно управление и укрепване на финансирането на научните изследвания, развойната дейност и иновациите – Инвестиция </w:t>
            </w:r>
            <w:r>
              <w:rPr>
                <w:noProof/>
                <w:color w:val="000000"/>
              </w:rPr>
              <w:t>4: Научни изследвания и иновации за декарбонизация на икономиката</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проекти за справяне с предизвикателствата на екологичния преход, които са приключени</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21</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9 – По-ефективно управление и укрепване на финансирането на научните изследвания, развойната</w:t>
            </w:r>
            <w:r>
              <w:rPr>
                <w:noProof/>
                <w:color w:val="000000"/>
              </w:rPr>
              <w:t xml:space="preserve"> дейност и иновациите – Инвестиция 5: Научни изследвания и иновации за цифровизацията на икономиката</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проекти за научни изследвания, развитие и иновации, насочени към предизвикателствата на цифровата трансформация, които са приключени</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22</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9 – </w:t>
            </w:r>
            <w:r>
              <w:rPr>
                <w:noProof/>
                <w:color w:val="000000"/>
              </w:rPr>
              <w:t>По-ефективно управление и укрепване на финансирането на научните изследвания, развойната дейност и иновациите – Инвестиция 6: Финансови инструменти в подкрепа на иновациите</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Брой дружества, получили подкрепа чрез финансови инструменти </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23</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10 – Привлича</w:t>
            </w:r>
            <w:r>
              <w:rPr>
                <w:noProof/>
                <w:color w:val="000000"/>
              </w:rPr>
              <w:t>не и задържане на таланти – инвестиции 2: Укрепване на отношенията с диаспората в подкрепа на гражданските инициативи</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на подкрепените събития за укрепване на отношенията с диаспората</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24</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10 – Привличане и задържане на таланти – инвестиции 4: </w:t>
            </w:r>
            <w:r>
              <w:rPr>
                <w:noProof/>
                <w:color w:val="000000"/>
              </w:rPr>
              <w:t>Насърчаване на интернационализацията в академичната среда</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Подкрепени човекомесеци за стипендиантски програми за чуждестранна мобилност </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25</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13 – Достъпни и висококачествени дългосрочни социално-здравни грижи – инвестиции 1: Повишаване на капацитета за </w:t>
            </w:r>
            <w:r>
              <w:rPr>
                <w:noProof/>
                <w:color w:val="000000"/>
              </w:rPr>
              <w:t xml:space="preserve">социални грижи в общността </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Повишаване на капацитета на местните жилищни услуги и на здравните и социални заведения с нисък капацитет (показател: минимален брой създадени места)</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26</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13 – Достъпни и висококачествени дългосрочни социално-здравни грижи – инвестиции 1: Повишаване на капацитета за социални грижи в общността </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Увеличаване на капацитета за амбулаторно обслужване (показател: минимален брой създадени места)</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27</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13 – </w:t>
            </w:r>
            <w:r>
              <w:rPr>
                <w:noProof/>
                <w:color w:val="000000"/>
              </w:rPr>
              <w:t>Достъпни и висококачествени дългосрочни социално-здравни грижи – инвестиции 2: Увеличаване и възстановяване на капацитета за последващи грижи и сестрински грижи</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Създаване на легла след полагане на грижи чрез реконструиране на съществуващи остри и хрони</w:t>
            </w:r>
            <w:r>
              <w:rPr>
                <w:noProof/>
                <w:color w:val="000000"/>
              </w:rPr>
              <w:t>чни легла (показател: минимален брой реконструирани легла за последващи грижи)</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28</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15 – Съдебна реформа – инвестиции 2: Цифровизация и аналитичен капацитет</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Модернизиране на информационно-технологичното оборудване на съдилищата за съдебните служители </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29</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15 – Съдебна реформа – инвестиции 2: Цифровизация и аналитичен капацитет</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Създаване на аналитична платформа за подкрепа на достъпа до съдебната практика в съдилищата</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30</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16 – Борба с корупцията и изпирането на пари – инвестиции 2: Оборудване </w:t>
            </w:r>
            <w:r>
              <w:rPr>
                <w:noProof/>
                <w:color w:val="000000"/>
              </w:rPr>
              <w:t>и цифровизиране на полицейските сили – автоматизирана система за разкриване на пътнотранспортни нарушения</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етап</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Автоматизиране на системата за установяване на нарушения на правилата за движение по пътищата в пълна експлоатация</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31</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16 – Борба с корупц</w:t>
            </w:r>
            <w:r>
              <w:rPr>
                <w:noProof/>
                <w:color w:val="000000"/>
              </w:rPr>
              <w:t>ията и изпирането на пари – инвестиции 3: Модернизиране на противопожарната и спасителната система – изграждане на мрежа от интегрирани центрове за сигурност</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Изграждане и привеждане в действие на интегрирани центрове за сигурност</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32</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16 – Борба с коруп</w:t>
            </w:r>
            <w:r>
              <w:rPr>
                <w:noProof/>
                <w:color w:val="000000"/>
              </w:rPr>
              <w:t>цията и изпирането на пари – инвестиции 3: Модернизация на противопожарната и спасителната система – обновяване на сградите на противопожарната служба</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Модернизиране на противопожарните станции</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33</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16 – Борба с корупцията и изпирането на пари – </w:t>
            </w:r>
            <w:r>
              <w:rPr>
                <w:noProof/>
                <w:color w:val="000000"/>
              </w:rPr>
              <w:t>инвестиции 4: Укрепване на административния капацитет на различните равнища на управление – изграждане на платформа за специализирано обучение</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Автоматично обучение за специализация за всички новоназначени служители за първи контакт</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34</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17 – Цифрова </w:t>
            </w:r>
            <w:r>
              <w:rPr>
                <w:noProof/>
                <w:color w:val="000000"/>
              </w:rPr>
              <w:t>Словакия – инвестиции 1: По-добри услуги за гражданите и предприятията</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на изградените и внедрени решения за електронно управление</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35</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 – Цифрова Словакия – инвестиции 2: Цифрова трансформация на предоставянето на обществени услуги</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Цифрова трансформация на отделите на публичната администрация </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36</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 – Цифрова Словакия – Инвестиция 4: Подкрепа за проекти, насочени към разработването и прилагането на водещи цифрови технологии</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проекти за разработване и прилагане на водещи цифр</w:t>
            </w:r>
            <w:r>
              <w:rPr>
                <w:noProof/>
                <w:color w:val="000000"/>
              </w:rPr>
              <w:t>ови технологии</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37</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17 – Цифрова Словакия – Инвестиция 5: Бързи безвъзмездни средства – хакатони</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на организираните събития за бързо отпускане на безвъзмездни средства – хакатони</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38</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17 – Цифрова Словакия-Реформа 5: Подобряване на обучението и </w:t>
            </w:r>
            <w:r>
              <w:rPr>
                <w:noProof/>
                <w:color w:val="000000"/>
              </w:rPr>
              <w:t>уменията в областта на киберсигурността</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Брой ИТ персонал в публичната администрация, обучен в областта на киберсигурността </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39</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 xml:space="preserve">17 – Цифрова Словакия – Инвестиция 7: Подобряване на цифровите умения на възрастните хора и разпространението на таблети за </w:t>
            </w:r>
            <w:r>
              <w:rPr>
                <w:noProof/>
                <w:color w:val="000000"/>
              </w:rPr>
              <w:t>възрастни хора</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Цел</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Брой възрастни хора и лица в неравностойно положение, обучени за придобиване на основни цифрови умения</w:t>
            </w:r>
          </w:p>
        </w:tc>
      </w:tr>
      <w:tr w:rsidR="00D4086A">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40</w:t>
            </w:r>
          </w:p>
        </w:tc>
        <w:tc>
          <w:tcPr>
            <w:tcW w:w="383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18 – Равни, устойчиви и конкурентоспособни публични финанси – реформа 3: Реформа на управлението на публичните инвестиции</w:t>
            </w:r>
          </w:p>
        </w:tc>
        <w:tc>
          <w:tcPr>
            <w:tcW w:w="1241"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Ключов е</w:t>
            </w:r>
            <w:r>
              <w:rPr>
                <w:noProof/>
                <w:color w:val="000000"/>
              </w:rPr>
              <w:t>тап</w:t>
            </w:r>
          </w:p>
        </w:tc>
        <w:tc>
          <w:tcPr>
            <w:tcW w:w="4079" w:type="dxa"/>
            <w:tcBorders>
              <w:top w:val="nil"/>
              <w:left w:val="nil"/>
              <w:bottom w:val="single" w:sz="8" w:space="0" w:color="auto"/>
              <w:right w:val="single" w:sz="8" w:space="0" w:color="auto"/>
            </w:tcBorders>
            <w:shd w:val="clear" w:color="000000" w:fill="C6EFCE"/>
            <w:vAlign w:val="center"/>
            <w:hideMark/>
          </w:tcPr>
          <w:p w:rsidR="00D4086A" w:rsidRDefault="00D5307E">
            <w:pPr>
              <w:spacing w:after="0" w:line="240" w:lineRule="auto"/>
              <w:jc w:val="center"/>
              <w:rPr>
                <w:rFonts w:eastAsia="Times New Roman" w:cs="Calibri"/>
                <w:noProof/>
                <w:color w:val="000000"/>
              </w:rPr>
            </w:pPr>
            <w:r>
              <w:rPr>
                <w:noProof/>
                <w:color w:val="000000"/>
              </w:rPr>
              <w:t>прилагане на методологията за процедурите за подготовка и приоритизиране на инвестициите</w:t>
            </w:r>
          </w:p>
        </w:tc>
      </w:tr>
      <w:tr w:rsidR="00D4086A">
        <w:trPr>
          <w:trHeight w:val="31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3831"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6100"/>
              </w:rPr>
            </w:pPr>
            <w:r>
              <w:rPr>
                <w:noProof/>
                <w:color w:val="006100"/>
              </w:rPr>
              <w:t> </w:t>
            </w:r>
          </w:p>
        </w:tc>
        <w:tc>
          <w:tcPr>
            <w:tcW w:w="1241"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jc w:val="center"/>
              <w:rPr>
                <w:rFonts w:eastAsia="Times New Roman" w:cs="Calibri"/>
                <w:noProof/>
                <w:color w:val="000000"/>
              </w:rPr>
            </w:pPr>
            <w:r>
              <w:rPr>
                <w:noProof/>
                <w:color w:val="000000"/>
              </w:rPr>
              <w:t>Размер на вноската</w:t>
            </w:r>
          </w:p>
        </w:tc>
        <w:tc>
          <w:tcPr>
            <w:tcW w:w="4079" w:type="dxa"/>
            <w:tcBorders>
              <w:top w:val="nil"/>
              <w:left w:val="nil"/>
              <w:bottom w:val="single" w:sz="8" w:space="0" w:color="auto"/>
              <w:right w:val="single" w:sz="8" w:space="0" w:color="auto"/>
            </w:tcBorders>
            <w:shd w:val="clear" w:color="000000" w:fill="C6EFCE"/>
            <w:noWrap/>
            <w:vAlign w:val="center"/>
            <w:hideMark/>
          </w:tcPr>
          <w:p w:rsidR="00D4086A" w:rsidRDefault="00D5307E">
            <w:pPr>
              <w:spacing w:after="0" w:line="240" w:lineRule="auto"/>
              <w:rPr>
                <w:rFonts w:eastAsia="Times New Roman" w:cs="Calibri"/>
                <w:noProof/>
                <w:color w:val="000000"/>
              </w:rPr>
            </w:pPr>
            <w:r>
              <w:rPr>
                <w:noProof/>
                <w:color w:val="000000"/>
              </w:rPr>
              <w:t> 203 677 359 EUR</w:t>
            </w:r>
          </w:p>
        </w:tc>
      </w:tr>
    </w:tbl>
    <w:p w:rsidR="00D4086A" w:rsidRDefault="00D4086A">
      <w:pPr>
        <w:ind w:left="-851"/>
        <w:rPr>
          <w:noProof/>
        </w:rPr>
      </w:pPr>
    </w:p>
    <w:p w:rsidR="00D4086A" w:rsidRDefault="00D4086A">
      <w:pPr>
        <w:spacing w:before="360" w:after="120" w:line="240" w:lineRule="auto"/>
        <w:jc w:val="both"/>
        <w:outlineLvl w:val="0"/>
        <w:rPr>
          <w:rFonts w:ascii="Times New Roman" w:hAnsi="Times New Roman"/>
          <w:noProof/>
          <w:sz w:val="24"/>
          <w:szCs w:val="24"/>
        </w:rPr>
        <w:sectPr w:rsidR="00D4086A">
          <w:headerReference w:type="even" r:id="rId234"/>
          <w:headerReference w:type="default" r:id="rId235"/>
          <w:footerReference w:type="even" r:id="rId236"/>
          <w:footerReference w:type="default" r:id="rId237"/>
          <w:headerReference w:type="first" r:id="rId238"/>
          <w:footerReference w:type="first" r:id="rId239"/>
          <w:pgSz w:w="11907" w:h="16839"/>
          <w:pgMar w:top="1134" w:right="1418" w:bottom="1134" w:left="1418" w:header="709" w:footer="709" w:gutter="0"/>
          <w:cols w:space="720"/>
          <w:docGrid w:linePitch="360"/>
        </w:sectPr>
      </w:pPr>
    </w:p>
    <w:p w:rsidR="00D4086A" w:rsidRDefault="00D5307E">
      <w:pPr>
        <w:rPr>
          <w:rFonts w:ascii="Times New Roman" w:hAnsi="Times New Roman"/>
          <w:b/>
          <w:noProof/>
          <w:sz w:val="24"/>
        </w:rPr>
      </w:pPr>
      <w:r>
        <w:rPr>
          <w:rFonts w:ascii="Times New Roman" w:hAnsi="Times New Roman"/>
          <w:b/>
          <w:bCs/>
          <w:noProof/>
          <w:sz w:val="24"/>
        </w:rPr>
        <w:t xml:space="preserve">РАЗДЕЛ 3: ДОПЪЛНИТЕЛНИ МЕРКИ </w:t>
      </w:r>
    </w:p>
    <w:p w:rsidR="00D4086A" w:rsidRDefault="00D5307E">
      <w:pPr>
        <w:pStyle w:val="NormalLeft"/>
        <w:rPr>
          <w:b/>
          <w:noProof/>
        </w:rPr>
      </w:pPr>
      <w:r>
        <w:rPr>
          <w:b/>
          <w:noProof/>
        </w:rPr>
        <w:t xml:space="preserve">1. Мерки за мониторинг и изпълнение </w:t>
      </w:r>
      <w:r>
        <w:rPr>
          <w:b/>
          <w:noProof/>
        </w:rPr>
        <w:t>на плана за възстановяване и устойчивост</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 xml:space="preserve">Мониторингът и изпълнението на плана за възстановяване и устойчивост на Словакия се извършват в съответствие със следните мерки: </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За да гарантира ясно определени задачи, компетенции и правомощия, Словашката републик</w:t>
      </w:r>
      <w:r>
        <w:rPr>
          <w:rFonts w:ascii="Times New Roman" w:hAnsi="Times New Roman"/>
          <w:noProof/>
          <w:sz w:val="24"/>
        </w:rPr>
        <w:t>а подготвя специален закон за Механизма за възстановяване и устойчивост и изменя някои актове („Закон за Механизма за възстановяване и устойчивост или „Закон за Механизма за възстановяване и устойчивост“). Очаква се законът да урежда, наред с другото, подб</w:t>
      </w:r>
      <w:r>
        <w:rPr>
          <w:rFonts w:ascii="Times New Roman" w:hAnsi="Times New Roman"/>
          <w:noProof/>
          <w:sz w:val="24"/>
        </w:rPr>
        <w:t>ора на бенефициерите и техните отговорности, начина на извършване на финансови корекции и справяне с нередностите, конфликтите на интереси и обработването на лични данни. Очаква се също така тя да въведе мерки за защита на финансовите интереси на Европейск</w:t>
      </w:r>
      <w:r>
        <w:rPr>
          <w:rFonts w:ascii="Times New Roman" w:hAnsi="Times New Roman"/>
          <w:noProof/>
          <w:sz w:val="24"/>
        </w:rPr>
        <w:t>ия съюз на равнището на всеки субект, участващ в изпълнението. Той урежда мониторинга на постигането на ключовите етапи и крайните цели, както и системата за събиране на данни, обхващаща действителните собственици.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Националният орган за изпълнение и коорди</w:t>
      </w:r>
      <w:r>
        <w:rPr>
          <w:rFonts w:ascii="Times New Roman" w:hAnsi="Times New Roman"/>
          <w:noProof/>
          <w:sz w:val="24"/>
        </w:rPr>
        <w:t xml:space="preserve">нация (NIKA) е едно гише за изпълнението на словашкия план за възстановяване и устойчивост. Тя координира и направлява изпълнението и извършва проверки на изпълнителите на завещанието, посредниците и бенефициерите. Тя отговаря за мониторинга и оценката на </w:t>
      </w:r>
      <w:r>
        <w:rPr>
          <w:rFonts w:ascii="Times New Roman" w:hAnsi="Times New Roman"/>
          <w:noProof/>
          <w:sz w:val="24"/>
        </w:rPr>
        <w:t>изпълнението на плана и достигането на ключовите етапи, както и за предоставянето на Комисията на данните, събрани при поискване.</w:t>
      </w:r>
      <w:bookmarkStart w:id="1" w:name="_GoBack"/>
      <w:bookmarkEnd w:id="1"/>
    </w:p>
    <w:p w:rsidR="00D4086A" w:rsidRDefault="00D4086A">
      <w:pPr>
        <w:spacing w:before="120" w:after="120" w:line="240" w:lineRule="auto"/>
        <w:jc w:val="both"/>
        <w:rPr>
          <w:rFonts w:ascii="Times New Roman" w:hAnsi="Times New Roman"/>
          <w:noProof/>
          <w:sz w:val="24"/>
        </w:rPr>
      </w:pPr>
    </w:p>
    <w:p w:rsidR="00D4086A" w:rsidRDefault="00D5307E">
      <w:pPr>
        <w:pStyle w:val="NormalLeft"/>
        <w:rPr>
          <w:b/>
          <w:noProof/>
        </w:rPr>
      </w:pPr>
      <w:r>
        <w:rPr>
          <w:b/>
          <w:noProof/>
        </w:rPr>
        <w:t xml:space="preserve">2. </w:t>
      </w:r>
      <w:r>
        <w:rPr>
          <w:b/>
          <w:bCs/>
          <w:noProof/>
        </w:rPr>
        <w:t>Ред и условия за предоставяне на пълен достъп</w:t>
      </w:r>
      <w:r>
        <w:rPr>
          <w:b/>
          <w:noProof/>
        </w:rPr>
        <w:t xml:space="preserve"> на Комисията до основните данни</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Националният орган за изпълнение и координац</w:t>
      </w:r>
      <w:r>
        <w:rPr>
          <w:rFonts w:ascii="Times New Roman" w:hAnsi="Times New Roman"/>
          <w:noProof/>
          <w:sz w:val="24"/>
        </w:rPr>
        <w:t>ия (NIKA), в качеството си на централен координиращ орган за плана за възстановяване и устойчивост на Словакия и неговото изпълнение, отговаря за цялостната координация и мониторинг на плана. По-специално той действа като координиращ орган за наблюдение на</w:t>
      </w:r>
      <w:r>
        <w:rPr>
          <w:rFonts w:ascii="Times New Roman" w:hAnsi="Times New Roman"/>
          <w:noProof/>
          <w:sz w:val="24"/>
        </w:rPr>
        <w:t xml:space="preserve"> напредъка по междинните и крайните цели, за мониторинг и, когато е целесъобразно, за изпълнение на дейности по контрол и одит, както и за предоставяне на доклади и искания за плащания. Тя координира докладването на ключовите етапи и крайните цели, съответ</w:t>
      </w:r>
      <w:r>
        <w:rPr>
          <w:rFonts w:ascii="Times New Roman" w:hAnsi="Times New Roman"/>
          <w:noProof/>
          <w:sz w:val="24"/>
        </w:rPr>
        <w:t>ните показатели, но също така качествената финансова информация и други данни, например относно крайните получатели. До 30 септември 2022 г. се очаква кодирането на данните да се извърши с помощта на информационна система, наречена ISPO.</w:t>
      </w:r>
    </w:p>
    <w:p w:rsidR="00D4086A" w:rsidRDefault="00D5307E">
      <w:pPr>
        <w:spacing w:before="120" w:after="120" w:line="240" w:lineRule="auto"/>
        <w:jc w:val="both"/>
        <w:rPr>
          <w:rFonts w:ascii="Times New Roman" w:hAnsi="Times New Roman"/>
          <w:noProof/>
          <w:sz w:val="24"/>
        </w:rPr>
      </w:pPr>
      <w:r>
        <w:rPr>
          <w:rFonts w:ascii="Times New Roman" w:hAnsi="Times New Roman"/>
          <w:noProof/>
          <w:sz w:val="24"/>
        </w:rPr>
        <w:t>В съответствие с ч</w:t>
      </w:r>
      <w:r>
        <w:rPr>
          <w:rFonts w:ascii="Times New Roman" w:hAnsi="Times New Roman"/>
          <w:noProof/>
          <w:sz w:val="24"/>
        </w:rPr>
        <w:t>лен 24, параграф 2 от Регламент (ЕС) 2021/241 след приключването на съответните договорени ключови етапи и крайни цели в раздел 2.1 от настоящото приложение Словакия представя на Комисията надлежно обосновано искане за плащане на финансовото участие. Слова</w:t>
      </w:r>
      <w:r>
        <w:rPr>
          <w:rFonts w:ascii="Times New Roman" w:hAnsi="Times New Roman"/>
          <w:noProof/>
          <w:sz w:val="24"/>
        </w:rPr>
        <w:t>кия гарантира, че при поискване Комисията разполага с пълен достъп до съответните основни данни, които подкрепят надлежната обосновка на искането за плащане, както за оценката на искането за плащане в съответствие с член 24, параграф 3 от Регламент (ЕС) 20</w:t>
      </w:r>
      <w:r>
        <w:rPr>
          <w:rFonts w:ascii="Times New Roman" w:hAnsi="Times New Roman"/>
          <w:noProof/>
          <w:sz w:val="24"/>
        </w:rPr>
        <w:t>21/241, така и за целите на одита и контрола.</w:t>
      </w:r>
    </w:p>
    <w:p w:rsidR="00D4086A" w:rsidRDefault="00D4086A">
      <w:pPr>
        <w:rPr>
          <w:noProof/>
        </w:rPr>
      </w:pPr>
    </w:p>
    <w:sectPr w:rsidR="00D4086A">
      <w:headerReference w:type="even" r:id="rId240"/>
      <w:headerReference w:type="default" r:id="rId241"/>
      <w:footerReference w:type="even" r:id="rId242"/>
      <w:footerReference w:type="default" r:id="rId243"/>
      <w:headerReference w:type="first" r:id="rId244"/>
      <w:footerReference w:type="first" r:id="rId24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86A" w:rsidRDefault="00D5307E">
      <w:pPr>
        <w:spacing w:after="0" w:line="240" w:lineRule="auto"/>
      </w:pPr>
      <w:r>
        <w:separator/>
      </w:r>
    </w:p>
  </w:endnote>
  <w:endnote w:type="continuationSeparator" w:id="0">
    <w:p w:rsidR="00D4086A" w:rsidRDefault="00D5307E">
      <w:pPr>
        <w:spacing w:after="0" w:line="240" w:lineRule="auto"/>
      </w:pPr>
      <w:r>
        <w:continuationSeparator/>
      </w:r>
    </w:p>
  </w:endnote>
  <w:endnote w:type="continuationNotice" w:id="1">
    <w:p w:rsidR="00D4086A" w:rsidRDefault="00D40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7E" w:rsidRPr="00D5307E" w:rsidRDefault="00D5307E" w:rsidP="00D5307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181</w:t>
    </w:r>
    <w: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196</w:t>
    </w:r>
    <w: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198</w:t>
    </w:r>
    <w: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pPr>
    <w:r>
      <w:rPr>
        <w:rFonts w:ascii="Arial" w:hAnsi="Arial"/>
        <w:b/>
        <w:sz w:val="48"/>
      </w:rPr>
      <w:tab/>
    </w:r>
    <w:r>
      <w:fldChar w:fldCharType="begin"/>
    </w:r>
    <w:r>
      <w:instrText xml:space="preserve"> PAGE  \* MERGEFORMAT </w:instrText>
    </w:r>
    <w:r>
      <w:fldChar w:fldCharType="separate"/>
    </w:r>
    <w:r>
      <w:rPr>
        <w:noProof/>
      </w:rPr>
      <w:t>11</w:t>
    </w:r>
    <w:r>
      <w:fldChar w:fldCharType="end"/>
    </w:r>
    <w:r>
      <w:tab/>
    </w:r>
    <w:r>
      <w:tab/>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201</w:t>
    </w:r>
    <w: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220</w:t>
    </w:r>
    <w:r>
      <w:fldChar w:fldCharType="end"/>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225</w:t>
    </w:r>
    <w:r>
      <w:fldChar w:fldCharType="end"/>
    </w: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Landscape"/>
    </w:pPr>
    <w:r>
      <w:rPr>
        <w:rFonts w:ascii="Arial" w:hAnsi="Arial"/>
        <w:b/>
        <w:sz w:val="48"/>
      </w:rPr>
      <w:tab/>
    </w:r>
    <w:r>
      <w:fldChar w:fldCharType="begin"/>
    </w:r>
    <w:r>
      <w:instrText xml:space="preserve"> PAGE  \* MERGEFORMAT </w:instrText>
    </w:r>
    <w:r>
      <w:fldChar w:fldCharType="separate"/>
    </w:r>
    <w:r>
      <w:rPr>
        <w:noProof/>
      </w:rPr>
      <w:t>17</w:t>
    </w:r>
    <w:r>
      <w:fldChar w:fldCharType="end"/>
    </w:r>
    <w:r>
      <w:tab/>
    </w:r>
    <w: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Landscape"/>
      <w:jc w:val="center"/>
    </w:pPr>
    <w:r>
      <w:fldChar w:fldCharType="begin"/>
    </w:r>
    <w:r>
      <w:instrText xml:space="preserve"> PAGE  \* MERGEFORMAT </w:instrText>
    </w:r>
    <w:r>
      <w:fldChar w:fldCharType="separate"/>
    </w:r>
    <w:r>
      <w:rPr>
        <w:noProof/>
      </w:rPr>
      <w:t>21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Landscape"/>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7E" w:rsidRPr="00D5307E" w:rsidRDefault="00D5307E" w:rsidP="00D5307E">
    <w:pPr>
      <w:pStyle w:val="FooterCoverPage"/>
      <w:rPr>
        <w:rFonts w:ascii="Arial" w:hAnsi="Arial" w:cs="Arial"/>
        <w:b/>
        <w:sz w:val="48"/>
      </w:rPr>
    </w:pPr>
    <w:r w:rsidRPr="00D5307E">
      <w:rPr>
        <w:rFonts w:ascii="Arial" w:hAnsi="Arial" w:cs="Arial"/>
        <w:b/>
        <w:sz w:val="48"/>
      </w:rPr>
      <w:t>BG</w:t>
    </w:r>
    <w:r w:rsidRPr="00D5307E">
      <w:rPr>
        <w:rFonts w:ascii="Arial" w:hAnsi="Arial" w:cs="Arial"/>
        <w:b/>
        <w:sz w:val="48"/>
      </w:rPr>
      <w:tab/>
    </w:r>
    <w:r w:rsidRPr="00D5307E">
      <w:rPr>
        <w:rFonts w:ascii="Arial" w:hAnsi="Arial" w:cs="Arial"/>
        <w:b/>
        <w:sz w:val="48"/>
      </w:rPr>
      <w:tab/>
    </w:r>
    <w:r w:rsidRPr="00D5307E">
      <w:tab/>
    </w:r>
    <w:r w:rsidRPr="00D5307E">
      <w:rPr>
        <w:rFonts w:ascii="Arial" w:hAnsi="Arial" w:cs="Arial"/>
        <w:b/>
        <w:sz w:val="48"/>
      </w:rPr>
      <w:t>BG</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Landscape"/>
    </w:pPr>
    <w:r>
      <w:rPr>
        <w:rFonts w:ascii="Arial" w:hAnsi="Arial"/>
        <w:b/>
        <w:sz w:val="48"/>
      </w:rPr>
      <w:tab/>
    </w:r>
    <w:r>
      <w:fldChar w:fldCharType="begin"/>
    </w:r>
    <w:r>
      <w:instrText xml:space="preserve"> PAGE  \* MERGEFORMAT </w:instrText>
    </w:r>
    <w:r>
      <w:fldChar w:fldCharType="separate"/>
    </w:r>
    <w:r>
      <w:rPr>
        <w:noProof/>
      </w:rPr>
      <w:t>29</w:t>
    </w:r>
    <w:r>
      <w:fldChar w:fldCharType="end"/>
    </w:r>
    <w:r>
      <w:tab/>
    </w:r>
    <w:r>
      <w:tab/>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Landscape"/>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Landscape"/>
      <w:jc w:val="center"/>
    </w:pPr>
    <w:r>
      <w:fldChar w:fldCharType="begin"/>
    </w:r>
    <w:r>
      <w:instrText xml:space="preserve"> PAGE  \* MERGEFORMAT </w:instrText>
    </w:r>
    <w:r>
      <w:fldChar w:fldCharType="separate"/>
    </w:r>
    <w:r>
      <w:rPr>
        <w:noProof/>
      </w:rPr>
      <w:t>33</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Landscape"/>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Landscape"/>
    </w:pPr>
    <w:r>
      <w:rPr>
        <w:rFonts w:ascii="Arial" w:hAnsi="Arial"/>
        <w:b/>
        <w:sz w:val="48"/>
      </w:rPr>
      <w:tab/>
    </w:r>
    <w:r>
      <w:fldChar w:fldCharType="begin"/>
    </w:r>
    <w:r>
      <w:instrText xml:space="preserve"> PAGE  \* MERGEFORMAT </w:instrText>
    </w:r>
    <w:r>
      <w:fldChar w:fldCharType="separate"/>
    </w:r>
    <w:r>
      <w:rPr>
        <w:noProof/>
      </w:rPr>
      <w:t>38</w:t>
    </w:r>
    <w:r>
      <w:fldChar w:fldCharType="end"/>
    </w:r>
    <w:r>
      <w:tab/>
    </w:r>
    <w:r>
      <w:tab/>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Landscape"/>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pPr>
    <w:r>
      <w:rPr>
        <w:rFonts w:ascii="Arial" w:hAnsi="Arial"/>
        <w:b/>
        <w:sz w:val="48"/>
      </w:rPr>
      <w:tab/>
    </w:r>
    <w:r>
      <w:fldChar w:fldCharType="begin"/>
    </w:r>
    <w:r>
      <w:instrText xml:space="preserve"> PAGE  \* MERGEFORMAT </w:instrText>
    </w:r>
    <w:r>
      <w:fldChar w:fldCharType="separate"/>
    </w:r>
    <w:r>
      <w:rPr>
        <w:noProof/>
      </w:rPr>
      <w:t>40</w:t>
    </w:r>
    <w:r>
      <w:fldChar w:fldCharType="end"/>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7E" w:rsidRPr="00D5307E" w:rsidRDefault="00D5307E" w:rsidP="00D5307E">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46</w:t>
    </w:r>
    <w:r>
      <w:fldChar w:fldCharType="end"/>
    </w:r>
  </w:p>
  <w:p w:rsidR="00D4086A" w:rsidRDefault="00D4086A">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pPr>
    <w:r>
      <w:rPr>
        <w:rFonts w:ascii="Arial" w:hAnsi="Arial"/>
        <w:b/>
        <w:sz w:val="48"/>
      </w:rPr>
      <w:tab/>
    </w:r>
    <w:r>
      <w:fldChar w:fldCharType="begin"/>
    </w:r>
    <w:r>
      <w:instrText xml:space="preserve"> PAGE  \* MERGEFORMAT </w:instrText>
    </w:r>
    <w:r>
      <w:fldChar w:fldCharType="separate"/>
    </w:r>
    <w:r>
      <w:rPr>
        <w:noProof/>
      </w:rPr>
      <w:t>49</w:t>
    </w:r>
    <w:r>
      <w:fldChar w:fldCharType="end"/>
    </w:r>
    <w:r>
      <w:tab/>
    </w:r>
    <w:r>
      <w:tab/>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64</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pPr>
    <w:r>
      <w:rPr>
        <w:rFonts w:ascii="Arial" w:hAnsi="Arial"/>
        <w:b/>
        <w:sz w:val="48"/>
      </w:rPr>
      <w:tab/>
    </w:r>
    <w:r>
      <w:fldChar w:fldCharType="begin"/>
    </w:r>
    <w:r>
      <w:instrText xml:space="preserve"> PAGE  \* MERGEFORMAT </w:instrText>
    </w:r>
    <w:r>
      <w:fldChar w:fldCharType="separate"/>
    </w:r>
    <w:r>
      <w:rPr>
        <w:noProof/>
      </w:rPr>
      <w:t>67</w:t>
    </w:r>
    <w:r>
      <w:fldChar w:fldCharType="end"/>
    </w:r>
    <w:r>
      <w:tab/>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71</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pPr>
    <w:r>
      <w:rPr>
        <w:rFonts w:ascii="Arial" w:hAnsi="Arial"/>
        <w:b/>
        <w:sz w:val="48"/>
      </w:rPr>
      <w:tab/>
    </w:r>
    <w:r>
      <w:fldChar w:fldCharType="begin"/>
    </w:r>
    <w:r>
      <w:instrText xml:space="preserve"> PAGE  \* MERGEFORMAT </w:instrText>
    </w:r>
    <w:r>
      <w:fldChar w:fldCharType="separate"/>
    </w:r>
    <w:r>
      <w:rPr>
        <w:noProof/>
      </w:rPr>
      <w:t>74</w:t>
    </w:r>
    <w:r>
      <w:fldChar w:fldCharType="end"/>
    </w:r>
    <w:r>
      <w:tab/>
    </w:r>
    <w:r>
      <w:tab/>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1</w:t>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82</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pPr>
    <w:r>
      <w:rPr>
        <w:rFonts w:ascii="Arial" w:hAnsi="Arial"/>
        <w:b/>
        <w:sz w:val="48"/>
      </w:rPr>
      <w:tab/>
    </w:r>
    <w:r>
      <w:fldChar w:fldCharType="begin"/>
    </w:r>
    <w:r>
      <w:instrText xml:space="preserve"> PAGE  \* MERGEFORMAT </w:instrText>
    </w:r>
    <w:r>
      <w:fldChar w:fldCharType="separate"/>
    </w:r>
    <w:r>
      <w:rPr>
        <w:noProof/>
      </w:rPr>
      <w:t>87</w:t>
    </w:r>
    <w:r>
      <w:fldChar w:fldCharType="end"/>
    </w:r>
    <w:r>
      <w:tab/>
    </w:r>
    <w:r>
      <w:tab/>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98</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pPr>
    <w:r>
      <w:rPr>
        <w:rFonts w:ascii="Arial" w:hAnsi="Arial"/>
        <w:b/>
        <w:sz w:val="48"/>
      </w:rPr>
      <w:tab/>
    </w:r>
    <w:r>
      <w:fldChar w:fldCharType="begin"/>
    </w:r>
    <w:r>
      <w:instrText xml:space="preserve"> PAGE  \* MERGEFORMAT </w:instrText>
    </w:r>
    <w:r>
      <w:fldChar w:fldCharType="separate"/>
    </w:r>
    <w:r>
      <w:rPr>
        <w:noProof/>
      </w:rPr>
      <w:t>101</w:t>
    </w:r>
    <w:r>
      <w:fldChar w:fldCharType="end"/>
    </w:r>
    <w:r>
      <w:tab/>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107</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pPr>
    <w:r>
      <w:rPr>
        <w:rFonts w:ascii="Arial" w:hAnsi="Arial"/>
        <w:b/>
        <w:sz w:val="48"/>
      </w:rPr>
      <w:tab/>
    </w:r>
    <w:r>
      <w:fldChar w:fldCharType="begin"/>
    </w:r>
    <w:r>
      <w:instrText xml:space="preserve"> PAGE  \* MERGEFORMAT </w:instrText>
    </w:r>
    <w:r>
      <w:fldChar w:fldCharType="separate"/>
    </w:r>
    <w:r>
      <w:rPr>
        <w:noProof/>
      </w:rPr>
      <w:t>111</w:t>
    </w:r>
    <w:r>
      <w:fldChar w:fldCharType="end"/>
    </w:r>
    <w:r>
      <w:tab/>
    </w:r>
    <w:r>
      <w:tab/>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119</w:t>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pPr>
    <w:r>
      <w:rPr>
        <w:rFonts w:ascii="Arial" w:hAnsi="Arial"/>
        <w:b/>
        <w:sz w:val="48"/>
      </w:rPr>
      <w:tab/>
    </w:r>
    <w:r>
      <w:fldChar w:fldCharType="begin"/>
    </w:r>
    <w:r>
      <w:instrText xml:space="preserve"> PAGE  \* MERGEFORMAT </w:instrText>
    </w:r>
    <w:r>
      <w:fldChar w:fldCharType="separate"/>
    </w:r>
    <w:r>
      <w:rPr>
        <w:noProof/>
      </w:rPr>
      <w:t>123</w:t>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129</w:t>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pPr>
    <w:r>
      <w:rPr>
        <w:rFonts w:ascii="Arial" w:hAnsi="Arial"/>
        <w:b/>
        <w:sz w:val="48"/>
      </w:rPr>
      <w:tab/>
    </w:r>
    <w:r>
      <w:fldChar w:fldCharType="begin"/>
    </w:r>
    <w:r>
      <w:instrText xml:space="preserve"> PAGE  \* MERGEFORMAT </w:instrText>
    </w:r>
    <w:r>
      <w:fldChar w:fldCharType="separate"/>
    </w:r>
    <w:r>
      <w:rPr>
        <w:noProof/>
      </w:rPr>
      <w:t>133</w:t>
    </w:r>
    <w: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Landscape"/>
    </w:pPr>
    <w:r>
      <w:rPr>
        <w:rFonts w:ascii="Arial" w:hAnsi="Arial"/>
        <w:b/>
        <w:sz w:val="48"/>
      </w:rPr>
      <w:tab/>
    </w:r>
    <w:r>
      <w:fldChar w:fldCharType="begin"/>
    </w:r>
    <w:r>
      <w:instrText xml:space="preserve"> PAGE  \* MERGEFORMAT </w:instrText>
    </w:r>
    <w:r>
      <w:fldChar w:fldCharType="separate"/>
    </w:r>
    <w:r>
      <w:rPr>
        <w:noProof/>
      </w:rPr>
      <w:t>8</w:t>
    </w:r>
    <w:r>
      <w:fldChar w:fldCharType="end"/>
    </w:r>
    <w:r>
      <w:tab/>
    </w:r>
    <w:r>
      <w:tab/>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143</w:t>
    </w:r>
    <w: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pPr>
    <w:r>
      <w:rPr>
        <w:rFonts w:ascii="Arial" w:hAnsi="Arial"/>
        <w:b/>
        <w:sz w:val="48"/>
      </w:rPr>
      <w:tab/>
    </w:r>
    <w:r>
      <w:fldChar w:fldCharType="begin"/>
    </w:r>
    <w:r>
      <w:instrText xml:space="preserve"> PAGE  \* MERGEFORMAT </w:instrText>
    </w:r>
    <w:r>
      <w:fldChar w:fldCharType="separate"/>
    </w:r>
    <w:r>
      <w:rPr>
        <w:noProof/>
      </w:rPr>
      <w:t>146</w:t>
    </w:r>
    <w:r>
      <w:fldChar w:fldCharType="end"/>
    </w:r>
    <w:r>
      <w:tab/>
    </w:r>
    <w:r>
      <w:tab/>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153</w:t>
    </w:r>
    <w: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pPr>
    <w:r>
      <w:rPr>
        <w:rFonts w:ascii="Arial" w:hAnsi="Arial"/>
        <w:b/>
        <w:sz w:val="48"/>
      </w:rPr>
      <w:tab/>
    </w:r>
    <w:r>
      <w:fldChar w:fldCharType="begin"/>
    </w:r>
    <w:r>
      <w:instrText xml:space="preserve"> PAGE  \* MERGEFORMAT </w:instrText>
    </w:r>
    <w:r>
      <w:fldChar w:fldCharType="separate"/>
    </w:r>
    <w:r>
      <w:rPr>
        <w:noProof/>
      </w:rPr>
      <w:t>156</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Landscape"/>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161</w:t>
    </w:r>
    <w: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pPr>
    <w:r>
      <w:rPr>
        <w:rFonts w:ascii="Arial" w:hAnsi="Arial"/>
        <w:b/>
        <w:sz w:val="48"/>
      </w:rPr>
      <w:tab/>
    </w:r>
    <w:r>
      <w:fldChar w:fldCharType="begin"/>
    </w:r>
    <w:r>
      <w:instrText xml:space="preserve"> PAGE  \* MERGEFORMAT </w:instrText>
    </w:r>
    <w:r>
      <w:fldChar w:fldCharType="separate"/>
    </w:r>
    <w:r>
      <w:rPr>
        <w:noProof/>
      </w:rPr>
      <w:t>164</w:t>
    </w:r>
    <w:r>
      <w:fldChar w:fldCharType="end"/>
    </w:r>
    <w:r>
      <w:tab/>
    </w:r>
    <w:r>
      <w:tab/>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5307E">
    <w:pPr>
      <w:pStyle w:val="Footer"/>
      <w:jc w:val="center"/>
    </w:pPr>
    <w:r>
      <w:fldChar w:fldCharType="begin"/>
    </w:r>
    <w:r>
      <w:instrText xml:space="preserve"> PAGE  \* MERGEFORMAT </w:instrText>
    </w:r>
    <w:r>
      <w:fldChar w:fldCharType="separate"/>
    </w:r>
    <w:r>
      <w:rPr>
        <w:noProof/>
      </w:rPr>
      <w:t>175</w:t>
    </w:r>
    <w: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86A" w:rsidRDefault="00D5307E">
      <w:pPr>
        <w:spacing w:after="0" w:line="240" w:lineRule="auto"/>
      </w:pPr>
      <w:r>
        <w:separator/>
      </w:r>
    </w:p>
  </w:footnote>
  <w:footnote w:type="continuationSeparator" w:id="0">
    <w:p w:rsidR="00D4086A" w:rsidRDefault="00D5307E">
      <w:pPr>
        <w:spacing w:after="0" w:line="240" w:lineRule="auto"/>
      </w:pPr>
      <w:r>
        <w:continuationSeparator/>
      </w:r>
    </w:p>
  </w:footnote>
  <w:footnote w:type="continuationNotice" w:id="1">
    <w:p w:rsidR="00D4086A" w:rsidRDefault="00D408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7E" w:rsidRPr="00D5307E" w:rsidRDefault="00D5307E" w:rsidP="00D5307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Landscap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Landscap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Landscap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7E" w:rsidRPr="00D5307E" w:rsidRDefault="00D5307E" w:rsidP="00D5307E">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Landscap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Landscap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Landscap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Landscape"/>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Landscape"/>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Landscape"/>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7E" w:rsidRPr="00D5307E" w:rsidRDefault="00D5307E" w:rsidP="00D5307E">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Landscape"/>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Landscape"/>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6A" w:rsidRDefault="00D40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E140CA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5A627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C2027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5413E96"/>
    <w:multiLevelType w:val="hybridMultilevel"/>
    <w:tmpl w:val="A15CF8C8"/>
    <w:lvl w:ilvl="0" w:tplc="69A2FF08">
      <w:start w:val="17"/>
      <w:numFmt w:val="bullet"/>
      <w:lvlText w:val="-"/>
      <w:lvlJc w:val="left"/>
      <w:pPr>
        <w:ind w:left="1210" w:hanging="360"/>
      </w:pPr>
      <w:rPr>
        <w:rFonts w:ascii="Times New Roman" w:eastAsia="Times New Roman" w:hAnsi="Times New Roman" w:cs="Times New Roman" w:hint="default"/>
      </w:rPr>
    </w:lvl>
    <w:lvl w:ilvl="1" w:tplc="080C0003">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9" w15:restartNumberingAfterBreak="0">
    <w:nsid w:val="083800CE"/>
    <w:multiLevelType w:val="hybridMultilevel"/>
    <w:tmpl w:val="1A349196"/>
    <w:lvl w:ilvl="0" w:tplc="8DD21384">
      <w:start w:val="1"/>
      <w:numFmt w:val="bullet"/>
      <w:lvlText w:val="·"/>
      <w:lvlJc w:val="left"/>
      <w:pPr>
        <w:ind w:left="720" w:hanging="360"/>
      </w:pPr>
      <w:rPr>
        <w:rFonts w:ascii="Symbol" w:hAnsi="Symbol" w:hint="default"/>
      </w:rPr>
    </w:lvl>
    <w:lvl w:ilvl="1" w:tplc="30E2C636">
      <w:start w:val="1"/>
      <w:numFmt w:val="bullet"/>
      <w:lvlText w:val="o"/>
      <w:lvlJc w:val="left"/>
      <w:pPr>
        <w:ind w:left="1440" w:hanging="360"/>
      </w:pPr>
      <w:rPr>
        <w:rFonts w:ascii="Courier New" w:hAnsi="Courier New" w:hint="default"/>
      </w:rPr>
    </w:lvl>
    <w:lvl w:ilvl="2" w:tplc="9170EEEA">
      <w:start w:val="1"/>
      <w:numFmt w:val="bullet"/>
      <w:lvlText w:val=""/>
      <w:lvlJc w:val="left"/>
      <w:pPr>
        <w:ind w:left="2160" w:hanging="360"/>
      </w:pPr>
      <w:rPr>
        <w:rFonts w:ascii="Wingdings" w:hAnsi="Wingdings" w:hint="default"/>
      </w:rPr>
    </w:lvl>
    <w:lvl w:ilvl="3" w:tplc="41FE1CAA">
      <w:start w:val="1"/>
      <w:numFmt w:val="bullet"/>
      <w:lvlText w:val=""/>
      <w:lvlJc w:val="left"/>
      <w:pPr>
        <w:ind w:left="2880" w:hanging="360"/>
      </w:pPr>
      <w:rPr>
        <w:rFonts w:ascii="Symbol" w:hAnsi="Symbol" w:hint="default"/>
      </w:rPr>
    </w:lvl>
    <w:lvl w:ilvl="4" w:tplc="1E9A7426">
      <w:start w:val="1"/>
      <w:numFmt w:val="bullet"/>
      <w:lvlText w:val="o"/>
      <w:lvlJc w:val="left"/>
      <w:pPr>
        <w:ind w:left="3600" w:hanging="360"/>
      </w:pPr>
      <w:rPr>
        <w:rFonts w:ascii="Courier New" w:hAnsi="Courier New" w:hint="default"/>
      </w:rPr>
    </w:lvl>
    <w:lvl w:ilvl="5" w:tplc="5AC227AC">
      <w:start w:val="1"/>
      <w:numFmt w:val="bullet"/>
      <w:lvlText w:val=""/>
      <w:lvlJc w:val="left"/>
      <w:pPr>
        <w:ind w:left="4320" w:hanging="360"/>
      </w:pPr>
      <w:rPr>
        <w:rFonts w:ascii="Wingdings" w:hAnsi="Wingdings" w:hint="default"/>
      </w:rPr>
    </w:lvl>
    <w:lvl w:ilvl="6" w:tplc="7480F6E2">
      <w:start w:val="1"/>
      <w:numFmt w:val="bullet"/>
      <w:lvlText w:val=""/>
      <w:lvlJc w:val="left"/>
      <w:pPr>
        <w:ind w:left="5040" w:hanging="360"/>
      </w:pPr>
      <w:rPr>
        <w:rFonts w:ascii="Symbol" w:hAnsi="Symbol" w:hint="default"/>
      </w:rPr>
    </w:lvl>
    <w:lvl w:ilvl="7" w:tplc="D878EFB0">
      <w:start w:val="1"/>
      <w:numFmt w:val="bullet"/>
      <w:lvlText w:val="o"/>
      <w:lvlJc w:val="left"/>
      <w:pPr>
        <w:ind w:left="5760" w:hanging="360"/>
      </w:pPr>
      <w:rPr>
        <w:rFonts w:ascii="Courier New" w:hAnsi="Courier New" w:hint="default"/>
      </w:rPr>
    </w:lvl>
    <w:lvl w:ilvl="8" w:tplc="C0143F40">
      <w:start w:val="1"/>
      <w:numFmt w:val="bullet"/>
      <w:lvlText w:val=""/>
      <w:lvlJc w:val="left"/>
      <w:pPr>
        <w:ind w:left="6480" w:hanging="360"/>
      </w:pPr>
      <w:rPr>
        <w:rFonts w:ascii="Wingdings" w:hAnsi="Wingdings" w:hint="default"/>
      </w:rPr>
    </w:lvl>
  </w:abstractNum>
  <w:abstractNum w:abstractNumId="10" w15:restartNumberingAfterBreak="0">
    <w:nsid w:val="10F4203F"/>
    <w:multiLevelType w:val="hybridMultilevel"/>
    <w:tmpl w:val="53A08C80"/>
    <w:lvl w:ilvl="0" w:tplc="6B261C98">
      <w:start w:val="1"/>
      <w:numFmt w:val="bullet"/>
      <w:lvlText w:val="-"/>
      <w:lvlJc w:val="left"/>
      <w:pPr>
        <w:ind w:left="720" w:hanging="360"/>
      </w:pPr>
      <w:rPr>
        <w:rFonts w:ascii="Times New Roman" w:eastAsia="Times New Roman" w:hAnsi="Times New Roman" w:cs="Times New Roman" w:hint="default"/>
        <w:color w:val="000000"/>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CB348F1"/>
    <w:multiLevelType w:val="hybridMultilevel"/>
    <w:tmpl w:val="57B0724E"/>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E44180"/>
    <w:multiLevelType w:val="multilevel"/>
    <w:tmpl w:val="55AE4CDA"/>
    <w:name w:val="NumPar"/>
    <w:lvl w:ilvl="0">
      <w:start w:val="1"/>
      <w:numFmt w:val="decimal"/>
      <w:lvlRestart w:val="0"/>
      <w:pStyle w:val="NumPar1"/>
      <w:lvlText w:val="%1."/>
      <w:lvlJc w:val="left"/>
      <w:pPr>
        <w:tabs>
          <w:tab w:val="num" w:pos="2550"/>
        </w:tabs>
        <w:ind w:left="2550" w:hanging="850"/>
      </w:pPr>
    </w:lvl>
    <w:lvl w:ilvl="1">
      <w:start w:val="1"/>
      <w:numFmt w:val="decimal"/>
      <w:pStyle w:val="NumPar2"/>
      <w:lvlText w:val="%1.%2."/>
      <w:lvlJc w:val="left"/>
      <w:pPr>
        <w:tabs>
          <w:tab w:val="num" w:pos="2550"/>
        </w:tabs>
        <w:ind w:left="2550" w:hanging="850"/>
      </w:pPr>
    </w:lvl>
    <w:lvl w:ilvl="2">
      <w:start w:val="1"/>
      <w:numFmt w:val="decimal"/>
      <w:pStyle w:val="NumPar3"/>
      <w:lvlText w:val="%1.%2.%3."/>
      <w:lvlJc w:val="left"/>
      <w:pPr>
        <w:tabs>
          <w:tab w:val="num" w:pos="2550"/>
        </w:tabs>
        <w:ind w:left="2550" w:hanging="850"/>
      </w:pPr>
    </w:lvl>
    <w:lvl w:ilvl="3">
      <w:start w:val="1"/>
      <w:numFmt w:val="decimal"/>
      <w:pStyle w:val="NumPar4"/>
      <w:lvlText w:val="%1.%2.%3.%4."/>
      <w:lvlJc w:val="left"/>
      <w:pPr>
        <w:tabs>
          <w:tab w:val="num" w:pos="2550"/>
        </w:tabs>
        <w:ind w:left="2550" w:hanging="850"/>
      </w:pPr>
    </w:lvl>
    <w:lvl w:ilvl="4">
      <w:start w:val="1"/>
      <mc:AlternateContent>
        <mc:Choice Requires="w14">
          <w:numFmt w:val="custom" w:format="а, й, к, ..."/>
        </mc:Choice>
        <mc:Fallback>
          <w:numFmt w:val="decimal"/>
        </mc:Fallback>
      </mc:AlternateContent>
      <w:lvlText w:val="%5)"/>
      <w:lvlJc w:val="left"/>
      <w:pPr>
        <w:ind w:left="350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860" w:hanging="360"/>
      </w:pPr>
    </w:lvl>
    <w:lvl w:ilvl="6">
      <w:start w:val="1"/>
      <w:numFmt w:val="decimal"/>
      <w:lvlText w:val="%7."/>
      <w:lvlJc w:val="left"/>
      <w:pPr>
        <w:ind w:left="4220" w:hanging="360"/>
      </w:pPr>
    </w:lvl>
    <w:lvl w:ilvl="7">
      <w:start w:val="1"/>
      <w:numFmt w:val="lowerLetter"/>
      <w:lvlText w:val="%8."/>
      <w:lvlJc w:val="left"/>
      <w:pPr>
        <w:ind w:left="4580" w:hanging="360"/>
      </w:pPr>
    </w:lvl>
    <w:lvl w:ilvl="8">
      <w:start w:val="1"/>
      <w:numFmt w:val="lowerRoman"/>
      <w:lvlText w:val="%9."/>
      <w:lvlJc w:val="left"/>
      <w:pPr>
        <w:ind w:left="4940" w:hanging="360"/>
      </w:pPr>
    </w:lvl>
  </w:abstractNum>
  <w:abstractNum w:abstractNumId="14" w15:restartNumberingAfterBreak="0">
    <w:nsid w:val="271210D2"/>
    <w:multiLevelType w:val="hybridMultilevel"/>
    <w:tmpl w:val="F2683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76551C"/>
    <w:multiLevelType w:val="hybridMultilevel"/>
    <w:tmpl w:val="B0ECF862"/>
    <w:lvl w:ilvl="0" w:tplc="DB0264F6">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316F3F01"/>
    <w:multiLevelType w:val="hybridMultilevel"/>
    <w:tmpl w:val="0A4A29A0"/>
    <w:lvl w:ilvl="0" w:tplc="2BC8EB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67382F"/>
    <w:multiLevelType w:val="hybridMultilevel"/>
    <w:tmpl w:val="6030A95A"/>
    <w:lvl w:ilvl="0" w:tplc="7FC6435C">
      <w:start w:val="1"/>
      <w:numFmt w:val="bullet"/>
      <w:lvlText w:val="·"/>
      <w:lvlJc w:val="left"/>
      <w:pPr>
        <w:ind w:left="720" w:hanging="360"/>
      </w:pPr>
      <w:rPr>
        <w:rFonts w:ascii="Symbol" w:hAnsi="Symbol" w:hint="default"/>
      </w:rPr>
    </w:lvl>
    <w:lvl w:ilvl="1" w:tplc="81CAC3CC">
      <w:start w:val="1"/>
      <w:numFmt w:val="bullet"/>
      <w:lvlText w:val="o"/>
      <w:lvlJc w:val="left"/>
      <w:pPr>
        <w:ind w:left="1440" w:hanging="360"/>
      </w:pPr>
      <w:rPr>
        <w:rFonts w:ascii="Courier New" w:hAnsi="Courier New" w:hint="default"/>
      </w:rPr>
    </w:lvl>
    <w:lvl w:ilvl="2" w:tplc="ECD2BE6A">
      <w:start w:val="1"/>
      <w:numFmt w:val="bullet"/>
      <w:lvlText w:val=""/>
      <w:lvlJc w:val="left"/>
      <w:pPr>
        <w:ind w:left="2160" w:hanging="360"/>
      </w:pPr>
      <w:rPr>
        <w:rFonts w:ascii="Wingdings" w:hAnsi="Wingdings" w:hint="default"/>
      </w:rPr>
    </w:lvl>
    <w:lvl w:ilvl="3" w:tplc="5CC41EDC">
      <w:start w:val="1"/>
      <w:numFmt w:val="bullet"/>
      <w:lvlText w:val=""/>
      <w:lvlJc w:val="left"/>
      <w:pPr>
        <w:ind w:left="2880" w:hanging="360"/>
      </w:pPr>
      <w:rPr>
        <w:rFonts w:ascii="Symbol" w:hAnsi="Symbol" w:hint="default"/>
      </w:rPr>
    </w:lvl>
    <w:lvl w:ilvl="4" w:tplc="4822933E">
      <w:start w:val="1"/>
      <w:numFmt w:val="bullet"/>
      <w:lvlText w:val="o"/>
      <w:lvlJc w:val="left"/>
      <w:pPr>
        <w:ind w:left="3600" w:hanging="360"/>
      </w:pPr>
      <w:rPr>
        <w:rFonts w:ascii="Courier New" w:hAnsi="Courier New" w:hint="default"/>
      </w:rPr>
    </w:lvl>
    <w:lvl w:ilvl="5" w:tplc="3A34400E">
      <w:start w:val="1"/>
      <w:numFmt w:val="bullet"/>
      <w:lvlText w:val=""/>
      <w:lvlJc w:val="left"/>
      <w:pPr>
        <w:ind w:left="4320" w:hanging="360"/>
      </w:pPr>
      <w:rPr>
        <w:rFonts w:ascii="Wingdings" w:hAnsi="Wingdings" w:hint="default"/>
      </w:rPr>
    </w:lvl>
    <w:lvl w:ilvl="6" w:tplc="E1EEF0D4">
      <w:start w:val="1"/>
      <w:numFmt w:val="bullet"/>
      <w:lvlText w:val=""/>
      <w:lvlJc w:val="left"/>
      <w:pPr>
        <w:ind w:left="5040" w:hanging="360"/>
      </w:pPr>
      <w:rPr>
        <w:rFonts w:ascii="Symbol" w:hAnsi="Symbol" w:hint="default"/>
      </w:rPr>
    </w:lvl>
    <w:lvl w:ilvl="7" w:tplc="AF504168">
      <w:start w:val="1"/>
      <w:numFmt w:val="bullet"/>
      <w:lvlText w:val="o"/>
      <w:lvlJc w:val="left"/>
      <w:pPr>
        <w:ind w:left="5760" w:hanging="360"/>
      </w:pPr>
      <w:rPr>
        <w:rFonts w:ascii="Courier New" w:hAnsi="Courier New" w:hint="default"/>
      </w:rPr>
    </w:lvl>
    <w:lvl w:ilvl="8" w:tplc="A442E3DA">
      <w:start w:val="1"/>
      <w:numFmt w:val="bullet"/>
      <w:lvlText w:val=""/>
      <w:lvlJc w:val="left"/>
      <w:pPr>
        <w:ind w:left="6480" w:hanging="360"/>
      </w:pPr>
      <w:rPr>
        <w:rFonts w:ascii="Wingdings" w:hAnsi="Wingdings" w:hint="default"/>
      </w:rPr>
    </w:lvl>
  </w:abstractNum>
  <w:abstractNum w:abstractNumId="20" w15:restartNumberingAfterBreak="0">
    <w:nsid w:val="3BE75B0D"/>
    <w:multiLevelType w:val="hybridMultilevel"/>
    <w:tmpl w:val="7B4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66434"/>
    <w:multiLevelType w:val="hybridMultilevel"/>
    <w:tmpl w:val="EBD4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4747F"/>
    <w:multiLevelType w:val="hybridMultilevel"/>
    <w:tmpl w:val="DA6AD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3B66896"/>
    <w:multiLevelType w:val="hybridMultilevel"/>
    <w:tmpl w:val="00C03238"/>
    <w:lvl w:ilvl="0" w:tplc="1FB49796">
      <w:start w:val="1"/>
      <w:numFmt w:val="bullet"/>
      <w:lvlText w:val="·"/>
      <w:lvlJc w:val="left"/>
      <w:pPr>
        <w:ind w:left="720" w:hanging="360"/>
      </w:pPr>
      <w:rPr>
        <w:rFonts w:ascii="Symbol" w:hAnsi="Symbol" w:hint="default"/>
      </w:rPr>
    </w:lvl>
    <w:lvl w:ilvl="1" w:tplc="C3D6903C">
      <w:start w:val="1"/>
      <w:numFmt w:val="bullet"/>
      <w:lvlText w:val="o"/>
      <w:lvlJc w:val="left"/>
      <w:pPr>
        <w:ind w:left="1440" w:hanging="360"/>
      </w:pPr>
      <w:rPr>
        <w:rFonts w:ascii="Courier New" w:hAnsi="Courier New" w:hint="default"/>
      </w:rPr>
    </w:lvl>
    <w:lvl w:ilvl="2" w:tplc="BF966412">
      <w:start w:val="1"/>
      <w:numFmt w:val="bullet"/>
      <w:lvlText w:val=""/>
      <w:lvlJc w:val="left"/>
      <w:pPr>
        <w:ind w:left="2160" w:hanging="360"/>
      </w:pPr>
      <w:rPr>
        <w:rFonts w:ascii="Wingdings" w:hAnsi="Wingdings" w:hint="default"/>
      </w:rPr>
    </w:lvl>
    <w:lvl w:ilvl="3" w:tplc="98903784">
      <w:start w:val="1"/>
      <w:numFmt w:val="bullet"/>
      <w:lvlText w:val=""/>
      <w:lvlJc w:val="left"/>
      <w:pPr>
        <w:ind w:left="2880" w:hanging="360"/>
      </w:pPr>
      <w:rPr>
        <w:rFonts w:ascii="Symbol" w:hAnsi="Symbol" w:hint="default"/>
      </w:rPr>
    </w:lvl>
    <w:lvl w:ilvl="4" w:tplc="4E02FE26">
      <w:start w:val="1"/>
      <w:numFmt w:val="bullet"/>
      <w:lvlText w:val="o"/>
      <w:lvlJc w:val="left"/>
      <w:pPr>
        <w:ind w:left="3600" w:hanging="360"/>
      </w:pPr>
      <w:rPr>
        <w:rFonts w:ascii="Courier New" w:hAnsi="Courier New" w:hint="default"/>
      </w:rPr>
    </w:lvl>
    <w:lvl w:ilvl="5" w:tplc="B8008522">
      <w:start w:val="1"/>
      <w:numFmt w:val="bullet"/>
      <w:lvlText w:val=""/>
      <w:lvlJc w:val="left"/>
      <w:pPr>
        <w:ind w:left="4320" w:hanging="360"/>
      </w:pPr>
      <w:rPr>
        <w:rFonts w:ascii="Wingdings" w:hAnsi="Wingdings" w:hint="default"/>
      </w:rPr>
    </w:lvl>
    <w:lvl w:ilvl="6" w:tplc="11EE35AE">
      <w:start w:val="1"/>
      <w:numFmt w:val="bullet"/>
      <w:lvlText w:val=""/>
      <w:lvlJc w:val="left"/>
      <w:pPr>
        <w:ind w:left="5040" w:hanging="360"/>
      </w:pPr>
      <w:rPr>
        <w:rFonts w:ascii="Symbol" w:hAnsi="Symbol" w:hint="default"/>
      </w:rPr>
    </w:lvl>
    <w:lvl w:ilvl="7" w:tplc="DCDA2EBC">
      <w:start w:val="1"/>
      <w:numFmt w:val="bullet"/>
      <w:lvlText w:val="o"/>
      <w:lvlJc w:val="left"/>
      <w:pPr>
        <w:ind w:left="5760" w:hanging="360"/>
      </w:pPr>
      <w:rPr>
        <w:rFonts w:ascii="Courier New" w:hAnsi="Courier New" w:hint="default"/>
      </w:rPr>
    </w:lvl>
    <w:lvl w:ilvl="8" w:tplc="378089C8">
      <w:start w:val="1"/>
      <w:numFmt w:val="bullet"/>
      <w:lvlText w:val=""/>
      <w:lvlJc w:val="left"/>
      <w:pPr>
        <w:ind w:left="6480" w:hanging="360"/>
      </w:pPr>
      <w:rPr>
        <w:rFonts w:ascii="Wingdings" w:hAnsi="Wingdings" w:hint="default"/>
      </w:r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4AED2B8B"/>
    <w:multiLevelType w:val="hybridMultilevel"/>
    <w:tmpl w:val="471C5510"/>
    <w:lvl w:ilvl="0" w:tplc="CF5EF852">
      <w:start w:val="1"/>
      <w:numFmt w:val="bullet"/>
      <w:lvlText w:val="·"/>
      <w:lvlJc w:val="left"/>
      <w:pPr>
        <w:ind w:left="720" w:hanging="360"/>
      </w:pPr>
      <w:rPr>
        <w:rFonts w:ascii="Symbol" w:hAnsi="Symbol" w:hint="default"/>
      </w:rPr>
    </w:lvl>
    <w:lvl w:ilvl="1" w:tplc="ED0457AC">
      <w:start w:val="1"/>
      <w:numFmt w:val="bullet"/>
      <w:lvlText w:val="o"/>
      <w:lvlJc w:val="left"/>
      <w:pPr>
        <w:ind w:left="1440" w:hanging="360"/>
      </w:pPr>
      <w:rPr>
        <w:rFonts w:ascii="Courier New" w:hAnsi="Courier New" w:hint="default"/>
      </w:rPr>
    </w:lvl>
    <w:lvl w:ilvl="2" w:tplc="D47AEEBC">
      <w:start w:val="1"/>
      <w:numFmt w:val="bullet"/>
      <w:lvlText w:val=""/>
      <w:lvlJc w:val="left"/>
      <w:pPr>
        <w:ind w:left="2160" w:hanging="360"/>
      </w:pPr>
      <w:rPr>
        <w:rFonts w:ascii="Wingdings" w:hAnsi="Wingdings" w:hint="default"/>
      </w:rPr>
    </w:lvl>
    <w:lvl w:ilvl="3" w:tplc="39BC322E">
      <w:start w:val="1"/>
      <w:numFmt w:val="bullet"/>
      <w:lvlText w:val=""/>
      <w:lvlJc w:val="left"/>
      <w:pPr>
        <w:ind w:left="2880" w:hanging="360"/>
      </w:pPr>
      <w:rPr>
        <w:rFonts w:ascii="Symbol" w:hAnsi="Symbol" w:hint="default"/>
      </w:rPr>
    </w:lvl>
    <w:lvl w:ilvl="4" w:tplc="980C762E">
      <w:start w:val="1"/>
      <w:numFmt w:val="bullet"/>
      <w:lvlText w:val="o"/>
      <w:lvlJc w:val="left"/>
      <w:pPr>
        <w:ind w:left="3600" w:hanging="360"/>
      </w:pPr>
      <w:rPr>
        <w:rFonts w:ascii="Courier New" w:hAnsi="Courier New" w:hint="default"/>
      </w:rPr>
    </w:lvl>
    <w:lvl w:ilvl="5" w:tplc="3D1CE338">
      <w:start w:val="1"/>
      <w:numFmt w:val="bullet"/>
      <w:lvlText w:val=""/>
      <w:lvlJc w:val="left"/>
      <w:pPr>
        <w:ind w:left="4320" w:hanging="360"/>
      </w:pPr>
      <w:rPr>
        <w:rFonts w:ascii="Wingdings" w:hAnsi="Wingdings" w:hint="default"/>
      </w:rPr>
    </w:lvl>
    <w:lvl w:ilvl="6" w:tplc="70D4E4D2">
      <w:start w:val="1"/>
      <w:numFmt w:val="bullet"/>
      <w:lvlText w:val=""/>
      <w:lvlJc w:val="left"/>
      <w:pPr>
        <w:ind w:left="5040" w:hanging="360"/>
      </w:pPr>
      <w:rPr>
        <w:rFonts w:ascii="Symbol" w:hAnsi="Symbol" w:hint="default"/>
      </w:rPr>
    </w:lvl>
    <w:lvl w:ilvl="7" w:tplc="F67233A8">
      <w:start w:val="1"/>
      <w:numFmt w:val="bullet"/>
      <w:lvlText w:val="o"/>
      <w:lvlJc w:val="left"/>
      <w:pPr>
        <w:ind w:left="5760" w:hanging="360"/>
      </w:pPr>
      <w:rPr>
        <w:rFonts w:ascii="Courier New" w:hAnsi="Courier New" w:hint="default"/>
      </w:rPr>
    </w:lvl>
    <w:lvl w:ilvl="8" w:tplc="0E3A1082">
      <w:start w:val="1"/>
      <w:numFmt w:val="bullet"/>
      <w:lvlText w:val=""/>
      <w:lvlJc w:val="left"/>
      <w:pPr>
        <w:ind w:left="6480" w:hanging="360"/>
      </w:pPr>
      <w:rPr>
        <w:rFonts w:ascii="Wingdings" w:hAnsi="Wingdings" w:hint="default"/>
      </w:rPr>
    </w:lvl>
  </w:abstractNum>
  <w:abstractNum w:abstractNumId="28" w15:restartNumberingAfterBreak="0">
    <w:nsid w:val="4D574519"/>
    <w:multiLevelType w:val="hybridMultilevel"/>
    <w:tmpl w:val="12B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F6ABF"/>
    <w:multiLevelType w:val="hybridMultilevel"/>
    <w:tmpl w:val="13644728"/>
    <w:lvl w:ilvl="0" w:tplc="A8D815F0">
      <w:start w:val="3"/>
      <w:numFmt w:val="bullet"/>
      <w:lvlText w:val="-"/>
      <w:lvlJc w:val="left"/>
      <w:pPr>
        <w:ind w:left="1210" w:hanging="360"/>
      </w:pPr>
      <w:rPr>
        <w:rFonts w:ascii="Times New Roman" w:eastAsia="Calibri" w:hAnsi="Times New Roman" w:cs="Times New Roman"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9E6164A"/>
    <w:multiLevelType w:val="hybridMultilevel"/>
    <w:tmpl w:val="774E5854"/>
    <w:lvl w:ilvl="0" w:tplc="12A48E54">
      <w:start w:val="1"/>
      <w:numFmt w:val="bullet"/>
      <w:lvlText w:val="·"/>
      <w:lvlJc w:val="left"/>
      <w:pPr>
        <w:ind w:left="720" w:hanging="360"/>
      </w:pPr>
      <w:rPr>
        <w:rFonts w:ascii="Symbol" w:hAnsi="Symbol" w:hint="default"/>
      </w:rPr>
    </w:lvl>
    <w:lvl w:ilvl="1" w:tplc="BB16C39E">
      <w:start w:val="1"/>
      <w:numFmt w:val="bullet"/>
      <w:lvlText w:val="o"/>
      <w:lvlJc w:val="left"/>
      <w:pPr>
        <w:ind w:left="1440" w:hanging="360"/>
      </w:pPr>
      <w:rPr>
        <w:rFonts w:ascii="Courier New" w:hAnsi="Courier New" w:hint="default"/>
      </w:rPr>
    </w:lvl>
    <w:lvl w:ilvl="2" w:tplc="3DB60304">
      <w:start w:val="1"/>
      <w:numFmt w:val="bullet"/>
      <w:lvlText w:val=""/>
      <w:lvlJc w:val="left"/>
      <w:pPr>
        <w:ind w:left="2160" w:hanging="360"/>
      </w:pPr>
      <w:rPr>
        <w:rFonts w:ascii="Wingdings" w:hAnsi="Wingdings" w:hint="default"/>
      </w:rPr>
    </w:lvl>
    <w:lvl w:ilvl="3" w:tplc="FC866250">
      <w:start w:val="1"/>
      <w:numFmt w:val="bullet"/>
      <w:lvlText w:val=""/>
      <w:lvlJc w:val="left"/>
      <w:pPr>
        <w:ind w:left="2880" w:hanging="360"/>
      </w:pPr>
      <w:rPr>
        <w:rFonts w:ascii="Symbol" w:hAnsi="Symbol" w:hint="default"/>
      </w:rPr>
    </w:lvl>
    <w:lvl w:ilvl="4" w:tplc="FB348414">
      <w:start w:val="1"/>
      <w:numFmt w:val="bullet"/>
      <w:lvlText w:val="o"/>
      <w:lvlJc w:val="left"/>
      <w:pPr>
        <w:ind w:left="3600" w:hanging="360"/>
      </w:pPr>
      <w:rPr>
        <w:rFonts w:ascii="Courier New" w:hAnsi="Courier New" w:hint="default"/>
      </w:rPr>
    </w:lvl>
    <w:lvl w:ilvl="5" w:tplc="97226D14">
      <w:start w:val="1"/>
      <w:numFmt w:val="bullet"/>
      <w:lvlText w:val=""/>
      <w:lvlJc w:val="left"/>
      <w:pPr>
        <w:ind w:left="4320" w:hanging="360"/>
      </w:pPr>
      <w:rPr>
        <w:rFonts w:ascii="Wingdings" w:hAnsi="Wingdings" w:hint="default"/>
      </w:rPr>
    </w:lvl>
    <w:lvl w:ilvl="6" w:tplc="367E1066">
      <w:start w:val="1"/>
      <w:numFmt w:val="bullet"/>
      <w:lvlText w:val=""/>
      <w:lvlJc w:val="left"/>
      <w:pPr>
        <w:ind w:left="5040" w:hanging="360"/>
      </w:pPr>
      <w:rPr>
        <w:rFonts w:ascii="Symbol" w:hAnsi="Symbol" w:hint="default"/>
      </w:rPr>
    </w:lvl>
    <w:lvl w:ilvl="7" w:tplc="898661A4">
      <w:start w:val="1"/>
      <w:numFmt w:val="bullet"/>
      <w:lvlText w:val="o"/>
      <w:lvlJc w:val="left"/>
      <w:pPr>
        <w:ind w:left="5760" w:hanging="360"/>
      </w:pPr>
      <w:rPr>
        <w:rFonts w:ascii="Courier New" w:hAnsi="Courier New" w:hint="default"/>
      </w:rPr>
    </w:lvl>
    <w:lvl w:ilvl="8" w:tplc="48AEACB4">
      <w:start w:val="1"/>
      <w:numFmt w:val="bullet"/>
      <w:lvlText w:val=""/>
      <w:lvlJc w:val="left"/>
      <w:pPr>
        <w:ind w:left="6480" w:hanging="360"/>
      </w:pPr>
      <w:rPr>
        <w:rFonts w:ascii="Wingdings" w:hAnsi="Wingdings" w:hint="default"/>
      </w:rPr>
    </w:lvl>
  </w:abstractNum>
  <w:abstractNum w:abstractNumId="3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15:restartNumberingAfterBreak="0">
    <w:nsid w:val="5BFB66DB"/>
    <w:multiLevelType w:val="hybridMultilevel"/>
    <w:tmpl w:val="63B22BE4"/>
    <w:lvl w:ilvl="0" w:tplc="23A60898">
      <w:start w:val="1"/>
      <w:numFmt w:val="bullet"/>
      <w:lvlText w:val="·"/>
      <w:lvlJc w:val="left"/>
      <w:pPr>
        <w:ind w:left="720" w:hanging="360"/>
      </w:pPr>
      <w:rPr>
        <w:rFonts w:ascii="Symbol" w:hAnsi="Symbol" w:hint="default"/>
      </w:rPr>
    </w:lvl>
    <w:lvl w:ilvl="1" w:tplc="2138BDCA">
      <w:start w:val="1"/>
      <w:numFmt w:val="bullet"/>
      <w:lvlText w:val="o"/>
      <w:lvlJc w:val="left"/>
      <w:pPr>
        <w:ind w:left="1440" w:hanging="360"/>
      </w:pPr>
      <w:rPr>
        <w:rFonts w:ascii="Courier New" w:hAnsi="Courier New" w:hint="default"/>
      </w:rPr>
    </w:lvl>
    <w:lvl w:ilvl="2" w:tplc="74960E32">
      <w:start w:val="1"/>
      <w:numFmt w:val="bullet"/>
      <w:lvlText w:val=""/>
      <w:lvlJc w:val="left"/>
      <w:pPr>
        <w:ind w:left="2160" w:hanging="360"/>
      </w:pPr>
      <w:rPr>
        <w:rFonts w:ascii="Wingdings" w:hAnsi="Wingdings" w:hint="default"/>
      </w:rPr>
    </w:lvl>
    <w:lvl w:ilvl="3" w:tplc="1228C6DA">
      <w:start w:val="1"/>
      <w:numFmt w:val="bullet"/>
      <w:lvlText w:val=""/>
      <w:lvlJc w:val="left"/>
      <w:pPr>
        <w:ind w:left="2880" w:hanging="360"/>
      </w:pPr>
      <w:rPr>
        <w:rFonts w:ascii="Symbol" w:hAnsi="Symbol" w:hint="default"/>
      </w:rPr>
    </w:lvl>
    <w:lvl w:ilvl="4" w:tplc="0E226A60">
      <w:start w:val="1"/>
      <w:numFmt w:val="bullet"/>
      <w:lvlText w:val="o"/>
      <w:lvlJc w:val="left"/>
      <w:pPr>
        <w:ind w:left="3600" w:hanging="360"/>
      </w:pPr>
      <w:rPr>
        <w:rFonts w:ascii="Courier New" w:hAnsi="Courier New" w:hint="default"/>
      </w:rPr>
    </w:lvl>
    <w:lvl w:ilvl="5" w:tplc="6B7853A4">
      <w:start w:val="1"/>
      <w:numFmt w:val="bullet"/>
      <w:lvlText w:val=""/>
      <w:lvlJc w:val="left"/>
      <w:pPr>
        <w:ind w:left="4320" w:hanging="360"/>
      </w:pPr>
      <w:rPr>
        <w:rFonts w:ascii="Wingdings" w:hAnsi="Wingdings" w:hint="default"/>
      </w:rPr>
    </w:lvl>
    <w:lvl w:ilvl="6" w:tplc="24A06BC4">
      <w:start w:val="1"/>
      <w:numFmt w:val="bullet"/>
      <w:lvlText w:val=""/>
      <w:lvlJc w:val="left"/>
      <w:pPr>
        <w:ind w:left="5040" w:hanging="360"/>
      </w:pPr>
      <w:rPr>
        <w:rFonts w:ascii="Symbol" w:hAnsi="Symbol" w:hint="default"/>
      </w:rPr>
    </w:lvl>
    <w:lvl w:ilvl="7" w:tplc="B4047056">
      <w:start w:val="1"/>
      <w:numFmt w:val="bullet"/>
      <w:lvlText w:val="o"/>
      <w:lvlJc w:val="left"/>
      <w:pPr>
        <w:ind w:left="5760" w:hanging="360"/>
      </w:pPr>
      <w:rPr>
        <w:rFonts w:ascii="Courier New" w:hAnsi="Courier New" w:hint="default"/>
      </w:rPr>
    </w:lvl>
    <w:lvl w:ilvl="8" w:tplc="032ACD90">
      <w:start w:val="1"/>
      <w:numFmt w:val="bullet"/>
      <w:lvlText w:val=""/>
      <w:lvlJc w:val="left"/>
      <w:pPr>
        <w:ind w:left="6480" w:hanging="360"/>
      </w:pPr>
      <w:rPr>
        <w:rFonts w:ascii="Wingdings" w:hAnsi="Wingdings" w:hint="default"/>
      </w:rPr>
    </w:lvl>
  </w:abstractNum>
  <w:abstractNum w:abstractNumId="3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3840903"/>
    <w:multiLevelType w:val="hybridMultilevel"/>
    <w:tmpl w:val="E9EA4938"/>
    <w:lvl w:ilvl="0" w:tplc="6876FE28">
      <w:start w:val="1"/>
      <w:numFmt w:val="bullet"/>
      <w:lvlText w:val="·"/>
      <w:lvlJc w:val="left"/>
      <w:pPr>
        <w:ind w:left="720" w:hanging="360"/>
      </w:pPr>
      <w:rPr>
        <w:rFonts w:ascii="Symbol" w:hAnsi="Symbol" w:hint="default"/>
      </w:rPr>
    </w:lvl>
    <w:lvl w:ilvl="1" w:tplc="F7FE912C">
      <w:start w:val="1"/>
      <w:numFmt w:val="bullet"/>
      <w:lvlText w:val="o"/>
      <w:lvlJc w:val="left"/>
      <w:pPr>
        <w:ind w:left="1440" w:hanging="360"/>
      </w:pPr>
      <w:rPr>
        <w:rFonts w:ascii="Courier New" w:hAnsi="Courier New" w:hint="default"/>
      </w:rPr>
    </w:lvl>
    <w:lvl w:ilvl="2" w:tplc="B908DB5C">
      <w:start w:val="1"/>
      <w:numFmt w:val="bullet"/>
      <w:lvlText w:val=""/>
      <w:lvlJc w:val="left"/>
      <w:pPr>
        <w:ind w:left="2160" w:hanging="360"/>
      </w:pPr>
      <w:rPr>
        <w:rFonts w:ascii="Wingdings" w:hAnsi="Wingdings" w:hint="default"/>
      </w:rPr>
    </w:lvl>
    <w:lvl w:ilvl="3" w:tplc="06A647CE">
      <w:start w:val="1"/>
      <w:numFmt w:val="bullet"/>
      <w:lvlText w:val=""/>
      <w:lvlJc w:val="left"/>
      <w:pPr>
        <w:ind w:left="2880" w:hanging="360"/>
      </w:pPr>
      <w:rPr>
        <w:rFonts w:ascii="Symbol" w:hAnsi="Symbol" w:hint="default"/>
      </w:rPr>
    </w:lvl>
    <w:lvl w:ilvl="4" w:tplc="36D4DA56">
      <w:start w:val="1"/>
      <w:numFmt w:val="bullet"/>
      <w:lvlText w:val="o"/>
      <w:lvlJc w:val="left"/>
      <w:pPr>
        <w:ind w:left="3600" w:hanging="360"/>
      </w:pPr>
      <w:rPr>
        <w:rFonts w:ascii="Courier New" w:hAnsi="Courier New" w:hint="default"/>
      </w:rPr>
    </w:lvl>
    <w:lvl w:ilvl="5" w:tplc="B2306344">
      <w:start w:val="1"/>
      <w:numFmt w:val="bullet"/>
      <w:lvlText w:val=""/>
      <w:lvlJc w:val="left"/>
      <w:pPr>
        <w:ind w:left="4320" w:hanging="360"/>
      </w:pPr>
      <w:rPr>
        <w:rFonts w:ascii="Wingdings" w:hAnsi="Wingdings" w:hint="default"/>
      </w:rPr>
    </w:lvl>
    <w:lvl w:ilvl="6" w:tplc="BF686ABC">
      <w:start w:val="1"/>
      <w:numFmt w:val="bullet"/>
      <w:lvlText w:val=""/>
      <w:lvlJc w:val="left"/>
      <w:pPr>
        <w:ind w:left="5040" w:hanging="360"/>
      </w:pPr>
      <w:rPr>
        <w:rFonts w:ascii="Symbol" w:hAnsi="Symbol" w:hint="default"/>
      </w:rPr>
    </w:lvl>
    <w:lvl w:ilvl="7" w:tplc="3390898E">
      <w:start w:val="1"/>
      <w:numFmt w:val="bullet"/>
      <w:lvlText w:val="o"/>
      <w:lvlJc w:val="left"/>
      <w:pPr>
        <w:ind w:left="5760" w:hanging="360"/>
      </w:pPr>
      <w:rPr>
        <w:rFonts w:ascii="Courier New" w:hAnsi="Courier New" w:hint="default"/>
      </w:rPr>
    </w:lvl>
    <w:lvl w:ilvl="8" w:tplc="9FD8A56C">
      <w:start w:val="1"/>
      <w:numFmt w:val="bullet"/>
      <w:lvlText w:val=""/>
      <w:lvlJc w:val="left"/>
      <w:pPr>
        <w:ind w:left="6480" w:hanging="360"/>
      </w:pPr>
      <w:rPr>
        <w:rFonts w:ascii="Wingdings" w:hAnsi="Wingdings" w:hint="default"/>
      </w:rPr>
    </w:lvl>
  </w:abstractNum>
  <w:abstractNum w:abstractNumId="3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564676C"/>
    <w:multiLevelType w:val="hybridMultilevel"/>
    <w:tmpl w:val="F45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15:restartNumberingAfterBreak="0">
    <w:nsid w:val="69011131"/>
    <w:multiLevelType w:val="hybridMultilevel"/>
    <w:tmpl w:val="5FA8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57036B"/>
    <w:multiLevelType w:val="multilevel"/>
    <w:tmpl w:val="5690240C"/>
    <w:name w:val="NumPar2"/>
    <w:lvl w:ilvl="0">
      <w:start w:val="1"/>
      <w:numFmt w:val="decimal"/>
      <w:lvlText w:val="%1."/>
      <w:lvlJc w:val="left"/>
      <w:pPr>
        <w:ind w:left="-13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55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89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230" w:hanging="1800"/>
      </w:pPr>
      <w:rPr>
        <w:rFonts w:hint="default"/>
      </w:rPr>
    </w:lvl>
  </w:abstractNum>
  <w:abstractNum w:abstractNumId="42" w15:restartNumberingAfterBreak="0">
    <w:nsid w:val="709E295F"/>
    <w:multiLevelType w:val="hybridMultilevel"/>
    <w:tmpl w:val="C49E54D6"/>
    <w:lvl w:ilvl="0" w:tplc="00CE157E">
      <w:start w:val="1"/>
      <w:numFmt w:val="bullet"/>
      <w:lvlText w:val="·"/>
      <w:lvlJc w:val="left"/>
      <w:pPr>
        <w:ind w:left="720" w:hanging="360"/>
      </w:pPr>
      <w:rPr>
        <w:rFonts w:ascii="Symbol" w:hAnsi="Symbol" w:hint="default"/>
      </w:rPr>
    </w:lvl>
    <w:lvl w:ilvl="1" w:tplc="E5382716">
      <w:start w:val="1"/>
      <w:numFmt w:val="bullet"/>
      <w:lvlText w:val="o"/>
      <w:lvlJc w:val="left"/>
      <w:pPr>
        <w:ind w:left="1440" w:hanging="360"/>
      </w:pPr>
      <w:rPr>
        <w:rFonts w:ascii="Courier New" w:hAnsi="Courier New" w:hint="default"/>
      </w:rPr>
    </w:lvl>
    <w:lvl w:ilvl="2" w:tplc="021AEBE8">
      <w:start w:val="1"/>
      <w:numFmt w:val="bullet"/>
      <w:lvlText w:val=""/>
      <w:lvlJc w:val="left"/>
      <w:pPr>
        <w:ind w:left="2160" w:hanging="360"/>
      </w:pPr>
      <w:rPr>
        <w:rFonts w:ascii="Wingdings" w:hAnsi="Wingdings" w:hint="default"/>
      </w:rPr>
    </w:lvl>
    <w:lvl w:ilvl="3" w:tplc="E3D4EAEC">
      <w:start w:val="1"/>
      <w:numFmt w:val="bullet"/>
      <w:lvlText w:val=""/>
      <w:lvlJc w:val="left"/>
      <w:pPr>
        <w:ind w:left="2880" w:hanging="360"/>
      </w:pPr>
      <w:rPr>
        <w:rFonts w:ascii="Symbol" w:hAnsi="Symbol" w:hint="default"/>
      </w:rPr>
    </w:lvl>
    <w:lvl w:ilvl="4" w:tplc="0EDE967E">
      <w:start w:val="1"/>
      <w:numFmt w:val="bullet"/>
      <w:lvlText w:val="o"/>
      <w:lvlJc w:val="left"/>
      <w:pPr>
        <w:ind w:left="3600" w:hanging="360"/>
      </w:pPr>
      <w:rPr>
        <w:rFonts w:ascii="Courier New" w:hAnsi="Courier New" w:hint="default"/>
      </w:rPr>
    </w:lvl>
    <w:lvl w:ilvl="5" w:tplc="EB5E1184">
      <w:start w:val="1"/>
      <w:numFmt w:val="bullet"/>
      <w:lvlText w:val=""/>
      <w:lvlJc w:val="left"/>
      <w:pPr>
        <w:ind w:left="4320" w:hanging="360"/>
      </w:pPr>
      <w:rPr>
        <w:rFonts w:ascii="Wingdings" w:hAnsi="Wingdings" w:hint="default"/>
      </w:rPr>
    </w:lvl>
    <w:lvl w:ilvl="6" w:tplc="5AA87610">
      <w:start w:val="1"/>
      <w:numFmt w:val="bullet"/>
      <w:lvlText w:val=""/>
      <w:lvlJc w:val="left"/>
      <w:pPr>
        <w:ind w:left="5040" w:hanging="360"/>
      </w:pPr>
      <w:rPr>
        <w:rFonts w:ascii="Symbol" w:hAnsi="Symbol" w:hint="default"/>
      </w:rPr>
    </w:lvl>
    <w:lvl w:ilvl="7" w:tplc="E898D140">
      <w:start w:val="1"/>
      <w:numFmt w:val="bullet"/>
      <w:lvlText w:val="o"/>
      <w:lvlJc w:val="left"/>
      <w:pPr>
        <w:ind w:left="5760" w:hanging="360"/>
      </w:pPr>
      <w:rPr>
        <w:rFonts w:ascii="Courier New" w:hAnsi="Courier New" w:hint="default"/>
      </w:rPr>
    </w:lvl>
    <w:lvl w:ilvl="8" w:tplc="3072E41A">
      <w:start w:val="1"/>
      <w:numFmt w:val="bullet"/>
      <w:lvlText w:val=""/>
      <w:lvlJc w:val="left"/>
      <w:pPr>
        <w:ind w:left="6480" w:hanging="360"/>
      </w:pPr>
      <w:rPr>
        <w:rFonts w:ascii="Wingdings" w:hAnsi="Wingdings" w:hint="default"/>
      </w:rPr>
    </w:lvl>
  </w:abstractNum>
  <w:abstractNum w:abstractNumId="43" w15:restartNumberingAfterBreak="0">
    <w:nsid w:val="72991C8D"/>
    <w:multiLevelType w:val="hybridMultilevel"/>
    <w:tmpl w:val="EA08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CD2CB5"/>
    <w:multiLevelType w:val="hybridMultilevel"/>
    <w:tmpl w:val="AEBE2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3"/>
  </w:num>
  <w:num w:numId="6">
    <w:abstractNumId w:val="6"/>
  </w:num>
  <w:num w:numId="7">
    <w:abstractNumId w:val="2"/>
  </w:num>
  <w:num w:numId="8">
    <w:abstractNumId w:val="1"/>
  </w:num>
  <w:num w:numId="9">
    <w:abstractNumId w:val="0"/>
  </w:num>
  <w:num w:numId="10">
    <w:abstractNumId w:val="35"/>
  </w:num>
  <w:num w:numId="11">
    <w:abstractNumId w:val="23"/>
  </w:num>
  <w:num w:numId="12">
    <w:abstractNumId w:val="39"/>
  </w:num>
  <w:num w:numId="13">
    <w:abstractNumId w:val="17"/>
  </w:num>
  <w:num w:numId="14">
    <w:abstractNumId w:val="24"/>
  </w:num>
  <w:num w:numId="15">
    <w:abstractNumId w:val="37"/>
  </w:num>
  <w:num w:numId="16">
    <w:abstractNumId w:val="11"/>
  </w:num>
  <w:num w:numId="17">
    <w:abstractNumId w:val="26"/>
  </w:num>
  <w:num w:numId="18">
    <w:abstractNumId w:val="32"/>
  </w:num>
  <w:num w:numId="19">
    <w:abstractNumId w:val="34"/>
  </w:num>
  <w:num w:numId="20">
    <w:abstractNumId w:val="16"/>
  </w:num>
  <w:num w:numId="21">
    <w:abstractNumId w:val="30"/>
  </w:num>
  <w:num w:numId="22">
    <w:abstractNumId w:val="43"/>
  </w:num>
  <w:num w:numId="23">
    <w:abstractNumId w:val="14"/>
  </w:num>
  <w:num w:numId="24">
    <w:abstractNumId w:val="28"/>
  </w:num>
  <w:num w:numId="25">
    <w:abstractNumId w:val="8"/>
  </w:num>
  <w:num w:numId="26">
    <w:abstractNumId w:val="20"/>
  </w:num>
  <w:num w:numId="27">
    <w:abstractNumId w:val="44"/>
  </w:num>
  <w:num w:numId="28">
    <w:abstractNumId w:val="36"/>
  </w:num>
  <w:num w:numId="29">
    <w:abstractNumId w:val="31"/>
  </w:num>
  <w:num w:numId="30">
    <w:abstractNumId w:val="29"/>
  </w:num>
  <w:num w:numId="31">
    <w:abstractNumId w:val="21"/>
  </w:num>
  <w:num w:numId="32">
    <w:abstractNumId w:val="38"/>
  </w:num>
  <w:num w:numId="33">
    <w:abstractNumId w:val="40"/>
  </w:num>
  <w:num w:numId="34">
    <w:abstractNumId w:val="9"/>
  </w:num>
  <w:num w:numId="35">
    <w:abstractNumId w:val="42"/>
  </w:num>
  <w:num w:numId="36">
    <w:abstractNumId w:val="19"/>
  </w:num>
  <w:num w:numId="37">
    <w:abstractNumId w:val="15"/>
  </w:num>
  <w:num w:numId="38">
    <w:abstractNumId w:val="12"/>
  </w:num>
  <w:num w:numId="39">
    <w:abstractNumId w:val="18"/>
  </w:num>
  <w:num w:numId="40">
    <w:abstractNumId w:val="22"/>
  </w:num>
  <w:num w:numId="41">
    <w:abstractNumId w:val="13"/>
  </w:num>
  <w:num w:numId="42">
    <w:abstractNumId w:val="33"/>
  </w:num>
  <w:num w:numId="43">
    <w:abstractNumId w:val="27"/>
  </w:num>
  <w:num w:numId="44">
    <w:abstractNumId w:val="25"/>
  </w:num>
  <w:num w:numId="45">
    <w:abstractNumId w:val="10"/>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D0E1C324-E25D-43B5-8E22-8EBBAA49A24E"/>
    <w:docVar w:name="LW_COVERPAGE_TYPE" w:val="1"/>
    <w:docVar w:name="LW_CROSSREFERENCE" w:val="{SWD(2021) 161 final}"/>
    <w:docVar w:name="LW_DocType" w:val="NORMAL"/>
    <w:docVar w:name="LW_EMISSION" w:val="21.6.2021"/>
    <w:docVar w:name="LW_EMISSION_ISODATE" w:val="2021-06-21"/>
    <w:docVar w:name="LW_EMISSION_LOCATION" w:val="BRX"/>
    <w:docVar w:name="LW_EMISSION_PREFIX" w:val="\u1041?\u1088?\u1102?\u1082?\u1089?\u1077?\u1083?,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mbria Cyr&gt;\u1079?\u1072? \u1086?\u1076?\u1086?\u1073?\u1088?\u1103?\u1074?\u1072?\u1085?\u1077? \u1085?\u1072? \u1086?\u1094?\u1077?\u1085?\u1082?\u1072?\u1090?\u1072? \u1085?\u1072? \u1087?\u1083?\u1072?\u1085?\u1072? \u1079?\u1072? \u1074?\u1098?\u1079?\u1089?\u1090?\u1072?\u1085?\u1086?\u1074?\u1103?\u1074?\u1072?\u1085?\u1077? \u1080? \u1091?\u1089?\u1090?\u1086?\u1081?\u1095?\u1080?\u1074?\u1086?\u1089?\u1090? \u1085?\u1072? \u1057?\u1083?\u1086?\u1074?\u1072?\u1082?\u1080?\u1103?&lt;/FMT&gt;"/>
    <w:docVar w:name="LW_PART_NBR" w:val="1"/>
    <w:docVar w:name="LW_PART_NBR_TOTAL" w:val="1"/>
    <w:docVar w:name="LW_REF.INST.NEW" w:val="COM"/>
    <w:docVar w:name="LW_REF.INST.NEW_ADOPTED" w:val="final"/>
    <w:docVar w:name="LW_REF.INST.NEW_TEXT" w:val="(2021) 3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79?\u1072? \u1080?\u1079?\u1087?\u1098?\u1083?\u1085?\u1077?\u1085?\u1080?\u1077? \u1085?\u1072? \u1057?\u1098?\u1074?\u1077?\u1090?\u1072?"/>
    <w:docVar w:name="LwApiVersions" w:val="LW4CoDe 1.23.0.0; LW 8.0, Build 20210114"/>
  </w:docVars>
  <w:rsids>
    <w:rsidRoot w:val="00D4086A"/>
    <w:rsid w:val="00D4086A"/>
    <w:rsid w:val="00D530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8F6F0-D3E4-455F-AB1E-361A7227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bg-BG" w:eastAsia="en-US"/>
    </w:rPr>
  </w:style>
  <w:style w:type="paragraph" w:styleId="Heading1">
    <w:name w:val="heading 1"/>
    <w:basedOn w:val="Normal"/>
    <w:next w:val="Text1"/>
    <w:link w:val="Heading1Char"/>
    <w:uiPriority w:val="9"/>
    <w:qFormat/>
    <w:pPr>
      <w:keepNext/>
      <w:numPr>
        <w:numId w:val="15"/>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5"/>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semiHidden/>
    <w:unhideWhenUsed/>
    <w:qFormat/>
    <w:pPr>
      <w:keepNext/>
      <w:numPr>
        <w:ilvl w:val="2"/>
        <w:numId w:val="15"/>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semiHidden/>
    <w:unhideWhenUsed/>
    <w:qFormat/>
    <w:pPr>
      <w:keepNext/>
      <w:numPr>
        <w:ilvl w:val="3"/>
        <w:numId w:val="15"/>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rPr>
  </w:style>
  <w:style w:type="character" w:customStyle="1" w:styleId="Heading2Char">
    <w:name w:val="Heading 2 Char"/>
    <w:link w:val="Heading2"/>
    <w:uiPriority w:val="9"/>
    <w:semiHidden/>
    <w:rPr>
      <w:rFonts w:ascii="Times New Roman" w:eastAsia="Times New Roman" w:hAnsi="Times New Roman" w:cs="Times New Roman"/>
      <w:b/>
      <w:bCs/>
      <w:sz w:val="24"/>
      <w:szCs w:val="26"/>
    </w:rPr>
  </w:style>
  <w:style w:type="character" w:customStyle="1" w:styleId="Heading3Char">
    <w:name w:val="Heading 3 Char"/>
    <w:link w:val="Heading3"/>
    <w:uiPriority w:val="9"/>
    <w:semiHidden/>
    <w:rPr>
      <w:rFonts w:ascii="Times New Roman" w:eastAsia="Times New Roman" w:hAnsi="Times New Roman" w:cs="Times New Roman"/>
      <w:bCs/>
      <w:i/>
      <w:sz w:val="24"/>
    </w:rPr>
  </w:style>
  <w:style w:type="character" w:customStyle="1" w:styleId="Heading4Char">
    <w:name w:val="Heading 4 Char"/>
    <w:link w:val="Heading4"/>
    <w:uiPriority w:val="9"/>
    <w:semiHidden/>
    <w:rPr>
      <w:rFonts w:ascii="Times New Roman" w:eastAsia="Times New Roman" w:hAnsi="Times New Roman" w:cs="Times New Roman"/>
      <w:bCs/>
      <w:iCs/>
      <w:sz w:val="24"/>
    </w:rPr>
  </w:style>
  <w:style w:type="numbering" w:customStyle="1" w:styleId="NoList1">
    <w:name w:val="No List1"/>
    <w:next w:val="NoList"/>
    <w:uiPriority w:val="99"/>
    <w:semiHidden/>
    <w:unhideWhenUsed/>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sz w:val="20"/>
      <w:szCs w:val="20"/>
    </w:rPr>
  </w:style>
  <w:style w:type="character" w:customStyle="1" w:styleId="CommentTextChar">
    <w:name w:val="Comment Text Char"/>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Pr>
      <w:lang w:val="bg-BG"/>
    </w:rPr>
  </w:style>
  <w:style w:type="character" w:styleId="IntenseEmphasis">
    <w:name w:val="Intense Emphasis"/>
    <w:uiPriority w:val="21"/>
    <w:qFormat/>
    <w:rPr>
      <w:i/>
      <w:iCs/>
      <w:color w:val="4F81BD"/>
    </w:rPr>
  </w:style>
  <w:style w:type="paragraph" w:styleId="BalloonText">
    <w:name w:val="Balloon Text"/>
    <w:basedOn w:val="Normal"/>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ListBullet">
    <w:name w:val="List Bullet"/>
    <w:basedOn w:val="Normal"/>
    <w:uiPriority w:val="99"/>
    <w:semiHidden/>
    <w:unhideWhenUsed/>
    <w:pPr>
      <w:numPr>
        <w:numId w:val="1"/>
      </w:numPr>
      <w:spacing w:before="120" w:after="120" w:line="240" w:lineRule="auto"/>
      <w:contextualSpacing/>
      <w:jc w:val="both"/>
    </w:pPr>
    <w:rPr>
      <w:rFonts w:ascii="Times New Roman" w:hAnsi="Times New Roman"/>
      <w:sz w:val="24"/>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hAnsi="Times New Roman"/>
      <w:sz w:val="24"/>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hAnsi="Times New Roman"/>
      <w:sz w:val="24"/>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rPr>
  </w:style>
  <w:style w:type="paragraph" w:styleId="Revision">
    <w:name w:val="Revision"/>
    <w:hidden/>
    <w:uiPriority w:val="99"/>
    <w:semiHidden/>
    <w:rPr>
      <w:rFonts w:ascii="Times New Roman" w:hAnsi="Times New Roman"/>
      <w:sz w:val="24"/>
      <w:szCs w:val="22"/>
      <w:lang w:val="bg-BG" w:eastAsia="en-US"/>
    </w:rPr>
  </w:style>
  <w:style w:type="paragraph" w:styleId="Caption">
    <w:name w:val="caption"/>
    <w:basedOn w:val="Normal"/>
    <w:next w:val="Normal"/>
    <w:uiPriority w:val="35"/>
    <w:semiHidden/>
    <w:unhideWhenUsed/>
    <w:qFormat/>
    <w:pPr>
      <w:spacing w:line="240" w:lineRule="auto"/>
      <w:jc w:val="both"/>
    </w:pPr>
    <w:rPr>
      <w:rFonts w:ascii="Times New Roman" w:hAnsi="Times New Roman"/>
      <w:i/>
      <w:iCs/>
      <w:color w:val="1F497D"/>
      <w:sz w:val="18"/>
      <w:szCs w:val="18"/>
    </w:rPr>
  </w:style>
  <w:style w:type="paragraph" w:styleId="TableofFigures">
    <w:name w:val="table of figures"/>
    <w:basedOn w:val="Normal"/>
    <w:next w:val="Normal"/>
    <w:uiPriority w:val="99"/>
    <w:semiHidden/>
    <w:unhideWhenUsed/>
    <w:pPr>
      <w:spacing w:before="120" w:after="0" w:line="240" w:lineRule="auto"/>
      <w:jc w:val="both"/>
    </w:pPr>
    <w:rPr>
      <w:rFonts w:ascii="Times New Roman" w:hAnsi="Times New Roman"/>
      <w:sz w:val="24"/>
    </w:rPr>
  </w:style>
  <w:style w:type="paragraph" w:styleId="ListNumber">
    <w:name w:val="List Number"/>
    <w:basedOn w:val="Normal"/>
    <w:uiPriority w:val="99"/>
    <w:semiHidden/>
    <w:unhideWhenUsed/>
    <w:pPr>
      <w:numPr>
        <w:numId w:val="6"/>
      </w:numPr>
      <w:spacing w:before="120" w:after="120" w:line="240" w:lineRule="auto"/>
      <w:contextualSpacing/>
      <w:jc w:val="both"/>
    </w:pPr>
    <w:rPr>
      <w:rFonts w:ascii="Times New Roman" w:hAnsi="Times New Roman"/>
      <w:sz w:val="24"/>
    </w:rPr>
  </w:style>
  <w:style w:type="paragraph" w:styleId="ListNumber2">
    <w:name w:val="List Number 2"/>
    <w:basedOn w:val="Normal"/>
    <w:uiPriority w:val="99"/>
    <w:semiHidden/>
    <w:unhideWhenUsed/>
    <w:pPr>
      <w:numPr>
        <w:numId w:val="7"/>
      </w:numPr>
      <w:spacing w:before="120" w:after="120" w:line="240" w:lineRule="auto"/>
      <w:contextualSpacing/>
      <w:jc w:val="both"/>
    </w:pPr>
    <w:rPr>
      <w:rFonts w:ascii="Times New Roman" w:hAnsi="Times New Roman"/>
      <w:sz w:val="24"/>
    </w:rPr>
  </w:style>
  <w:style w:type="paragraph" w:styleId="ListNumber3">
    <w:name w:val="List Number 3"/>
    <w:basedOn w:val="Normal"/>
    <w:uiPriority w:val="99"/>
    <w:semiHidden/>
    <w:unhideWhenUsed/>
    <w:pPr>
      <w:numPr>
        <w:numId w:val="8"/>
      </w:numPr>
      <w:spacing w:before="120" w:after="120" w:line="240" w:lineRule="auto"/>
      <w:contextualSpacing/>
      <w:jc w:val="both"/>
    </w:pPr>
    <w:rPr>
      <w:rFonts w:ascii="Times New Roman" w:hAnsi="Times New Roman"/>
      <w:sz w:val="24"/>
    </w:rPr>
  </w:style>
  <w:style w:type="paragraph" w:styleId="ListNumber4">
    <w:name w:val="List Number 4"/>
    <w:basedOn w:val="Normal"/>
    <w:uiPriority w:val="99"/>
    <w:semiHidden/>
    <w:unhideWhenUsed/>
    <w:pPr>
      <w:numPr>
        <w:numId w:val="9"/>
      </w:numPr>
      <w:spacing w:before="120" w:after="120" w:line="240" w:lineRule="auto"/>
      <w:contextualSpacing/>
      <w:jc w:val="both"/>
    </w:pPr>
    <w:rPr>
      <w:rFonts w:ascii="Times New Roman" w:hAnsi="Times New Roman"/>
      <w:sz w:val="24"/>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Text1">
    <w:name w:val="Text 1"/>
    <w:basedOn w:val="Normal"/>
    <w:pPr>
      <w:spacing w:before="120" w:after="120" w:line="240" w:lineRule="auto"/>
      <w:ind w:left="850"/>
      <w:jc w:val="both"/>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hAnsi="Times New Roman"/>
      <w:sz w:val="24"/>
    </w:rPr>
  </w:style>
  <w:style w:type="paragraph" w:customStyle="1" w:styleId="Text3">
    <w:name w:val="Text 3"/>
    <w:basedOn w:val="Normal"/>
    <w:pPr>
      <w:spacing w:before="120" w:after="120" w:line="240" w:lineRule="auto"/>
      <w:ind w:left="1984"/>
      <w:jc w:val="both"/>
    </w:pPr>
    <w:rPr>
      <w:rFonts w:ascii="Times New Roman" w:hAnsi="Times New Roman"/>
      <w:sz w:val="24"/>
    </w:rPr>
  </w:style>
  <w:style w:type="paragraph" w:customStyle="1" w:styleId="Text4">
    <w:name w:val="Text 4"/>
    <w:basedOn w:val="Normal"/>
    <w:pPr>
      <w:spacing w:before="120" w:after="120" w:line="240" w:lineRule="auto"/>
      <w:ind w:left="2551"/>
      <w:jc w:val="both"/>
    </w:pPr>
    <w:rPr>
      <w:rFonts w:ascii="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sz w:val="24"/>
    </w:rPr>
  </w:style>
  <w:style w:type="paragraph" w:customStyle="1" w:styleId="NormalLeft">
    <w:name w:val="Normal Left"/>
    <w:basedOn w:val="Normal"/>
    <w:pPr>
      <w:spacing w:before="120" w:after="120" w:line="240" w:lineRule="auto"/>
    </w:pPr>
    <w:rPr>
      <w:rFonts w:ascii="Times New Roman" w:hAnsi="Times New Roman"/>
      <w:sz w:val="24"/>
    </w:rPr>
  </w:style>
  <w:style w:type="paragraph" w:customStyle="1" w:styleId="NormalRight">
    <w:name w:val="Normal Right"/>
    <w:basedOn w:val="Normal"/>
    <w:pPr>
      <w:spacing w:before="120" w:after="120" w:line="240" w:lineRule="auto"/>
      <w:jc w:val="right"/>
    </w:pPr>
    <w:rPr>
      <w:rFonts w:ascii="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sz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sz w:val="24"/>
    </w:rPr>
  </w:style>
  <w:style w:type="paragraph" w:customStyle="1" w:styleId="NumPar1">
    <w:name w:val="NumPar 1"/>
    <w:basedOn w:val="Normal"/>
    <w:next w:val="Text1"/>
    <w:pPr>
      <w:numPr>
        <w:numId w:val="5"/>
      </w:numPr>
      <w:spacing w:before="120" w:after="120" w:line="240" w:lineRule="auto"/>
      <w:jc w:val="both"/>
    </w:pPr>
    <w:rPr>
      <w:rFonts w:ascii="Times New Roman" w:hAnsi="Times New Roman"/>
      <w:sz w:val="24"/>
    </w:rPr>
  </w:style>
  <w:style w:type="paragraph" w:customStyle="1" w:styleId="NumPar2">
    <w:name w:val="NumPar 2"/>
    <w:basedOn w:val="Normal"/>
    <w:next w:val="Text1"/>
    <w:pPr>
      <w:numPr>
        <w:ilvl w:val="1"/>
        <w:numId w:val="5"/>
      </w:numPr>
      <w:spacing w:before="120" w:after="120" w:line="240" w:lineRule="auto"/>
      <w:jc w:val="both"/>
    </w:pPr>
    <w:rPr>
      <w:rFonts w:ascii="Times New Roman" w:hAnsi="Times New Roman"/>
      <w:sz w:val="24"/>
    </w:rPr>
  </w:style>
  <w:style w:type="paragraph" w:customStyle="1" w:styleId="NumPar3">
    <w:name w:val="NumPar 3"/>
    <w:basedOn w:val="Normal"/>
    <w:next w:val="Text1"/>
    <w:pPr>
      <w:numPr>
        <w:ilvl w:val="2"/>
        <w:numId w:val="5"/>
      </w:numPr>
      <w:spacing w:before="120" w:after="120" w:line="240" w:lineRule="auto"/>
      <w:jc w:val="both"/>
    </w:pPr>
    <w:rPr>
      <w:rFonts w:ascii="Times New Roman" w:hAnsi="Times New Roman"/>
      <w:sz w:val="24"/>
    </w:rPr>
  </w:style>
  <w:style w:type="paragraph" w:customStyle="1" w:styleId="NumPar4">
    <w:name w:val="NumPar 4"/>
    <w:basedOn w:val="Normal"/>
    <w:next w:val="Text1"/>
    <w:pPr>
      <w:numPr>
        <w:ilvl w:val="3"/>
        <w:numId w:val="5"/>
      </w:numPr>
      <w:spacing w:before="120" w:after="120" w:line="240" w:lineRule="auto"/>
      <w:jc w:val="both"/>
    </w:pPr>
    <w:rPr>
      <w:rFonts w:ascii="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hAnsi="Times New Roman"/>
      <w:sz w:val="24"/>
    </w:rPr>
  </w:style>
  <w:style w:type="paragraph" w:customStyle="1" w:styleId="Point1number">
    <w:name w:val="Point 1 (number)"/>
    <w:basedOn w:val="Normal"/>
    <w:pPr>
      <w:numPr>
        <w:ilvl w:val="2"/>
        <w:numId w:val="16"/>
      </w:numPr>
      <w:spacing w:before="120" w:after="120" w:line="240" w:lineRule="auto"/>
      <w:jc w:val="both"/>
    </w:pPr>
    <w:rPr>
      <w:rFonts w:ascii="Times New Roman" w:hAnsi="Times New Roman"/>
      <w:sz w:val="24"/>
    </w:rPr>
  </w:style>
  <w:style w:type="paragraph" w:customStyle="1" w:styleId="Point2number">
    <w:name w:val="Point 2 (number)"/>
    <w:basedOn w:val="Normal"/>
    <w:pPr>
      <w:numPr>
        <w:ilvl w:val="4"/>
        <w:numId w:val="16"/>
      </w:numPr>
      <w:spacing w:before="120" w:after="120" w:line="240" w:lineRule="auto"/>
      <w:jc w:val="both"/>
    </w:pPr>
    <w:rPr>
      <w:rFonts w:ascii="Times New Roman" w:hAnsi="Times New Roman"/>
      <w:sz w:val="24"/>
    </w:rPr>
  </w:style>
  <w:style w:type="paragraph" w:customStyle="1" w:styleId="Point3number">
    <w:name w:val="Point 3 (number)"/>
    <w:basedOn w:val="Normal"/>
    <w:pPr>
      <w:numPr>
        <w:ilvl w:val="6"/>
        <w:numId w:val="16"/>
      </w:numPr>
      <w:spacing w:before="120" w:after="120" w:line="240" w:lineRule="auto"/>
      <w:jc w:val="both"/>
    </w:pPr>
    <w:rPr>
      <w:rFonts w:ascii="Times New Roman" w:hAnsi="Times New Roman"/>
      <w:sz w:val="24"/>
    </w:rPr>
  </w:style>
  <w:style w:type="paragraph" w:customStyle="1" w:styleId="Point0letter">
    <w:name w:val="Point 0 (letter)"/>
    <w:basedOn w:val="Normal"/>
    <w:pPr>
      <w:numPr>
        <w:ilvl w:val="1"/>
        <w:numId w:val="16"/>
      </w:numPr>
      <w:spacing w:before="120" w:after="120" w:line="240" w:lineRule="auto"/>
      <w:jc w:val="both"/>
    </w:pPr>
    <w:rPr>
      <w:rFonts w:ascii="Times New Roman" w:hAnsi="Times New Roman"/>
      <w:sz w:val="24"/>
    </w:rPr>
  </w:style>
  <w:style w:type="paragraph" w:customStyle="1" w:styleId="Point1letter">
    <w:name w:val="Point 1 (letter)"/>
    <w:basedOn w:val="Normal"/>
    <w:pPr>
      <w:numPr>
        <w:ilvl w:val="3"/>
        <w:numId w:val="16"/>
      </w:numPr>
      <w:spacing w:before="120" w:after="120" w:line="240" w:lineRule="auto"/>
      <w:jc w:val="both"/>
    </w:pPr>
    <w:rPr>
      <w:rFonts w:ascii="Times New Roman" w:hAnsi="Times New Roman"/>
      <w:sz w:val="24"/>
    </w:rPr>
  </w:style>
  <w:style w:type="paragraph" w:customStyle="1" w:styleId="Point2letter">
    <w:name w:val="Point 2 (letter)"/>
    <w:basedOn w:val="Normal"/>
    <w:pPr>
      <w:numPr>
        <w:ilvl w:val="5"/>
        <w:numId w:val="16"/>
      </w:numPr>
      <w:spacing w:before="120" w:after="120" w:line="240" w:lineRule="auto"/>
      <w:jc w:val="both"/>
    </w:pPr>
    <w:rPr>
      <w:rFonts w:ascii="Times New Roman" w:hAnsi="Times New Roman"/>
      <w:sz w:val="24"/>
    </w:rPr>
  </w:style>
  <w:style w:type="paragraph" w:customStyle="1" w:styleId="Point3letter">
    <w:name w:val="Point 3 (letter)"/>
    <w:basedOn w:val="Normal"/>
    <w:pPr>
      <w:numPr>
        <w:ilvl w:val="7"/>
        <w:numId w:val="16"/>
      </w:numPr>
      <w:spacing w:before="120" w:after="120" w:line="240" w:lineRule="auto"/>
      <w:jc w:val="both"/>
    </w:pPr>
    <w:rPr>
      <w:rFonts w:ascii="Times New Roman" w:hAnsi="Times New Roman"/>
      <w:sz w:val="24"/>
    </w:rPr>
  </w:style>
  <w:style w:type="paragraph" w:customStyle="1" w:styleId="Point4letter">
    <w:name w:val="Point 4 (letter)"/>
    <w:basedOn w:val="Normal"/>
    <w:pPr>
      <w:numPr>
        <w:ilvl w:val="8"/>
        <w:numId w:val="16"/>
      </w:numPr>
      <w:spacing w:before="120" w:after="120" w:line="240" w:lineRule="auto"/>
      <w:jc w:val="both"/>
    </w:pPr>
    <w:rPr>
      <w:rFonts w:ascii="Times New Roman" w:hAnsi="Times New Roman"/>
      <w:sz w:val="24"/>
    </w:rPr>
  </w:style>
  <w:style w:type="paragraph" w:customStyle="1" w:styleId="Bullet0">
    <w:name w:val="Bullet 0"/>
    <w:basedOn w:val="Normal"/>
    <w:pPr>
      <w:numPr>
        <w:numId w:val="17"/>
      </w:numPr>
      <w:spacing w:before="120" w:after="120" w:line="240" w:lineRule="auto"/>
      <w:jc w:val="both"/>
    </w:pPr>
    <w:rPr>
      <w:rFonts w:ascii="Times New Roman" w:hAnsi="Times New Roman"/>
      <w:sz w:val="24"/>
    </w:rPr>
  </w:style>
  <w:style w:type="paragraph" w:customStyle="1" w:styleId="Bullet1">
    <w:name w:val="Bullet 1"/>
    <w:basedOn w:val="Normal"/>
    <w:pPr>
      <w:numPr>
        <w:numId w:val="18"/>
      </w:numPr>
      <w:spacing w:before="120" w:after="120" w:line="240" w:lineRule="auto"/>
      <w:jc w:val="both"/>
    </w:pPr>
    <w:rPr>
      <w:rFonts w:ascii="Times New Roman" w:hAnsi="Times New Roman"/>
      <w:sz w:val="24"/>
    </w:rPr>
  </w:style>
  <w:style w:type="paragraph" w:customStyle="1" w:styleId="Bullet2">
    <w:name w:val="Bullet 2"/>
    <w:basedOn w:val="Normal"/>
    <w:pPr>
      <w:numPr>
        <w:numId w:val="19"/>
      </w:numPr>
      <w:spacing w:before="120" w:after="120" w:line="240" w:lineRule="auto"/>
      <w:jc w:val="both"/>
    </w:pPr>
    <w:rPr>
      <w:rFonts w:ascii="Times New Roman" w:hAnsi="Times New Roman"/>
      <w:sz w:val="24"/>
    </w:rPr>
  </w:style>
  <w:style w:type="paragraph" w:customStyle="1" w:styleId="Bullet3">
    <w:name w:val="Bullet 3"/>
    <w:basedOn w:val="Normal"/>
    <w:pPr>
      <w:numPr>
        <w:numId w:val="20"/>
      </w:numPr>
      <w:spacing w:before="120" w:after="120" w:line="240" w:lineRule="auto"/>
      <w:jc w:val="both"/>
    </w:pPr>
    <w:rPr>
      <w:rFonts w:ascii="Times New Roman" w:hAnsi="Times New Roman"/>
      <w:sz w:val="24"/>
    </w:rPr>
  </w:style>
  <w:style w:type="paragraph" w:customStyle="1" w:styleId="Bullet4">
    <w:name w:val="Bullet 4"/>
    <w:basedOn w:val="Normal"/>
    <w:pPr>
      <w:numPr>
        <w:numId w:val="21"/>
      </w:numPr>
      <w:spacing w:before="120" w:after="120" w:line="240" w:lineRule="auto"/>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sz w:val="24"/>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ind w:left="5103"/>
    </w:pPr>
    <w:rPr>
      <w:rFonts w:ascii="Times New Roman" w:hAnsi="Times New Roman"/>
      <w:sz w:val="28"/>
    </w:rPr>
  </w:style>
  <w:style w:type="paragraph" w:customStyle="1" w:styleId="DateMarking">
    <w:name w:val="DateMarking"/>
    <w:basedOn w:val="Normal"/>
    <w:pPr>
      <w:spacing w:after="0"/>
      <w:ind w:left="5103"/>
    </w:pPr>
    <w:rPr>
      <w:rFonts w:ascii="Times New Roman" w:hAnsi="Times New Roman"/>
      <w:i/>
      <w:sz w:val="28"/>
    </w:rPr>
  </w:style>
  <w:style w:type="paragraph" w:customStyle="1" w:styleId="ReleasableTo">
    <w:name w:val="ReleasableTo"/>
    <w:basedOn w:val="Normal"/>
    <w:pPr>
      <w:spacing w:after="0"/>
      <w:ind w:left="5103"/>
    </w:pPr>
    <w:rPr>
      <w:rFonts w:ascii="Times New Roman" w:hAnsi="Times New Roman"/>
      <w:i/>
      <w:sz w:val="28"/>
    </w:rPr>
  </w:style>
  <w:style w:type="paragraph" w:customStyle="1" w:styleId="Annexetitreexpos">
    <w:name w:val="Annexe titre (exposé)"/>
    <w:basedOn w:val="Normal"/>
    <w:next w:val="Normal"/>
    <w:pPr>
      <w:spacing w:before="120" w:after="120" w:line="240" w:lineRule="auto"/>
      <w:jc w:val="center"/>
    </w:pPr>
    <w:rPr>
      <w:rFonts w:ascii="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i/>
      <w:sz w:val="32"/>
    </w:rPr>
  </w:style>
  <w:style w:type="paragraph" w:customStyle="1" w:styleId="Considrant">
    <w:name w:val="Considérant"/>
    <w:basedOn w:val="Normal"/>
    <w:pPr>
      <w:tabs>
        <w:tab w:val="num" w:pos="709"/>
      </w:tabs>
      <w:spacing w:before="120" w:after="120" w:line="240" w:lineRule="auto"/>
      <w:ind w:left="709" w:hanging="709"/>
      <w:jc w:val="both"/>
    </w:pPr>
    <w:rPr>
      <w:rFonts w:ascii="Times New Roman" w:hAnsi="Times New Roman"/>
      <w:sz w:val="24"/>
    </w:rPr>
  </w:style>
  <w:style w:type="paragraph" w:customStyle="1" w:styleId="Corrigendum">
    <w:name w:val="Corrigendum"/>
    <w:basedOn w:val="Normal"/>
    <w:next w:val="Normal"/>
    <w:pPr>
      <w:spacing w:after="240" w:line="240" w:lineRule="auto"/>
    </w:pPr>
    <w:rPr>
      <w:rFonts w:ascii="Times New Roman" w:hAnsi="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sz w:val="24"/>
    </w:rPr>
  </w:style>
  <w:style w:type="paragraph" w:customStyle="1" w:styleId="Statut">
    <w:name w:val="Statut"/>
    <w:basedOn w:val="Normal"/>
    <w:next w:val="Typedudocument"/>
    <w:pPr>
      <w:spacing w:after="240" w:line="240" w:lineRule="auto"/>
      <w:jc w:val="center"/>
    </w:pPr>
    <w:rPr>
      <w:rFonts w:ascii="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sz w:val="24"/>
    </w:rPr>
  </w:style>
  <w:style w:type="paragraph" w:customStyle="1" w:styleId="Rfrencecroise">
    <w:name w:val="Référence croisée"/>
    <w:basedOn w:val="Normal"/>
    <w:pPr>
      <w:spacing w:after="0" w:line="240" w:lineRule="auto"/>
      <w:jc w:val="center"/>
    </w:pPr>
    <w:rPr>
      <w:rFonts w:ascii="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sz w:val="24"/>
    </w:rPr>
  </w:style>
  <w:style w:type="character" w:styleId="FollowedHyperlink">
    <w:name w:val="FollowedHyperlink"/>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B4C7E7" w:fill="BDD7EE"/>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2">
    <w:name w:val="xl72"/>
    <w:basedOn w:val="Normal"/>
    <w:pPr>
      <w:pBdr>
        <w:top w:val="single" w:sz="4" w:space="0" w:color="auto"/>
        <w:left w:val="single" w:sz="4" w:space="0" w:color="auto"/>
        <w:right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3">
    <w:name w:val="xl73"/>
    <w:basedOn w:val="Normal"/>
    <w:pPr>
      <w:pBdr>
        <w:top w:val="single" w:sz="4" w:space="0" w:color="auto"/>
        <w:right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pPr>
    <w:rPr>
      <w:rFonts w:ascii="Times New Roman" w:eastAsia="Times New Roman" w:hAnsi="Times New Roman"/>
      <w:color w:val="006100"/>
      <w:sz w:val="24"/>
      <w:szCs w:val="24"/>
    </w:rPr>
  </w:style>
  <w:style w:type="paragraph" w:customStyle="1" w:styleId="xl75">
    <w:name w:val="xl75"/>
    <w:basedOn w:val="Normal"/>
    <w:pPr>
      <w:pBdr>
        <w:top w:val="single" w:sz="4" w:space="0" w:color="auto"/>
        <w:left w:val="single" w:sz="4" w:space="0" w:color="auto"/>
        <w:bottom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6">
    <w:name w:val="xl76"/>
    <w:basedOn w:val="Normal"/>
    <w:pPr>
      <w:pBdr>
        <w:top w:val="single" w:sz="4" w:space="0" w:color="auto"/>
        <w:bottom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pPr>
      <w:pBdr>
        <w:top w:val="single" w:sz="4" w:space="0" w:color="auto"/>
        <w:bottom w:val="single" w:sz="4" w:space="0" w:color="auto"/>
        <w:right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8">
    <w:name w:val="xl78"/>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79">
    <w:name w:val="xl79"/>
    <w:basedOn w:val="Normal"/>
    <w:pPr>
      <w:pBdr>
        <w:left w:val="single" w:sz="4" w:space="0" w:color="auto"/>
        <w:bottom w:val="single" w:sz="4" w:space="0" w:color="auto"/>
        <w:right w:val="single" w:sz="4" w:space="0" w:color="auto"/>
      </w:pBdr>
      <w:shd w:val="clear" w:color="CCFFCC" w:fill="C6EFCE"/>
      <w:spacing w:before="100" w:beforeAutospacing="1" w:after="100" w:afterAutospacing="1" w:line="240" w:lineRule="auto"/>
      <w:jc w:val="center"/>
    </w:pPr>
    <w:rPr>
      <w:rFonts w:ascii="Times New Roman" w:eastAsia="Times New Roman" w:hAnsi="Times New Roman"/>
      <w:color w:val="006100"/>
      <w:sz w:val="24"/>
      <w:szCs w:val="24"/>
    </w:rPr>
  </w:style>
  <w:style w:type="paragraph" w:customStyle="1" w:styleId="xl80">
    <w:name w:val="xl80"/>
    <w:basedOn w:val="Normal"/>
    <w:pPr>
      <w:pBdr>
        <w:left w:val="single" w:sz="4" w:space="0" w:color="auto"/>
        <w:bottom w:val="single" w:sz="4" w:space="0" w:color="auto"/>
        <w:right w:val="single" w:sz="4" w:space="0" w:color="auto"/>
      </w:pBdr>
      <w:shd w:val="clear" w:color="CCFFCC" w:fill="C6EFCE"/>
      <w:spacing w:before="100" w:beforeAutospacing="1" w:after="100" w:afterAutospacing="1" w:line="240" w:lineRule="auto"/>
    </w:pPr>
    <w:rPr>
      <w:rFonts w:ascii="Times New Roman" w:eastAsia="Times New Roman" w:hAnsi="Times New Roman"/>
      <w:color w:val="006100"/>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pPr>
    <w:rPr>
      <w:rFonts w:ascii="Times New Roman" w:eastAsia="Times New Roman" w:hAnsi="Times New Roman"/>
      <w:color w:val="006100"/>
      <w:sz w:val="24"/>
      <w:szCs w:val="24"/>
    </w:rPr>
  </w:style>
  <w:style w:type="paragraph" w:customStyle="1" w:styleId="xl82">
    <w:name w:val="xl82"/>
    <w:basedOn w:val="Normal"/>
    <w:pPr>
      <w:pBdr>
        <w:left w:val="single" w:sz="4" w:space="0" w:color="auto"/>
        <w:bottom w:val="single" w:sz="4" w:space="0" w:color="auto"/>
        <w:right w:val="single" w:sz="4" w:space="0" w:color="auto"/>
      </w:pBdr>
      <w:shd w:val="clear" w:color="CCFFCC" w:fill="C6EFCE"/>
      <w:spacing w:before="100" w:beforeAutospacing="1" w:after="100" w:afterAutospacing="1" w:line="240" w:lineRule="auto"/>
      <w:textAlignment w:val="top"/>
    </w:pPr>
    <w:rPr>
      <w:rFonts w:ascii="Times New Roman" w:eastAsia="Times New Roman" w:hAnsi="Times New Roman"/>
      <w:color w:val="006100"/>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jc w:val="center"/>
    </w:pPr>
    <w:rPr>
      <w:rFonts w:ascii="Times New Roman" w:eastAsia="Times New Roman" w:hAnsi="Times New Roman"/>
      <w:color w:val="006100"/>
      <w:sz w:val="24"/>
      <w:szCs w:val="24"/>
    </w:rPr>
  </w:style>
  <w:style w:type="paragraph" w:customStyle="1" w:styleId="xl84">
    <w:name w:val="xl84"/>
    <w:basedOn w:val="Normal"/>
    <w:pPr>
      <w:pBdr>
        <w:top w:val="single" w:sz="4" w:space="0" w:color="auto"/>
        <w:left w:val="single" w:sz="4" w:space="0" w:color="auto"/>
        <w:right w:val="single" w:sz="4" w:space="0" w:color="auto"/>
      </w:pBdr>
      <w:shd w:val="clear" w:color="CCFFCC" w:fill="C6EFCE"/>
      <w:spacing w:before="100" w:beforeAutospacing="1" w:after="100" w:afterAutospacing="1" w:line="240" w:lineRule="auto"/>
      <w:textAlignment w:val="top"/>
    </w:pPr>
    <w:rPr>
      <w:rFonts w:ascii="Times New Roman" w:eastAsia="Times New Roman" w:hAnsi="Times New Roman"/>
      <w:color w:val="006100"/>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textAlignment w:val="top"/>
    </w:pPr>
    <w:rPr>
      <w:rFonts w:ascii="Times New Roman" w:eastAsia="Times New Roman" w:hAnsi="Times New Roman"/>
      <w:color w:val="006100"/>
      <w:sz w:val="24"/>
      <w:szCs w:val="24"/>
    </w:rPr>
  </w:style>
  <w:style w:type="paragraph" w:customStyle="1" w:styleId="xl86">
    <w:name w:val="xl86"/>
    <w:basedOn w:val="Normal"/>
    <w:pPr>
      <w:spacing w:before="100" w:beforeAutospacing="1" w:after="100" w:afterAutospacing="1" w:line="240" w:lineRule="auto"/>
      <w:jc w:val="center"/>
    </w:pPr>
    <w:rPr>
      <w:rFonts w:ascii="Times New Roman" w:eastAsia="Times New Roman" w:hAnsi="Times New Roman"/>
      <w:color w:val="000000"/>
      <w:sz w:val="24"/>
      <w:szCs w:val="24"/>
    </w:rPr>
  </w:style>
  <w:style w:type="paragraph" w:customStyle="1" w:styleId="xl87">
    <w:name w:val="xl87"/>
    <w:basedOn w:val="Normal"/>
    <w:pPr>
      <w:pBdr>
        <w:top w:val="single" w:sz="4" w:space="0" w:color="auto"/>
        <w:bottom w:val="single" w:sz="4" w:space="0" w:color="auto"/>
        <w:right w:val="single" w:sz="4" w:space="0" w:color="auto"/>
      </w:pBdr>
      <w:shd w:val="clear" w:color="B4C7E7" w:fill="BDD7EE"/>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8">
    <w:name w:val="xl88"/>
    <w:basedOn w:val="Normal"/>
    <w:pPr>
      <w:spacing w:before="100" w:beforeAutospacing="1" w:after="100" w:afterAutospacing="1" w:line="240" w:lineRule="auto"/>
      <w:jc w:val="center"/>
    </w:pPr>
    <w:rPr>
      <w:rFonts w:ascii="Times New Roman" w:eastAsia="Times New Roman" w:hAnsi="Times New Roman"/>
      <w:color w:val="000000"/>
      <w:sz w:val="24"/>
      <w:szCs w:val="24"/>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style>
  <w:style w:type="character" w:customStyle="1" w:styleId="tabchar">
    <w:name w:val="tabchar"/>
    <w:basedOn w:val="DefaultParagraphFont"/>
  </w:style>
  <w:style w:type="paragraph" w:styleId="NormalWeb">
    <w:name w:val="Normal (Web)"/>
    <w:basedOn w:val="Normal"/>
    <w:uiPriority w:val="99"/>
    <w:semiHidden/>
    <w:unhideWhenUsed/>
    <w:pPr>
      <w:spacing w:before="120" w:after="120" w:line="240" w:lineRule="auto"/>
      <w:jc w:val="both"/>
    </w:pPr>
    <w:rPr>
      <w:rFonts w:ascii="Times New Roman" w:hAnsi="Times New Roman"/>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HTMLPreformattedChar">
    <w:name w:val="HTML Preformatted Char"/>
    <w:link w:val="HTMLPreformatted"/>
    <w:uiPriority w:val="99"/>
    <w:semiHidden/>
    <w:rPr>
      <w:rFonts w:ascii="Courier New" w:eastAsia="Times New Roman" w:hAnsi="Courier New" w:cs="Courier New"/>
      <w:sz w:val="20"/>
      <w:szCs w:val="20"/>
      <w:lang w:val="bg-BG" w:eastAsia="sk-SK"/>
    </w:rPr>
  </w:style>
  <w:style w:type="table" w:styleId="TableGrid">
    <w:name w:val="Table Grid"/>
    <w:basedOn w:val="TableNormal"/>
    <w:uiPriority w:val="59"/>
    <w:rPr>
      <w:lang w:val="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bg-BG" w:eastAsia="en-US"/>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outlineLvl w:val="0"/>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5073">
      <w:bodyDiv w:val="1"/>
      <w:marLeft w:val="0"/>
      <w:marRight w:val="0"/>
      <w:marTop w:val="0"/>
      <w:marBottom w:val="0"/>
      <w:divBdr>
        <w:top w:val="none" w:sz="0" w:space="0" w:color="auto"/>
        <w:left w:val="none" w:sz="0" w:space="0" w:color="auto"/>
        <w:bottom w:val="none" w:sz="0" w:space="0" w:color="auto"/>
        <w:right w:val="none" w:sz="0" w:space="0" w:color="auto"/>
      </w:divBdr>
    </w:div>
    <w:div w:id="550046156">
      <w:bodyDiv w:val="1"/>
      <w:marLeft w:val="0"/>
      <w:marRight w:val="0"/>
      <w:marTop w:val="0"/>
      <w:marBottom w:val="0"/>
      <w:divBdr>
        <w:top w:val="none" w:sz="0" w:space="0" w:color="auto"/>
        <w:left w:val="none" w:sz="0" w:space="0" w:color="auto"/>
        <w:bottom w:val="none" w:sz="0" w:space="0" w:color="auto"/>
        <w:right w:val="none" w:sz="0" w:space="0" w:color="auto"/>
      </w:divBdr>
    </w:div>
    <w:div w:id="605236040">
      <w:bodyDiv w:val="1"/>
      <w:marLeft w:val="0"/>
      <w:marRight w:val="0"/>
      <w:marTop w:val="0"/>
      <w:marBottom w:val="0"/>
      <w:divBdr>
        <w:top w:val="none" w:sz="0" w:space="0" w:color="auto"/>
        <w:left w:val="none" w:sz="0" w:space="0" w:color="auto"/>
        <w:bottom w:val="none" w:sz="0" w:space="0" w:color="auto"/>
        <w:right w:val="none" w:sz="0" w:space="0" w:color="auto"/>
      </w:divBdr>
    </w:div>
    <w:div w:id="617952145">
      <w:bodyDiv w:val="1"/>
      <w:marLeft w:val="0"/>
      <w:marRight w:val="0"/>
      <w:marTop w:val="0"/>
      <w:marBottom w:val="0"/>
      <w:divBdr>
        <w:top w:val="none" w:sz="0" w:space="0" w:color="auto"/>
        <w:left w:val="none" w:sz="0" w:space="0" w:color="auto"/>
        <w:bottom w:val="none" w:sz="0" w:space="0" w:color="auto"/>
        <w:right w:val="none" w:sz="0" w:space="0" w:color="auto"/>
      </w:divBdr>
    </w:div>
    <w:div w:id="688457106">
      <w:bodyDiv w:val="1"/>
      <w:marLeft w:val="0"/>
      <w:marRight w:val="0"/>
      <w:marTop w:val="0"/>
      <w:marBottom w:val="0"/>
      <w:divBdr>
        <w:top w:val="none" w:sz="0" w:space="0" w:color="auto"/>
        <w:left w:val="none" w:sz="0" w:space="0" w:color="auto"/>
        <w:bottom w:val="none" w:sz="0" w:space="0" w:color="auto"/>
        <w:right w:val="none" w:sz="0" w:space="0" w:color="auto"/>
      </w:divBdr>
    </w:div>
    <w:div w:id="694575399">
      <w:bodyDiv w:val="1"/>
      <w:marLeft w:val="0"/>
      <w:marRight w:val="0"/>
      <w:marTop w:val="0"/>
      <w:marBottom w:val="0"/>
      <w:divBdr>
        <w:top w:val="none" w:sz="0" w:space="0" w:color="auto"/>
        <w:left w:val="none" w:sz="0" w:space="0" w:color="auto"/>
        <w:bottom w:val="none" w:sz="0" w:space="0" w:color="auto"/>
        <w:right w:val="none" w:sz="0" w:space="0" w:color="auto"/>
      </w:divBdr>
    </w:div>
    <w:div w:id="799420005">
      <w:bodyDiv w:val="1"/>
      <w:marLeft w:val="0"/>
      <w:marRight w:val="0"/>
      <w:marTop w:val="0"/>
      <w:marBottom w:val="0"/>
      <w:divBdr>
        <w:top w:val="none" w:sz="0" w:space="0" w:color="auto"/>
        <w:left w:val="none" w:sz="0" w:space="0" w:color="auto"/>
        <w:bottom w:val="none" w:sz="0" w:space="0" w:color="auto"/>
        <w:right w:val="none" w:sz="0" w:space="0" w:color="auto"/>
      </w:divBdr>
    </w:div>
    <w:div w:id="897664336">
      <w:bodyDiv w:val="1"/>
      <w:marLeft w:val="0"/>
      <w:marRight w:val="0"/>
      <w:marTop w:val="0"/>
      <w:marBottom w:val="0"/>
      <w:divBdr>
        <w:top w:val="none" w:sz="0" w:space="0" w:color="auto"/>
        <w:left w:val="none" w:sz="0" w:space="0" w:color="auto"/>
        <w:bottom w:val="none" w:sz="0" w:space="0" w:color="auto"/>
        <w:right w:val="none" w:sz="0" w:space="0" w:color="auto"/>
      </w:divBdr>
    </w:div>
    <w:div w:id="962806410">
      <w:bodyDiv w:val="1"/>
      <w:marLeft w:val="0"/>
      <w:marRight w:val="0"/>
      <w:marTop w:val="0"/>
      <w:marBottom w:val="0"/>
      <w:divBdr>
        <w:top w:val="none" w:sz="0" w:space="0" w:color="auto"/>
        <w:left w:val="none" w:sz="0" w:space="0" w:color="auto"/>
        <w:bottom w:val="none" w:sz="0" w:space="0" w:color="auto"/>
        <w:right w:val="none" w:sz="0" w:space="0" w:color="auto"/>
      </w:divBdr>
    </w:div>
    <w:div w:id="1008752142">
      <w:bodyDiv w:val="1"/>
      <w:marLeft w:val="0"/>
      <w:marRight w:val="0"/>
      <w:marTop w:val="0"/>
      <w:marBottom w:val="0"/>
      <w:divBdr>
        <w:top w:val="none" w:sz="0" w:space="0" w:color="auto"/>
        <w:left w:val="none" w:sz="0" w:space="0" w:color="auto"/>
        <w:bottom w:val="none" w:sz="0" w:space="0" w:color="auto"/>
        <w:right w:val="none" w:sz="0" w:space="0" w:color="auto"/>
      </w:divBdr>
    </w:div>
    <w:div w:id="1027949554">
      <w:bodyDiv w:val="1"/>
      <w:marLeft w:val="0"/>
      <w:marRight w:val="0"/>
      <w:marTop w:val="0"/>
      <w:marBottom w:val="0"/>
      <w:divBdr>
        <w:top w:val="none" w:sz="0" w:space="0" w:color="auto"/>
        <w:left w:val="none" w:sz="0" w:space="0" w:color="auto"/>
        <w:bottom w:val="none" w:sz="0" w:space="0" w:color="auto"/>
        <w:right w:val="none" w:sz="0" w:space="0" w:color="auto"/>
      </w:divBdr>
    </w:div>
    <w:div w:id="1234199675">
      <w:bodyDiv w:val="1"/>
      <w:marLeft w:val="0"/>
      <w:marRight w:val="0"/>
      <w:marTop w:val="0"/>
      <w:marBottom w:val="0"/>
      <w:divBdr>
        <w:top w:val="none" w:sz="0" w:space="0" w:color="auto"/>
        <w:left w:val="none" w:sz="0" w:space="0" w:color="auto"/>
        <w:bottom w:val="none" w:sz="0" w:space="0" w:color="auto"/>
        <w:right w:val="none" w:sz="0" w:space="0" w:color="auto"/>
      </w:divBdr>
    </w:div>
    <w:div w:id="1309477704">
      <w:bodyDiv w:val="1"/>
      <w:marLeft w:val="0"/>
      <w:marRight w:val="0"/>
      <w:marTop w:val="0"/>
      <w:marBottom w:val="0"/>
      <w:divBdr>
        <w:top w:val="none" w:sz="0" w:space="0" w:color="auto"/>
        <w:left w:val="none" w:sz="0" w:space="0" w:color="auto"/>
        <w:bottom w:val="none" w:sz="0" w:space="0" w:color="auto"/>
        <w:right w:val="none" w:sz="0" w:space="0" w:color="auto"/>
      </w:divBdr>
    </w:div>
    <w:div w:id="1397902122">
      <w:bodyDiv w:val="1"/>
      <w:marLeft w:val="0"/>
      <w:marRight w:val="0"/>
      <w:marTop w:val="0"/>
      <w:marBottom w:val="0"/>
      <w:divBdr>
        <w:top w:val="none" w:sz="0" w:space="0" w:color="auto"/>
        <w:left w:val="none" w:sz="0" w:space="0" w:color="auto"/>
        <w:bottom w:val="none" w:sz="0" w:space="0" w:color="auto"/>
        <w:right w:val="none" w:sz="0" w:space="0" w:color="auto"/>
      </w:divBdr>
    </w:div>
    <w:div w:id="1489974430">
      <w:bodyDiv w:val="1"/>
      <w:marLeft w:val="0"/>
      <w:marRight w:val="0"/>
      <w:marTop w:val="0"/>
      <w:marBottom w:val="0"/>
      <w:divBdr>
        <w:top w:val="none" w:sz="0" w:space="0" w:color="auto"/>
        <w:left w:val="none" w:sz="0" w:space="0" w:color="auto"/>
        <w:bottom w:val="none" w:sz="0" w:space="0" w:color="auto"/>
        <w:right w:val="none" w:sz="0" w:space="0" w:color="auto"/>
      </w:divBdr>
    </w:div>
    <w:div w:id="1535079011">
      <w:bodyDiv w:val="1"/>
      <w:marLeft w:val="0"/>
      <w:marRight w:val="0"/>
      <w:marTop w:val="0"/>
      <w:marBottom w:val="0"/>
      <w:divBdr>
        <w:top w:val="none" w:sz="0" w:space="0" w:color="auto"/>
        <w:left w:val="none" w:sz="0" w:space="0" w:color="auto"/>
        <w:bottom w:val="none" w:sz="0" w:space="0" w:color="auto"/>
        <w:right w:val="none" w:sz="0" w:space="0" w:color="auto"/>
      </w:divBdr>
    </w:div>
    <w:div w:id="1616062013">
      <w:bodyDiv w:val="1"/>
      <w:marLeft w:val="0"/>
      <w:marRight w:val="0"/>
      <w:marTop w:val="0"/>
      <w:marBottom w:val="0"/>
      <w:divBdr>
        <w:top w:val="none" w:sz="0" w:space="0" w:color="auto"/>
        <w:left w:val="none" w:sz="0" w:space="0" w:color="auto"/>
        <w:bottom w:val="none" w:sz="0" w:space="0" w:color="auto"/>
        <w:right w:val="none" w:sz="0" w:space="0" w:color="auto"/>
      </w:divBdr>
    </w:div>
    <w:div w:id="1735202314">
      <w:bodyDiv w:val="1"/>
      <w:marLeft w:val="0"/>
      <w:marRight w:val="0"/>
      <w:marTop w:val="0"/>
      <w:marBottom w:val="0"/>
      <w:divBdr>
        <w:top w:val="none" w:sz="0" w:space="0" w:color="auto"/>
        <w:left w:val="none" w:sz="0" w:space="0" w:color="auto"/>
        <w:bottom w:val="none" w:sz="0" w:space="0" w:color="auto"/>
        <w:right w:val="none" w:sz="0" w:space="0" w:color="auto"/>
      </w:divBdr>
    </w:div>
    <w:div w:id="1851329101">
      <w:bodyDiv w:val="1"/>
      <w:marLeft w:val="0"/>
      <w:marRight w:val="0"/>
      <w:marTop w:val="0"/>
      <w:marBottom w:val="0"/>
      <w:divBdr>
        <w:top w:val="none" w:sz="0" w:space="0" w:color="auto"/>
        <w:left w:val="none" w:sz="0" w:space="0" w:color="auto"/>
        <w:bottom w:val="none" w:sz="0" w:space="0" w:color="auto"/>
        <w:right w:val="none" w:sz="0" w:space="0" w:color="auto"/>
      </w:divBdr>
    </w:div>
    <w:div w:id="1874416107">
      <w:bodyDiv w:val="1"/>
      <w:marLeft w:val="0"/>
      <w:marRight w:val="0"/>
      <w:marTop w:val="0"/>
      <w:marBottom w:val="0"/>
      <w:divBdr>
        <w:top w:val="none" w:sz="0" w:space="0" w:color="auto"/>
        <w:left w:val="none" w:sz="0" w:space="0" w:color="auto"/>
        <w:bottom w:val="none" w:sz="0" w:space="0" w:color="auto"/>
        <w:right w:val="none" w:sz="0" w:space="0" w:color="auto"/>
      </w:divBdr>
    </w:div>
    <w:div w:id="1950431679">
      <w:bodyDiv w:val="1"/>
      <w:marLeft w:val="0"/>
      <w:marRight w:val="0"/>
      <w:marTop w:val="0"/>
      <w:marBottom w:val="0"/>
      <w:divBdr>
        <w:top w:val="none" w:sz="0" w:space="0" w:color="auto"/>
        <w:left w:val="none" w:sz="0" w:space="0" w:color="auto"/>
        <w:bottom w:val="none" w:sz="0" w:space="0" w:color="auto"/>
        <w:right w:val="none" w:sz="0" w:space="0" w:color="auto"/>
      </w:divBdr>
    </w:div>
    <w:div w:id="2001300785">
      <w:bodyDiv w:val="1"/>
      <w:marLeft w:val="0"/>
      <w:marRight w:val="0"/>
      <w:marTop w:val="0"/>
      <w:marBottom w:val="0"/>
      <w:divBdr>
        <w:top w:val="none" w:sz="0" w:space="0" w:color="auto"/>
        <w:left w:val="none" w:sz="0" w:space="0" w:color="auto"/>
        <w:bottom w:val="none" w:sz="0" w:space="0" w:color="auto"/>
        <w:right w:val="none" w:sz="0" w:space="0" w:color="auto"/>
      </w:divBdr>
    </w:div>
    <w:div w:id="2009627114">
      <w:bodyDiv w:val="1"/>
      <w:marLeft w:val="0"/>
      <w:marRight w:val="0"/>
      <w:marTop w:val="0"/>
      <w:marBottom w:val="0"/>
      <w:divBdr>
        <w:top w:val="none" w:sz="0" w:space="0" w:color="auto"/>
        <w:left w:val="none" w:sz="0" w:space="0" w:color="auto"/>
        <w:bottom w:val="none" w:sz="0" w:space="0" w:color="auto"/>
        <w:right w:val="none" w:sz="0" w:space="0" w:color="auto"/>
      </w:divBdr>
    </w:div>
    <w:div w:id="21199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1" Type="http://schemas.openxmlformats.org/officeDocument/2006/relationships/footer" Target="footer5.xml"/><Relationship Id="rId42" Type="http://schemas.openxmlformats.org/officeDocument/2006/relationships/header" Target="header16.xml"/><Relationship Id="rId63" Type="http://schemas.openxmlformats.org/officeDocument/2006/relationships/footer" Target="footer26.xml"/><Relationship Id="rId84" Type="http://schemas.openxmlformats.org/officeDocument/2006/relationships/header" Target="header37.xml"/><Relationship Id="rId138" Type="http://schemas.openxmlformats.org/officeDocument/2006/relationships/header" Target="header64.xml"/><Relationship Id="rId159" Type="http://schemas.openxmlformats.org/officeDocument/2006/relationships/footer" Target="footer74.xml"/><Relationship Id="rId170" Type="http://schemas.openxmlformats.org/officeDocument/2006/relationships/footer" Target="footer79.xml"/><Relationship Id="rId191" Type="http://schemas.openxmlformats.org/officeDocument/2006/relationships/footer" Target="footer90.xml"/><Relationship Id="rId205" Type="http://schemas.openxmlformats.org/officeDocument/2006/relationships/header" Target="header98.xml"/><Relationship Id="rId226" Type="http://schemas.openxmlformats.org/officeDocument/2006/relationships/header" Target="header108.xml"/><Relationship Id="rId247" Type="http://schemas.openxmlformats.org/officeDocument/2006/relationships/theme" Target="theme/theme1.xml"/><Relationship Id="rId107" Type="http://schemas.openxmlformats.org/officeDocument/2006/relationships/footer" Target="footer48.xml"/><Relationship Id="rId11" Type="http://schemas.openxmlformats.org/officeDocument/2006/relationships/image" Target="media/image1.emf"/><Relationship Id="rId32" Type="http://schemas.openxmlformats.org/officeDocument/2006/relationships/footer" Target="footer10.xml"/><Relationship Id="rId53" Type="http://schemas.openxmlformats.org/officeDocument/2006/relationships/footer" Target="footer21.xml"/><Relationship Id="rId74" Type="http://schemas.openxmlformats.org/officeDocument/2006/relationships/footer" Target="footer31.xml"/><Relationship Id="rId128" Type="http://schemas.openxmlformats.org/officeDocument/2006/relationships/footer" Target="footer58.xml"/><Relationship Id="rId149" Type="http://schemas.openxmlformats.org/officeDocument/2006/relationships/footer" Target="footer69.xml"/><Relationship Id="rId5" Type="http://schemas.openxmlformats.org/officeDocument/2006/relationships/numbering" Target="numbering.xml"/><Relationship Id="rId95" Type="http://schemas.openxmlformats.org/officeDocument/2006/relationships/footer" Target="footer42.xml"/><Relationship Id="rId160" Type="http://schemas.openxmlformats.org/officeDocument/2006/relationships/header" Target="header75.xml"/><Relationship Id="rId181" Type="http://schemas.openxmlformats.org/officeDocument/2006/relationships/header" Target="header86.xml"/><Relationship Id="rId216" Type="http://schemas.openxmlformats.org/officeDocument/2006/relationships/header" Target="header103.xml"/><Relationship Id="rId237" Type="http://schemas.openxmlformats.org/officeDocument/2006/relationships/footer" Target="footer113.xml"/><Relationship Id="rId22" Type="http://schemas.openxmlformats.org/officeDocument/2006/relationships/header" Target="header6.xml"/><Relationship Id="rId43" Type="http://schemas.openxmlformats.org/officeDocument/2006/relationships/header" Target="header17.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header" Target="header65.xml"/><Relationship Id="rId85" Type="http://schemas.openxmlformats.org/officeDocument/2006/relationships/header" Target="header38.xml"/><Relationship Id="rId150" Type="http://schemas.openxmlformats.org/officeDocument/2006/relationships/header" Target="header70.xml"/><Relationship Id="rId171" Type="http://schemas.openxmlformats.org/officeDocument/2006/relationships/footer" Target="footer80.xml"/><Relationship Id="rId192" Type="http://schemas.openxmlformats.org/officeDocument/2006/relationships/header" Target="header91.xml"/><Relationship Id="rId206" Type="http://schemas.openxmlformats.org/officeDocument/2006/relationships/footer" Target="footer97.xml"/><Relationship Id="rId227" Type="http://schemas.openxmlformats.org/officeDocument/2006/relationships/footer" Target="footer108.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footer" Target="footer11.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08" Type="http://schemas.openxmlformats.org/officeDocument/2006/relationships/header" Target="header49.xml"/><Relationship Id="rId124" Type="http://schemas.openxmlformats.org/officeDocument/2006/relationships/header" Target="header57.xml"/><Relationship Id="rId129" Type="http://schemas.openxmlformats.org/officeDocument/2006/relationships/footer" Target="footer59.xml"/><Relationship Id="rId54" Type="http://schemas.openxmlformats.org/officeDocument/2006/relationships/header" Target="header22.xml"/><Relationship Id="rId70" Type="http://schemas.openxmlformats.org/officeDocument/2006/relationships/header" Target="header30.xml"/><Relationship Id="rId75" Type="http://schemas.openxmlformats.org/officeDocument/2006/relationships/footer" Target="footer32.xml"/><Relationship Id="rId91" Type="http://schemas.openxmlformats.org/officeDocument/2006/relationships/header" Target="header41.xml"/><Relationship Id="rId96" Type="http://schemas.openxmlformats.org/officeDocument/2006/relationships/header" Target="header43.xml"/><Relationship Id="rId140" Type="http://schemas.openxmlformats.org/officeDocument/2006/relationships/footer" Target="footer64.xml"/><Relationship Id="rId145" Type="http://schemas.openxmlformats.org/officeDocument/2006/relationships/header" Target="header68.xml"/><Relationship Id="rId161" Type="http://schemas.openxmlformats.org/officeDocument/2006/relationships/footer" Target="footer75.xml"/><Relationship Id="rId166" Type="http://schemas.openxmlformats.org/officeDocument/2006/relationships/header" Target="header78.xml"/><Relationship Id="rId182" Type="http://schemas.openxmlformats.org/officeDocument/2006/relationships/footer" Target="footer85.xml"/><Relationship Id="rId187" Type="http://schemas.openxmlformats.org/officeDocument/2006/relationships/header" Target="header89.xml"/><Relationship Id="rId217" Type="http://schemas.openxmlformats.org/officeDocument/2006/relationships/header" Target="header104.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footer" Target="footer100.xml"/><Relationship Id="rId233" Type="http://schemas.openxmlformats.org/officeDocument/2006/relationships/footer" Target="footer111.xml"/><Relationship Id="rId238" Type="http://schemas.openxmlformats.org/officeDocument/2006/relationships/header" Target="header114.xml"/><Relationship Id="rId23" Type="http://schemas.openxmlformats.org/officeDocument/2006/relationships/footer" Target="footer6.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119" Type="http://schemas.openxmlformats.org/officeDocument/2006/relationships/footer" Target="footer54.xml"/><Relationship Id="rId44" Type="http://schemas.openxmlformats.org/officeDocument/2006/relationships/footer" Target="footer16.xml"/><Relationship Id="rId60" Type="http://schemas.openxmlformats.org/officeDocument/2006/relationships/header" Target="header25.xml"/><Relationship Id="rId65" Type="http://schemas.openxmlformats.org/officeDocument/2006/relationships/footer" Target="footer27.xml"/><Relationship Id="rId81" Type="http://schemas.openxmlformats.org/officeDocument/2006/relationships/footer" Target="footer35.xml"/><Relationship Id="rId86" Type="http://schemas.openxmlformats.org/officeDocument/2006/relationships/footer" Target="footer37.xml"/><Relationship Id="rId130" Type="http://schemas.openxmlformats.org/officeDocument/2006/relationships/header" Target="header60.xml"/><Relationship Id="rId135" Type="http://schemas.openxmlformats.org/officeDocument/2006/relationships/footer" Target="footer62.xml"/><Relationship Id="rId151" Type="http://schemas.openxmlformats.org/officeDocument/2006/relationships/header" Target="header71.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172" Type="http://schemas.openxmlformats.org/officeDocument/2006/relationships/header" Target="header81.xml"/><Relationship Id="rId193" Type="http://schemas.openxmlformats.org/officeDocument/2006/relationships/header" Target="header92.xml"/><Relationship Id="rId202" Type="http://schemas.openxmlformats.org/officeDocument/2006/relationships/header" Target="header96.xml"/><Relationship Id="rId207" Type="http://schemas.openxmlformats.org/officeDocument/2006/relationships/footer" Target="footer98.xml"/><Relationship Id="rId223" Type="http://schemas.openxmlformats.org/officeDocument/2006/relationships/header" Target="header107.xml"/><Relationship Id="rId228" Type="http://schemas.openxmlformats.org/officeDocument/2006/relationships/header" Target="header109.xml"/><Relationship Id="rId244" Type="http://schemas.openxmlformats.org/officeDocument/2006/relationships/header" Target="header117.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4.xml"/><Relationship Id="rId109" Type="http://schemas.openxmlformats.org/officeDocument/2006/relationships/header" Target="header50.xml"/><Relationship Id="rId34" Type="http://schemas.openxmlformats.org/officeDocument/2006/relationships/header" Target="header12.xml"/><Relationship Id="rId50" Type="http://schemas.openxmlformats.org/officeDocument/2006/relationships/footer" Target="footer19.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04" Type="http://schemas.openxmlformats.org/officeDocument/2006/relationships/footer" Target="footer46.xml"/><Relationship Id="rId120" Type="http://schemas.openxmlformats.org/officeDocument/2006/relationships/header" Target="header55.xml"/><Relationship Id="rId125" Type="http://schemas.openxmlformats.org/officeDocument/2006/relationships/footer" Target="footer57.xml"/><Relationship Id="rId141" Type="http://schemas.openxmlformats.org/officeDocument/2006/relationships/footer" Target="footer65.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7" Type="http://schemas.openxmlformats.org/officeDocument/2006/relationships/settings" Target="settings.xml"/><Relationship Id="rId71" Type="http://schemas.openxmlformats.org/officeDocument/2006/relationships/footer" Target="footer30.xml"/><Relationship Id="rId92" Type="http://schemas.openxmlformats.org/officeDocument/2006/relationships/footer" Target="footer40.xml"/><Relationship Id="rId162" Type="http://schemas.openxmlformats.org/officeDocument/2006/relationships/header" Target="header76.xml"/><Relationship Id="rId183" Type="http://schemas.openxmlformats.org/officeDocument/2006/relationships/footer" Target="footer86.xml"/><Relationship Id="rId213" Type="http://schemas.openxmlformats.org/officeDocument/2006/relationships/footer" Target="footer101.xml"/><Relationship Id="rId218" Type="http://schemas.openxmlformats.org/officeDocument/2006/relationships/footer" Target="footer103.xml"/><Relationship Id="rId234" Type="http://schemas.openxmlformats.org/officeDocument/2006/relationships/header" Target="header112.xml"/><Relationship Id="rId239" Type="http://schemas.openxmlformats.org/officeDocument/2006/relationships/footer" Target="footer114.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15" Type="http://schemas.openxmlformats.org/officeDocument/2006/relationships/header" Target="header53.xml"/><Relationship Id="rId131" Type="http://schemas.openxmlformats.org/officeDocument/2006/relationships/footer" Target="footer60.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61" Type="http://schemas.openxmlformats.org/officeDocument/2006/relationships/header" Target="header26.xml"/><Relationship Id="rId82" Type="http://schemas.openxmlformats.org/officeDocument/2006/relationships/header" Target="header36.xml"/><Relationship Id="rId152" Type="http://schemas.openxmlformats.org/officeDocument/2006/relationships/footer" Target="footer70.xml"/><Relationship Id="rId173" Type="http://schemas.openxmlformats.org/officeDocument/2006/relationships/footer" Target="footer81.xml"/><Relationship Id="rId194" Type="http://schemas.openxmlformats.org/officeDocument/2006/relationships/footer" Target="footer91.xml"/><Relationship Id="rId199" Type="http://schemas.openxmlformats.org/officeDocument/2006/relationships/header" Target="header95.xml"/><Relationship Id="rId203" Type="http://schemas.openxmlformats.org/officeDocument/2006/relationships/footer" Target="footer96.xml"/><Relationship Id="rId208" Type="http://schemas.openxmlformats.org/officeDocument/2006/relationships/header" Target="header99.xml"/><Relationship Id="rId229" Type="http://schemas.openxmlformats.org/officeDocument/2006/relationships/header" Target="header110.xml"/><Relationship Id="rId19" Type="http://schemas.openxmlformats.org/officeDocument/2006/relationships/header" Target="header5.xml"/><Relationship Id="rId224" Type="http://schemas.openxmlformats.org/officeDocument/2006/relationships/footer" Target="footer106.xml"/><Relationship Id="rId240" Type="http://schemas.openxmlformats.org/officeDocument/2006/relationships/header" Target="header115.xml"/><Relationship Id="rId245" Type="http://schemas.openxmlformats.org/officeDocument/2006/relationships/footer" Target="footer117.xml"/><Relationship Id="rId14" Type="http://schemas.openxmlformats.org/officeDocument/2006/relationships/footer" Target="footer1.xml"/><Relationship Id="rId30" Type="http://schemas.openxmlformats.org/officeDocument/2006/relationships/header" Target="header10.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5.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8" Type="http://schemas.openxmlformats.org/officeDocument/2006/relationships/webSettings" Target="webSettings.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98" Type="http://schemas.openxmlformats.org/officeDocument/2006/relationships/footer" Target="footer43.xml"/><Relationship Id="rId121" Type="http://schemas.openxmlformats.org/officeDocument/2006/relationships/header" Target="header56.xml"/><Relationship Id="rId142" Type="http://schemas.openxmlformats.org/officeDocument/2006/relationships/header" Target="header66.xml"/><Relationship Id="rId163" Type="http://schemas.openxmlformats.org/officeDocument/2006/relationships/header" Target="header77.xml"/><Relationship Id="rId184" Type="http://schemas.openxmlformats.org/officeDocument/2006/relationships/header" Target="header87.xml"/><Relationship Id="rId189" Type="http://schemas.openxmlformats.org/officeDocument/2006/relationships/footer" Target="footer89.xml"/><Relationship Id="rId219" Type="http://schemas.openxmlformats.org/officeDocument/2006/relationships/footer" Target="footer104.xml"/><Relationship Id="rId3" Type="http://schemas.openxmlformats.org/officeDocument/2006/relationships/customXml" Target="../customXml/item3.xml"/><Relationship Id="rId214" Type="http://schemas.openxmlformats.org/officeDocument/2006/relationships/header" Target="header102.xml"/><Relationship Id="rId230" Type="http://schemas.openxmlformats.org/officeDocument/2006/relationships/footer" Target="footer109.xml"/><Relationship Id="rId235" Type="http://schemas.openxmlformats.org/officeDocument/2006/relationships/header" Target="header113.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79" Type="http://schemas.openxmlformats.org/officeDocument/2006/relationships/footer" Target="footer84.xml"/><Relationship Id="rId195" Type="http://schemas.openxmlformats.org/officeDocument/2006/relationships/footer" Target="footer92.xml"/><Relationship Id="rId209" Type="http://schemas.openxmlformats.org/officeDocument/2006/relationships/footer" Target="footer99.xml"/><Relationship Id="rId190" Type="http://schemas.openxmlformats.org/officeDocument/2006/relationships/header" Target="header90.xml"/><Relationship Id="rId204" Type="http://schemas.openxmlformats.org/officeDocument/2006/relationships/header" Target="header97.xml"/><Relationship Id="rId220" Type="http://schemas.openxmlformats.org/officeDocument/2006/relationships/header" Target="header105.xml"/><Relationship Id="rId225" Type="http://schemas.openxmlformats.org/officeDocument/2006/relationships/footer" Target="footer107.xml"/><Relationship Id="rId241" Type="http://schemas.openxmlformats.org/officeDocument/2006/relationships/header" Target="header116.xml"/><Relationship Id="rId246" Type="http://schemas.openxmlformats.org/officeDocument/2006/relationships/fontTable" Target="fontTable.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106" Type="http://schemas.openxmlformats.org/officeDocument/2006/relationships/header" Target="header48.xml"/><Relationship Id="rId127" Type="http://schemas.openxmlformats.org/officeDocument/2006/relationships/header" Target="header59.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78" Type="http://schemas.openxmlformats.org/officeDocument/2006/relationships/header" Target="header34.xml"/><Relationship Id="rId94" Type="http://schemas.openxmlformats.org/officeDocument/2006/relationships/header" Target="header42.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48" Type="http://schemas.openxmlformats.org/officeDocument/2006/relationships/header" Target="header69.xml"/><Relationship Id="rId164" Type="http://schemas.openxmlformats.org/officeDocument/2006/relationships/footer" Target="footer76.xml"/><Relationship Id="rId169" Type="http://schemas.openxmlformats.org/officeDocument/2006/relationships/header" Target="header80.xml"/><Relationship Id="rId185" Type="http://schemas.openxmlformats.org/officeDocument/2006/relationships/footer" Target="footer87.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85.xml"/><Relationship Id="rId210" Type="http://schemas.openxmlformats.org/officeDocument/2006/relationships/header" Target="header100.xml"/><Relationship Id="rId215" Type="http://schemas.openxmlformats.org/officeDocument/2006/relationships/footer" Target="footer102.xml"/><Relationship Id="rId236" Type="http://schemas.openxmlformats.org/officeDocument/2006/relationships/footer" Target="footer112.xml"/><Relationship Id="rId26" Type="http://schemas.openxmlformats.org/officeDocument/2006/relationships/footer" Target="footer7.xml"/><Relationship Id="rId231" Type="http://schemas.openxmlformats.org/officeDocument/2006/relationships/footer" Target="footer110.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header" Target="header83.xml"/><Relationship Id="rId196" Type="http://schemas.openxmlformats.org/officeDocument/2006/relationships/header" Target="header93.xml"/><Relationship Id="rId200" Type="http://schemas.openxmlformats.org/officeDocument/2006/relationships/footer" Target="footer94.xml"/><Relationship Id="rId16" Type="http://schemas.openxmlformats.org/officeDocument/2006/relationships/header" Target="header3.xml"/><Relationship Id="rId221" Type="http://schemas.openxmlformats.org/officeDocument/2006/relationships/footer" Target="footer105.xml"/><Relationship Id="rId242" Type="http://schemas.openxmlformats.org/officeDocument/2006/relationships/footer" Target="footer115.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211" Type="http://schemas.openxmlformats.org/officeDocument/2006/relationships/header" Target="header101.xml"/><Relationship Id="rId232" Type="http://schemas.openxmlformats.org/officeDocument/2006/relationships/header" Target="header111.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TRANSFERRED_BY xmlns="AA0C4121-4F5B-4B36-B887-483EE459F216" xsi:nil="true"/>
    <EC_ARES_NUMBER xmlns="AA0C4121-4F5B-4B36-B887-483EE459F216">
      <Url xsi:nil="true"/>
      <Description xsi:nil="true"/>
    </EC_ARES_NUMBER>
    <EC_Collab_Status xmlns="AA0C4121-4F5B-4B36-B887-483EE459F216">Not Started</EC_Collab_Status>
    <_Status xmlns="http://schemas.microsoft.com/sharepoint/v3/fields">Not Started</_Status>
    <EC_ARES_DATE_TRANSFERRED xmlns="AA0C4121-4F5B-4B36-B887-483EE459F216" xsi:nil="true"/>
    <EC_Collab_Reference xmlns="AA0C4121-4F5B-4B36-B887-483EE459F216" xsi:nil="true"/>
    <EC_Collab_DocumentLanguage xmlns="AA0C4121-4F5B-4B36-B887-483EE459F216">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BD26BE1A827574981DDDB018F76E185" ma:contentTypeVersion="0" ma:contentTypeDescription="Create a new document in this library." ma:contentTypeScope="" ma:versionID="86bf8b1a6c3adb6ea72162a6a5ae5115">
  <xsd:schema xmlns:xsd="http://www.w3.org/2001/XMLSchema" xmlns:xs="http://www.w3.org/2001/XMLSchema" xmlns:p="http://schemas.microsoft.com/office/2006/metadata/properties" xmlns:ns2="http://schemas.microsoft.com/sharepoint/v3/fields" xmlns:ns3="AA0C4121-4F5B-4B36-B887-483EE459F216" targetNamespace="http://schemas.microsoft.com/office/2006/metadata/properties" ma:root="true" ma:fieldsID="75794ce3a3bdfcb28256da7678b4dd51" ns2:_="" ns3:_="">
    <xsd:import namespace="http://schemas.microsoft.com/sharepoint/v3/fields"/>
    <xsd:import namespace="AA0C4121-4F5B-4B36-B887-483EE459F21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0C4121-4F5B-4B36-B887-483EE459F21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DD6B-0B28-4736-A80E-9652F1142B07}">
  <ds:schemaRefs>
    <ds:schemaRef ds:uri="http://schemas.microsoft.com/office/2006/documentManagement/types"/>
    <ds:schemaRef ds:uri="http://schemas.microsoft.com/sharepoint/v3/fields"/>
    <ds:schemaRef ds:uri="AA0C4121-4F5B-4B36-B887-483EE459F216"/>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8439633-D1E3-4117-B84E-2D9675891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0C4121-4F5B-4B36-B887-483EE459F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29600-5448-4A1D-A081-8FA68211A0E2}">
  <ds:schemaRefs>
    <ds:schemaRef ds:uri="http://schemas.microsoft.com/sharepoint/v3/contenttype/forms"/>
  </ds:schemaRefs>
</ds:datastoreItem>
</file>

<file path=customXml/itemProps4.xml><?xml version="1.0" encoding="utf-8"?>
<ds:datastoreItem xmlns:ds="http://schemas.openxmlformats.org/officeDocument/2006/customXml" ds:itemID="{C1329374-B4ED-4124-9073-BACEC8EA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226</Pages>
  <Words>54297</Words>
  <Characters>334471</Characters>
  <Application>Microsoft Office Word</Application>
  <DocSecurity>0</DocSecurity>
  <Lines>16723</Lines>
  <Paragraphs>4319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DUBUSSE Christine (TAXUD)</dc:creator>
  <cp:keywords/>
  <dc:description/>
  <cp:lastModifiedBy>PASCUAL IBANEZ Noelia (SG)</cp:lastModifiedBy>
  <cp:revision>16</cp:revision>
  <dcterms:created xsi:type="dcterms:W3CDTF">2021-06-21T12:39:00Z</dcterms:created>
  <dcterms:modified xsi:type="dcterms:W3CDTF">2021-06-21T17:31:00Z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7.0.1, Build 20200226</vt:lpwstr>
  </property>
  <property fmtid="{D5CDD505-2E9C-101B-9397-08002B2CF9AE}" pid="10" name="Created using">
    <vt:lpwstr>LW 7.0.1, Build 20200226</vt:lpwstr>
  </property>
  <property fmtid="{D5CDD505-2E9C-101B-9397-08002B2CF9AE}" pid="11" name="_LW_INVALIDATED__LW_INVALIDATED__LW_INVALIDATED__LW_INVALIDATED_ContentTypeId">
    <vt:lpwstr>0x010100258AA79CEB83498886A3A08681123250008BD26BE1A827574981DDDB018F76E185</vt:lpwstr>
  </property>
</Properties>
</file>