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602" w:rsidRDefault="00886830" w:rsidP="0088683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41537C2-A234-4759-BF06-67DD6DF001FA" style="width:450.7pt;height:380.1pt">
            <v:imagedata r:id="rId11" o:title=""/>
          </v:shape>
        </w:pict>
      </w:r>
    </w:p>
    <w:bookmarkEnd w:id="0"/>
    <w:p w:rsidR="009B5602" w:rsidRDefault="009B5602">
      <w:pPr>
        <w:rPr>
          <w:noProof/>
        </w:rPr>
        <w:sectPr w:rsidR="009B5602" w:rsidSect="00886830">
          <w:headerReference w:type="even" r:id="rId12"/>
          <w:headerReference w:type="default" r:id="rId13"/>
          <w:footerReference w:type="even" r:id="rId14"/>
          <w:footerReference w:type="default" r:id="rId15"/>
          <w:headerReference w:type="first" r:id="rId16"/>
          <w:footerReference w:type="first" r:id="rId17"/>
          <w:pgSz w:w="11907" w:h="16839" w:code="9"/>
          <w:pgMar w:top="1134" w:right="1417" w:bottom="1134" w:left="1417" w:header="709" w:footer="709" w:gutter="0"/>
          <w:pgNumType w:start="0"/>
          <w:cols w:space="720"/>
          <w:docGrid w:linePitch="360"/>
        </w:sectPr>
      </w:pPr>
    </w:p>
    <w:p w:rsidR="009B5602" w:rsidRDefault="00886830">
      <w:pPr>
        <w:keepNext/>
        <w:spacing w:before="360" w:after="120" w:line="240" w:lineRule="auto"/>
        <w:jc w:val="center"/>
        <w:rPr>
          <w:rFonts w:ascii="Times New Roman" w:eastAsia="Times New Roman" w:hAnsi="Times New Roman"/>
          <w:b/>
          <w:bCs/>
          <w:noProof/>
          <w:color w:val="000000"/>
          <w:sz w:val="24"/>
          <w:szCs w:val="24"/>
          <w:u w:val="single"/>
        </w:rPr>
      </w:pPr>
      <w:r>
        <w:rPr>
          <w:rFonts w:ascii="Times New Roman" w:hAnsi="Times New Roman"/>
          <w:b/>
          <w:bCs/>
          <w:noProof/>
          <w:color w:val="000000"/>
          <w:sz w:val="24"/>
          <w:szCs w:val="24"/>
          <w:u w:val="single"/>
        </w:rPr>
        <w:lastRenderedPageBreak/>
        <w:t>PRILOGA</w:t>
      </w:r>
    </w:p>
    <w:p w:rsidR="009B5602" w:rsidRDefault="00886830">
      <w:pPr>
        <w:keepNext/>
        <w:spacing w:before="120" w:after="120" w:line="240" w:lineRule="auto"/>
        <w:jc w:val="both"/>
        <w:rPr>
          <w:rFonts w:ascii="Times New Roman" w:eastAsia="Times New Roman" w:hAnsi="Times New Roman"/>
          <w:b/>
          <w:bCs/>
          <w:noProof/>
          <w:color w:val="000000"/>
          <w:sz w:val="24"/>
          <w:szCs w:val="24"/>
        </w:rPr>
      </w:pPr>
      <w:r>
        <w:rPr>
          <w:rFonts w:ascii="Times New Roman" w:hAnsi="Times New Roman"/>
          <w:b/>
          <w:bCs/>
          <w:noProof/>
          <w:color w:val="000000"/>
          <w:sz w:val="24"/>
          <w:szCs w:val="24"/>
        </w:rPr>
        <w:t>ODDELEK 1: REFORME IN NALOŽBE V OKVIRU NAČRTA ZA OKREVANJE IN ODPORNOST</w:t>
      </w:r>
    </w:p>
    <w:p w:rsidR="009B5602" w:rsidRDefault="00886830">
      <w:pPr>
        <w:keepNext/>
        <w:spacing w:before="120" w:after="120" w:line="240" w:lineRule="auto"/>
        <w:jc w:val="both"/>
        <w:rPr>
          <w:rFonts w:ascii="Times New Roman" w:eastAsia="Times New Roman" w:hAnsi="Times New Roman"/>
          <w:b/>
          <w:noProof/>
          <w:color w:val="000000"/>
          <w:sz w:val="24"/>
          <w:szCs w:val="24"/>
        </w:rPr>
      </w:pPr>
      <w:r>
        <w:rPr>
          <w:rFonts w:ascii="Times New Roman" w:hAnsi="Times New Roman"/>
          <w:b/>
          <w:bCs/>
          <w:noProof/>
          <w:color w:val="000000"/>
          <w:sz w:val="24"/>
          <w:szCs w:val="24"/>
        </w:rPr>
        <w:t>1. Opis reform in naložb</w:t>
      </w:r>
    </w:p>
    <w:p w:rsidR="009B5602" w:rsidRDefault="00886830">
      <w:pPr>
        <w:keepNext/>
        <w:tabs>
          <w:tab w:val="left" w:pos="850"/>
        </w:tabs>
        <w:spacing w:before="120" w:after="120" w:line="240" w:lineRule="auto"/>
        <w:jc w:val="both"/>
        <w:outlineLvl w:val="0"/>
        <w:rPr>
          <w:rFonts w:ascii="Times New Roman" w:hAnsi="Times New Roman"/>
          <w:b/>
          <w:smallCaps/>
          <w:noProof/>
          <w:sz w:val="24"/>
        </w:rPr>
      </w:pPr>
      <w:r>
        <w:rPr>
          <w:rFonts w:ascii="Times New Roman" w:hAnsi="Times New Roman"/>
          <w:b/>
          <w:smallCaps/>
          <w:noProof/>
          <w:sz w:val="24"/>
        </w:rPr>
        <w:t>KOMPONENTA 1: Obnovljivi viri energije in</w:t>
      </w:r>
      <w:r>
        <w:rPr>
          <w:rFonts w:ascii="Times New Roman" w:hAnsi="Times New Roman"/>
          <w:b/>
          <w:smallCaps/>
          <w:noProof/>
          <w:sz w:val="24"/>
        </w:rPr>
        <w:t xml:space="preserve"> energetska infrastruktura</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Namen komponente „obnovljivi viri energije in energetska infrastruktura“ slovaškega načrta za oživitev in odpornost je neposredno prispevati k doseganju ciljev glede podnebnih sprememb za leto 2030. V skladu s slovaškim nacionalnim energetskim in podnebnim</w:t>
      </w:r>
      <w:r>
        <w:rPr>
          <w:rFonts w:ascii="Times New Roman" w:hAnsi="Times New Roman"/>
          <w:noProof/>
          <w:sz w:val="24"/>
          <w:szCs w:val="24"/>
        </w:rPr>
        <w:t xml:space="preserve"> načrtom je za doseganje podnebnih ciljev potreben znaten premik k obnovljivim virom energije v slovaški mešanici energijskih virov. </w:t>
      </w:r>
    </w:p>
    <w:p w:rsidR="009B5602" w:rsidRDefault="00886830">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V zvezi s tem je namen te komponente slovaškega načrta za okrevanje in odpornost podpreti hitrejše uvajanje naložb v obnov</w:t>
      </w:r>
      <w:r>
        <w:rPr>
          <w:rFonts w:ascii="Times New Roman" w:hAnsi="Times New Roman"/>
          <w:noProof/>
          <w:color w:val="000000"/>
          <w:sz w:val="24"/>
          <w:szCs w:val="24"/>
          <w:shd w:val="clear" w:color="auto" w:fill="FFFFFF"/>
        </w:rPr>
        <w:t>ljive vire energije. Glede na ta cilj bodo reforme posodobile slovaški trg z električno energijo in ustvarile ustrezno zakonodajno okolje. Spremembe zakona bodo zlasti izboljšale dostop novih udeležencev na trgu, povečale gotovost in zaupanje v ukrepe drža</w:t>
      </w:r>
      <w:r>
        <w:rPr>
          <w:rFonts w:ascii="Times New Roman" w:hAnsi="Times New Roman"/>
          <w:noProof/>
          <w:color w:val="000000"/>
          <w:sz w:val="24"/>
          <w:szCs w:val="24"/>
          <w:shd w:val="clear" w:color="auto" w:fill="FFFFFF"/>
        </w:rPr>
        <w:t xml:space="preserve">vne podpore ter izboljšale vključevanje obnovljivih virov energije v slovaško električno omrežje. Podpora za naložbe se usmeri v povečanje zmogljivosti novih obnovljivih virov energije in za ponovno pridobivanje električne energije v obstoječih obratih za </w:t>
      </w:r>
      <w:r>
        <w:rPr>
          <w:rFonts w:ascii="Times New Roman" w:hAnsi="Times New Roman"/>
          <w:noProof/>
          <w:color w:val="000000"/>
          <w:sz w:val="24"/>
          <w:szCs w:val="24"/>
          <w:shd w:val="clear" w:color="auto" w:fill="FFFFFF"/>
        </w:rPr>
        <w:t>proizvodnjo energije iz obnovljivih virov, vključno s posodobitvijo bioplina in hidroelektrarn. Naložbe v povečanje prožnosti elektroenergetskega omrežja vključujejo podporo novim skladiščem baterij, vključno z rešitvami, ki temeljijo na vodiku, ter poveča</w:t>
      </w:r>
      <w:r>
        <w:rPr>
          <w:rFonts w:ascii="Times New Roman" w:hAnsi="Times New Roman"/>
          <w:noProof/>
          <w:color w:val="000000"/>
          <w:sz w:val="24"/>
          <w:szCs w:val="24"/>
          <w:shd w:val="clear" w:color="auto" w:fill="FFFFFF"/>
        </w:rPr>
        <w:t xml:space="preserve">nje zmogljivosti hidroelektrarn za izravnavo električne energije. </w:t>
      </w:r>
    </w:p>
    <w:p w:rsidR="009B5602" w:rsidRDefault="00886830">
      <w:pPr>
        <w:spacing w:before="120" w:after="120" w:line="240" w:lineRule="auto"/>
        <w:jc w:val="both"/>
        <w:rPr>
          <w:rFonts w:ascii="Times New Roman" w:hAnsi="Times New Roman"/>
          <w:noProof/>
          <w:color w:val="000000"/>
          <w:sz w:val="24"/>
          <w:shd w:val="clear" w:color="auto" w:fill="FFFFFF"/>
        </w:rPr>
      </w:pPr>
      <w:r>
        <w:rPr>
          <w:rFonts w:ascii="Times New Roman" w:hAnsi="Times New Roman"/>
          <w:noProof/>
          <w:color w:val="000000"/>
          <w:sz w:val="24"/>
          <w:szCs w:val="24"/>
          <w:shd w:val="clear" w:color="auto" w:fill="FFFFFF"/>
        </w:rPr>
        <w:t xml:space="preserve">Komponenta vključuje dve reformi in tri naložbe.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Ti ukrepi prispevajo k zelenemu prehodu in cilju podnebne nevtralnosti ter k izpolnjevanju zavez Slovaške iz nacionalnega energetskega in p</w:t>
      </w:r>
      <w:r>
        <w:rPr>
          <w:rFonts w:ascii="Times New Roman" w:hAnsi="Times New Roman"/>
          <w:noProof/>
          <w:sz w:val="24"/>
          <w:szCs w:val="24"/>
        </w:rPr>
        <w:t xml:space="preserve">odnebnega načrta. Komponenta krepi strateško avtonomijo in varnost Slovaške s povečanjem deleža domačih virov energije, saj uvoz iz tretjih držav predstavlja znaten del njene porabe. Naložbe prispevajo k ustvarjanju delovnih mest na lokalni ravni, tudi za </w:t>
      </w:r>
      <w:r>
        <w:rPr>
          <w:rFonts w:ascii="Times New Roman" w:hAnsi="Times New Roman"/>
          <w:noProof/>
          <w:sz w:val="24"/>
          <w:szCs w:val="24"/>
        </w:rPr>
        <w:t xml:space="preserve">sektor MSP.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Pričakuje se, da noben ukrep v tej komponenti ne bo znatno škodoval okoljskim ciljem v smislu člena 17 Uredbe (EU) 2020/852, ob upoštevanju opisa ukrepov in ukrepov za ublažitev, določenih v načrtu za okrevanje in odpornost v skladu s tehnični</w:t>
      </w:r>
      <w:r>
        <w:rPr>
          <w:rFonts w:ascii="Times New Roman" w:hAnsi="Times New Roman"/>
          <w:noProof/>
          <w:sz w:val="24"/>
          <w:szCs w:val="24"/>
        </w:rPr>
        <w:t xml:space="preserve">mi smernicami za uporabo načela, da se ne škoduje bistveno (2021/C58/01).  </w:t>
      </w:r>
    </w:p>
    <w:p w:rsidR="009B5602" w:rsidRDefault="00886830">
      <w:pPr>
        <w:spacing w:before="120" w:after="120" w:line="240" w:lineRule="auto"/>
        <w:jc w:val="both"/>
        <w:rPr>
          <w:rFonts w:ascii="Times New Roman" w:hAnsi="Times New Roman"/>
          <w:noProof/>
          <w:sz w:val="24"/>
          <w:szCs w:val="24"/>
          <w:shd w:val="clear" w:color="auto" w:fill="FFFFFF"/>
        </w:rPr>
      </w:pPr>
      <w:r>
        <w:rPr>
          <w:rFonts w:ascii="Times New Roman" w:hAnsi="Times New Roman"/>
          <w:noProof/>
          <w:sz w:val="24"/>
          <w:szCs w:val="24"/>
        </w:rPr>
        <w:t>Naložbe in reforme prispevajo k obravnavi priporočila za posamezno državo, naslovljenega na Slovaško leta 2020, in sicer da naj „[u]smeri naložbe na zeleni in digitalni prehod, zla</w:t>
      </w:r>
      <w:r>
        <w:rPr>
          <w:rFonts w:ascii="Times New Roman" w:hAnsi="Times New Roman"/>
          <w:noProof/>
          <w:sz w:val="24"/>
          <w:szCs w:val="24"/>
        </w:rPr>
        <w:t>sti na čisto in učinkovito proizvodnjo in rabo energije in virov“ (priporočilo za posamezno državo št. 3 iz leta 2020).</w:t>
      </w:r>
    </w:p>
    <w:p w:rsidR="009B5602" w:rsidRDefault="00886830">
      <w:pPr>
        <w:spacing w:before="120" w:after="120" w:line="240" w:lineRule="auto"/>
        <w:jc w:val="both"/>
        <w:rPr>
          <w:rFonts w:ascii="Times New Roman" w:hAnsi="Times New Roman"/>
          <w:noProof/>
          <w:sz w:val="24"/>
        </w:rPr>
      </w:pPr>
      <w:r>
        <w:rPr>
          <w:rFonts w:ascii="Times New Roman" w:hAnsi="Times New Roman"/>
          <w:b/>
          <w:bCs/>
          <w:noProof/>
          <w:sz w:val="24"/>
          <w:u w:val="single"/>
        </w:rPr>
        <w:t xml:space="preserve">A.1 </w:t>
      </w:r>
      <w:r>
        <w:rPr>
          <w:rFonts w:ascii="Times New Roman" w:hAnsi="Times New Roman"/>
          <w:noProof/>
          <w:sz w:val="24"/>
        </w:rPr>
        <w:tab/>
      </w:r>
      <w:r>
        <w:rPr>
          <w:rFonts w:ascii="Times New Roman" w:hAnsi="Times New Roman"/>
          <w:b/>
          <w:bCs/>
          <w:noProof/>
          <w:sz w:val="24"/>
          <w:u w:val="single"/>
        </w:rPr>
        <w:t>Opis reform in naložb za nepovratno finančno podporo</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Reforma 1: Prilagoditev pravnega okvira za električno energijo</w:t>
      </w:r>
      <w:r>
        <w:rPr>
          <w:rFonts w:ascii="Times New Roman" w:hAnsi="Times New Roman"/>
          <w:noProof/>
          <w:sz w:val="24"/>
        </w:rPr>
        <w:t xml:space="preserve">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Namen reforme </w:t>
      </w:r>
      <w:r>
        <w:rPr>
          <w:rFonts w:ascii="Times New Roman" w:hAnsi="Times New Roman"/>
          <w:noProof/>
          <w:sz w:val="24"/>
          <w:szCs w:val="24"/>
        </w:rPr>
        <w:t xml:space="preserve">je izboljšati pravni okvir slovaškega trga z električno energijo s spremembo zakona 251/2012 zb. o energiji in zakona 250/2012 zb. o regulaciji v omrežnih panogah v skladu z zahtevami Direktive 2019/944. Poleg tega prilagojena pravna struktura olajša nove </w:t>
      </w:r>
      <w:r>
        <w:rPr>
          <w:rFonts w:ascii="Times New Roman" w:hAnsi="Times New Roman"/>
          <w:noProof/>
          <w:sz w:val="24"/>
          <w:szCs w:val="24"/>
        </w:rPr>
        <w:t>dejavnosti in dostop udeležencev do trga z električno energijo (energetske skupnosti, združevalec, samoporabnik, shranjevanje električne energije), hkrati pa povečuje splošno prožnost elektroenergetskega sistema in izboljšuje možnosti za priključitev novih</w:t>
      </w:r>
      <w:r>
        <w:rPr>
          <w:rFonts w:ascii="Times New Roman" w:hAnsi="Times New Roman"/>
          <w:noProof/>
          <w:sz w:val="24"/>
          <w:szCs w:val="24"/>
        </w:rPr>
        <w:t xml:space="preserve"> obnovljivih virov energije na slovaško omrežje.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lastRenderedPageBreak/>
        <w:t>Ta reforma predvideva tudi (v okviru cilja 2) ukrep za sprostitev tehničnih zmogljivosti za prenos električne energije znotraj domačega elektroenergetskega sistema, ki ga omogoča povečanje zmogljivosti elek</w:t>
      </w:r>
      <w:r>
        <w:rPr>
          <w:rFonts w:ascii="Times New Roman" w:hAnsi="Times New Roman"/>
          <w:noProof/>
          <w:sz w:val="24"/>
          <w:szCs w:val="24"/>
        </w:rPr>
        <w:t xml:space="preserve">troenergetskih povezav med Slovaško in Madžarsko. </w:t>
      </w:r>
    </w:p>
    <w:p w:rsidR="009B5602" w:rsidRDefault="00886830">
      <w:pPr>
        <w:spacing w:before="120" w:after="120" w:line="240" w:lineRule="auto"/>
        <w:jc w:val="both"/>
        <w:rPr>
          <w:rFonts w:ascii="Times New Roman" w:hAnsi="Times New Roman"/>
          <w:noProof/>
          <w:sz w:val="24"/>
        </w:rPr>
      </w:pPr>
      <w:r>
        <w:rPr>
          <w:rFonts w:ascii="Times New Roman" w:hAnsi="Times New Roman"/>
          <w:noProof/>
          <w:color w:val="000000"/>
          <w:sz w:val="24"/>
          <w:szCs w:val="24"/>
          <w:shd w:val="clear" w:color="auto" w:fill="FFFFFF"/>
        </w:rPr>
        <w:t xml:space="preserve">Reforma se izvede do 31. decembra 2022.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noProof/>
          <w:sz w:val="24"/>
          <w:szCs w:val="24"/>
        </w:rPr>
        <w:t>Reforma 2: Pravni okvir za spodbujanje obnovljivih virov energije</w:t>
      </w:r>
      <w:r>
        <w:rPr>
          <w:rFonts w:ascii="Times New Roman" w:hAnsi="Times New Roman"/>
          <w:noProof/>
          <w:sz w:val="24"/>
          <w:szCs w:val="24"/>
        </w:rPr>
        <w:t xml:space="preserve"> </w:t>
      </w:r>
    </w:p>
    <w:p w:rsidR="009B5602" w:rsidRDefault="00886830">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shd w:val="clear" w:color="auto" w:fill="FFFFFF"/>
        </w:rPr>
        <w:t xml:space="preserve">Namen reforme je spodbujati uvajanje novih obnovljivih virov energije. Z novimi spremembami zakona se vzpostavijo učinkoviti podporni mehanizmi za povečanje deleža obnovljivih virov energije v sektorjih prometa, električne energije in ogrevanja. </w:t>
      </w:r>
      <w:r>
        <w:rPr>
          <w:rFonts w:ascii="Times New Roman" w:hAnsi="Times New Roman"/>
          <w:noProof/>
          <w:color w:val="000000"/>
          <w:sz w:val="24"/>
          <w:szCs w:val="24"/>
        </w:rPr>
        <w:t>Pravni okv</w:t>
      </w:r>
      <w:r>
        <w:rPr>
          <w:rFonts w:ascii="Times New Roman" w:hAnsi="Times New Roman"/>
          <w:noProof/>
          <w:color w:val="000000"/>
          <w:sz w:val="24"/>
          <w:szCs w:val="24"/>
        </w:rPr>
        <w:t>ir se spremeni z dopolnitvijo Zakona št. 309/2009 zb. o spodbujanju obnovljivih virov energije in soproizvodnje z visokim izkoristkom ter Zakona 657/2004 zb. o toplotni energiji.</w:t>
      </w:r>
    </w:p>
    <w:p w:rsidR="009B5602" w:rsidRDefault="00886830">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sz w:val="24"/>
          <w:szCs w:val="24"/>
        </w:rPr>
        <w:t>Reforma vključuje tudi sprejetje dolgoročnega načrta dražbe za nove obnovljiv</w:t>
      </w:r>
      <w:r>
        <w:rPr>
          <w:rFonts w:ascii="Times New Roman" w:hAnsi="Times New Roman"/>
          <w:noProof/>
          <w:sz w:val="24"/>
          <w:szCs w:val="24"/>
        </w:rPr>
        <w:t>e vire energije. Ta ukrep prispeva k večji predvidljivosti skupne nameščene zmogljivosti obnovljivih virov energije in ustvarja ugodnejše naložbeno okolje za zasebne vlagatelje.</w:t>
      </w:r>
      <w:r>
        <w:rPr>
          <w:rFonts w:ascii="Times New Roman" w:hAnsi="Times New Roman"/>
          <w:noProof/>
          <w:color w:val="000000"/>
          <w:sz w:val="24"/>
          <w:szCs w:val="24"/>
          <w:shd w:val="clear" w:color="auto" w:fill="FFFFFF"/>
        </w:rPr>
        <w:t xml:space="preserve"> </w:t>
      </w:r>
    </w:p>
    <w:p w:rsidR="009B5602" w:rsidRDefault="00886830">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Poleg tega reforma vključuje sprejetje naložbenih programov za podporo obnovl</w:t>
      </w:r>
      <w:r>
        <w:rPr>
          <w:rFonts w:ascii="Times New Roman" w:hAnsi="Times New Roman"/>
          <w:noProof/>
          <w:color w:val="000000"/>
          <w:sz w:val="24"/>
          <w:szCs w:val="24"/>
        </w:rPr>
        <w:t>jivim virom električne energije. Ministrstvo za gospodarstvo sprejme dražbeni sistem za nove obnovljive vire energije (povezava na naložbo 1, komponenta 1) in podporne sheme za naložbe v obnovitev zmogljivosti (povezava z naložbo 2, komponenta 1) ter poveč</w:t>
      </w:r>
      <w:r>
        <w:rPr>
          <w:rFonts w:ascii="Times New Roman" w:hAnsi="Times New Roman"/>
          <w:noProof/>
          <w:color w:val="000000"/>
          <w:sz w:val="24"/>
          <w:szCs w:val="24"/>
        </w:rPr>
        <w:t>anje prožnosti elektroenergetskega sistema (povezava na naložbo 3, komponenta 1). Naložbene politike shem ter podprte dejavnosti in podjetja so strogo skladni z okoljsko zakonodajo EU in nacionalno okoljsko zakonodajo ter tehničnimi smernicami za uporabo n</w:t>
      </w:r>
      <w:r>
        <w:rPr>
          <w:rFonts w:ascii="Times New Roman" w:hAnsi="Times New Roman"/>
          <w:noProof/>
          <w:color w:val="000000"/>
          <w:sz w:val="24"/>
          <w:szCs w:val="24"/>
        </w:rPr>
        <w:t xml:space="preserve">ačela, da se ne škoduje bistveno (2021/C58/01). Slovaški načrt za okrevanje in odpornost bo podpiral le naložbe v vodno energijo, ki so v skladu s pravnim redom EU.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color w:val="000000"/>
          <w:sz w:val="24"/>
          <w:szCs w:val="24"/>
          <w:shd w:val="clear" w:color="auto" w:fill="FFFFFF"/>
        </w:rPr>
        <w:t>Izvajanje reforme se zaključi do 31. decembra 2022.</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Naložba 1: Izgradnja novih obnovljivih</w:t>
      </w:r>
      <w:r>
        <w:rPr>
          <w:rFonts w:ascii="Times New Roman" w:hAnsi="Times New Roman"/>
          <w:b/>
          <w:noProof/>
          <w:sz w:val="24"/>
        </w:rPr>
        <w:t xml:space="preserve"> virov električne energije </w:t>
      </w:r>
    </w:p>
    <w:p w:rsidR="009B5602" w:rsidRDefault="00886830">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sz w:val="24"/>
          <w:szCs w:val="24"/>
        </w:rPr>
        <w:t>Namen ukrepa je podpreti uvajanje naložb v nove obnovljive vire električne energije.</w:t>
      </w:r>
      <w:r>
        <w:rPr>
          <w:rFonts w:ascii="Times New Roman" w:hAnsi="Times New Roman"/>
          <w:noProof/>
          <w:color w:val="000000"/>
          <w:sz w:val="24"/>
          <w:szCs w:val="24"/>
        </w:rPr>
        <w:t xml:space="preserve"> Od splošnega cilja povečanja nove zmogljivosti za proizvodnjo električne energije iz obnovljivih virov za 122,4 MW se s programom podpore zagot</w:t>
      </w:r>
      <w:r>
        <w:rPr>
          <w:rFonts w:ascii="Times New Roman" w:hAnsi="Times New Roman"/>
          <w:noProof/>
          <w:color w:val="000000"/>
          <w:sz w:val="24"/>
          <w:szCs w:val="24"/>
        </w:rPr>
        <w:t xml:space="preserve">ovi vsaj 120 MW nove zmogljivosti, ki jo povzročijo novi obnovljivi viri energije v okviru ukrepa, povezanega z omrežjem. </w:t>
      </w:r>
      <w:r>
        <w:rPr>
          <w:rFonts w:ascii="Times New Roman" w:hAnsi="Times New Roman"/>
          <w:noProof/>
          <w:color w:val="000000"/>
          <w:sz w:val="24"/>
          <w:szCs w:val="24"/>
          <w:shd w:val="clear" w:color="auto" w:fill="FFFFFF"/>
        </w:rPr>
        <w:t>Konkurenčni dražbeni mehanizem je odprt za širok spekter tehnologij obnovljivih virov energije z jasnimi roki in pravili za izvedbo pr</w:t>
      </w:r>
      <w:r>
        <w:rPr>
          <w:rFonts w:ascii="Times New Roman" w:hAnsi="Times New Roman"/>
          <w:noProof/>
          <w:color w:val="000000"/>
          <w:sz w:val="24"/>
          <w:szCs w:val="24"/>
          <w:shd w:val="clear" w:color="auto" w:fill="FFFFFF"/>
        </w:rPr>
        <w:t>ojektov.</w:t>
      </w:r>
      <w:r>
        <w:rPr>
          <w:rFonts w:ascii="Times New Roman" w:hAnsi="Times New Roman"/>
          <w:noProof/>
          <w:color w:val="000000"/>
          <w:sz w:val="24"/>
          <w:szCs w:val="24"/>
        </w:rPr>
        <w:t xml:space="preserve"> Naložbe v hidroelektrarne niso upravičene v okviru naložbe 1 (komponenta 1).</w:t>
      </w:r>
      <w:r>
        <w:rPr>
          <w:rFonts w:ascii="Times New Roman" w:hAnsi="Times New Roman"/>
          <w:noProof/>
          <w:color w:val="000000"/>
          <w:sz w:val="24"/>
          <w:szCs w:val="24"/>
          <w:shd w:val="clear" w:color="auto" w:fill="FFFFFF"/>
        </w:rPr>
        <w:t xml:space="preserve"> Ministrstvo za gospodarstvo je odgovorno za izvajanje sistema in zbiranje informacij o realiziranih zmogljivostih od nosilcev projektov.</w:t>
      </w:r>
    </w:p>
    <w:p w:rsidR="009B5602" w:rsidRDefault="00886830">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Shema podpore za avkcije upošteva</w:t>
      </w:r>
      <w:r>
        <w:rPr>
          <w:rFonts w:ascii="Times New Roman" w:hAnsi="Times New Roman"/>
          <w:noProof/>
          <w:color w:val="000000"/>
          <w:sz w:val="24"/>
          <w:szCs w:val="24"/>
        </w:rPr>
        <w:t xml:space="preserve"> naložbene politike, določene v mejniku 3 komponente 1 (reforma 2:  Pravni okvir za spodbujanje obnovljivih virov energije“). </w:t>
      </w:r>
    </w:p>
    <w:p w:rsidR="009B5602" w:rsidRDefault="00886830">
      <w:pPr>
        <w:spacing w:before="120" w:after="120" w:line="240" w:lineRule="auto"/>
        <w:jc w:val="both"/>
        <w:rPr>
          <w:rFonts w:ascii="Times New Roman" w:hAnsi="Times New Roman"/>
          <w:noProof/>
          <w:color w:val="000000"/>
          <w:sz w:val="24"/>
          <w:shd w:val="clear" w:color="auto" w:fill="FFFFFF"/>
        </w:rPr>
      </w:pPr>
      <w:r>
        <w:rPr>
          <w:rFonts w:ascii="Times New Roman" w:hAnsi="Times New Roman"/>
          <w:noProof/>
          <w:color w:val="000000"/>
          <w:sz w:val="24"/>
          <w:szCs w:val="24"/>
          <w:shd w:val="clear" w:color="auto" w:fill="FFFFFF"/>
        </w:rPr>
        <w:t>Naložba naj bi se začela izvajati do 30. junija 2021 in bo zaključena do 30. junija 2026.</w:t>
      </w:r>
    </w:p>
    <w:p w:rsidR="009B5602" w:rsidRDefault="00886830">
      <w:pPr>
        <w:spacing w:before="120" w:after="120" w:line="240" w:lineRule="auto"/>
        <w:jc w:val="both"/>
        <w:rPr>
          <w:rFonts w:ascii="Times New Roman" w:hAnsi="Times New Roman"/>
          <w:b/>
          <w:noProof/>
          <w:sz w:val="24"/>
          <w:szCs w:val="24"/>
        </w:rPr>
      </w:pPr>
      <w:r>
        <w:rPr>
          <w:rFonts w:ascii="Times New Roman" w:hAnsi="Times New Roman"/>
          <w:b/>
          <w:noProof/>
          <w:sz w:val="24"/>
          <w:szCs w:val="24"/>
        </w:rPr>
        <w:t xml:space="preserve">Naložba 2: Posodobitev obstoječih </w:t>
      </w:r>
      <w:r>
        <w:rPr>
          <w:rFonts w:ascii="Times New Roman" w:hAnsi="Times New Roman"/>
          <w:b/>
          <w:noProof/>
          <w:sz w:val="24"/>
          <w:szCs w:val="24"/>
        </w:rPr>
        <w:t>obnovljivih virov električne energije (repowering)</w:t>
      </w:r>
    </w:p>
    <w:p w:rsidR="009B5602" w:rsidRDefault="00886830">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Cilj ukrepa je podaljšati tehnološko življenjsko dobo, posodobiti in povečati učinkovitost obstoječih zmogljivosti obnovljivih virov energije. </w:t>
      </w:r>
      <w:r>
        <w:rPr>
          <w:rFonts w:ascii="Times New Roman" w:hAnsi="Times New Roman"/>
          <w:noProof/>
          <w:color w:val="000000"/>
          <w:sz w:val="24"/>
          <w:szCs w:val="24"/>
        </w:rPr>
        <w:t>Posodobitev se nanaša na preoblikovanje obratov za pridobivanj</w:t>
      </w:r>
      <w:r>
        <w:rPr>
          <w:rFonts w:ascii="Times New Roman" w:hAnsi="Times New Roman"/>
          <w:noProof/>
          <w:color w:val="000000"/>
          <w:sz w:val="24"/>
          <w:szCs w:val="24"/>
        </w:rPr>
        <w:t xml:space="preserve">e bioplina in hidroelektrarn. </w:t>
      </w:r>
      <w:r>
        <w:rPr>
          <w:rFonts w:ascii="Times New Roman" w:hAnsi="Times New Roman"/>
          <w:noProof/>
          <w:sz w:val="24"/>
          <w:szCs w:val="24"/>
        </w:rPr>
        <w:t xml:space="preserve"> Sistem zagotavlja vsaj 100 MW posodobljene zmogljivosti obnovljivih virov za proizvodnjo električne energije (prenova električne energije), priključene na omrežje, podprto v okviru ukrepa.</w:t>
      </w:r>
      <w:r>
        <w:rPr>
          <w:rFonts w:ascii="Times New Roman" w:hAnsi="Times New Roman"/>
          <w:noProof/>
          <w:color w:val="000000"/>
          <w:sz w:val="24"/>
          <w:szCs w:val="24"/>
        </w:rPr>
        <w:t xml:space="preserve"> </w:t>
      </w:r>
      <w:r>
        <w:rPr>
          <w:rFonts w:ascii="Times New Roman" w:hAnsi="Times New Roman"/>
          <w:noProof/>
          <w:color w:val="000000"/>
          <w:sz w:val="24"/>
          <w:szCs w:val="24"/>
          <w:shd w:val="clear" w:color="auto" w:fill="FFFFFF"/>
        </w:rPr>
        <w:t>Ministrstvo za gospodarstvo je odgov</w:t>
      </w:r>
      <w:r>
        <w:rPr>
          <w:rFonts w:ascii="Times New Roman" w:hAnsi="Times New Roman"/>
          <w:noProof/>
          <w:color w:val="000000"/>
          <w:sz w:val="24"/>
          <w:szCs w:val="24"/>
          <w:shd w:val="clear" w:color="auto" w:fill="FFFFFF"/>
        </w:rPr>
        <w:t>orno za izvedbo naložbe in zbiranje informacij o realiziranih zmogljivostih od nosilcev projektov.</w:t>
      </w:r>
    </w:p>
    <w:p w:rsidR="009B5602" w:rsidRDefault="00886830">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rPr>
        <w:t>Podpora za različne vrste posodobljene opreme iz obnovljivih virov se oceni ločeno ob upoštevanju načela stroškovne učinkovitosti. Sheme podpore upoštevajo n</w:t>
      </w:r>
      <w:r>
        <w:rPr>
          <w:rFonts w:ascii="Times New Roman" w:hAnsi="Times New Roman"/>
          <w:noProof/>
          <w:color w:val="000000"/>
          <w:sz w:val="24"/>
          <w:szCs w:val="24"/>
        </w:rPr>
        <w:t xml:space="preserve">aložbene politike, </w:t>
      </w:r>
      <w:r>
        <w:rPr>
          <w:rFonts w:ascii="Times New Roman" w:hAnsi="Times New Roman"/>
          <w:noProof/>
          <w:color w:val="000000"/>
          <w:sz w:val="24"/>
          <w:szCs w:val="24"/>
        </w:rPr>
        <w:lastRenderedPageBreak/>
        <w:t>kot so določene v mejniku 3 komponente 1 (Reforma 2: Pravni okvir za spodbujanje obnovljivih virov energije“).</w:t>
      </w:r>
    </w:p>
    <w:p w:rsidR="009B5602" w:rsidRDefault="00886830">
      <w:pPr>
        <w:spacing w:before="120" w:after="120" w:line="240" w:lineRule="auto"/>
        <w:jc w:val="both"/>
        <w:rPr>
          <w:rFonts w:ascii="Times New Roman" w:hAnsi="Times New Roman"/>
          <w:noProof/>
          <w:color w:val="000000"/>
          <w:sz w:val="24"/>
          <w:shd w:val="clear" w:color="auto" w:fill="FFFFFF"/>
        </w:rPr>
      </w:pPr>
      <w:r>
        <w:rPr>
          <w:rFonts w:ascii="Times New Roman" w:hAnsi="Times New Roman"/>
          <w:noProof/>
          <w:color w:val="000000"/>
          <w:sz w:val="24"/>
          <w:szCs w:val="24"/>
          <w:shd w:val="clear" w:color="auto" w:fill="FFFFFF"/>
        </w:rPr>
        <w:t>Naložba naj bi se začela izvajati do 1. januarja 2022 in bo zaključena do 30. junija 2026.</w:t>
      </w:r>
    </w:p>
    <w:p w:rsidR="009B5602" w:rsidRDefault="00886830">
      <w:pPr>
        <w:spacing w:before="120" w:after="120" w:line="240" w:lineRule="auto"/>
        <w:jc w:val="both"/>
        <w:rPr>
          <w:rFonts w:ascii="Times New Roman" w:hAnsi="Times New Roman"/>
          <w:b/>
          <w:noProof/>
          <w:sz w:val="24"/>
          <w:szCs w:val="24"/>
        </w:rPr>
      </w:pPr>
      <w:r>
        <w:rPr>
          <w:rFonts w:ascii="Times New Roman" w:hAnsi="Times New Roman"/>
          <w:b/>
          <w:noProof/>
          <w:sz w:val="24"/>
          <w:szCs w:val="24"/>
        </w:rPr>
        <w:t>Naložba 3: Povečanje prožnosti elek</w:t>
      </w:r>
      <w:r>
        <w:rPr>
          <w:rFonts w:ascii="Times New Roman" w:hAnsi="Times New Roman"/>
          <w:b/>
          <w:noProof/>
          <w:sz w:val="24"/>
          <w:szCs w:val="24"/>
        </w:rPr>
        <w:t>troenergetskih sistemov za večje vključevanje obnovljivih virov energije</w:t>
      </w:r>
    </w:p>
    <w:p w:rsidR="009B5602" w:rsidRDefault="00886830">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Namen naložbe je povečati prožnost slovaškega elektroenergetskega omrežja. Postopno opuščanje prilagodljivih fosilnih virov električne energije povzroča izgubo učinkovitosti izravnave</w:t>
      </w:r>
      <w:r>
        <w:rPr>
          <w:rFonts w:ascii="Times New Roman" w:hAnsi="Times New Roman"/>
          <w:noProof/>
          <w:color w:val="000000"/>
          <w:sz w:val="24"/>
          <w:szCs w:val="24"/>
        </w:rPr>
        <w:t xml:space="preserve">, kar negativno vpliva na sposobnost sistema za vključevanje spremenljivih obnovljivih virov energije. </w:t>
      </w:r>
    </w:p>
    <w:p w:rsidR="009B5602" w:rsidRDefault="00886830">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Naložbe so usmerjene v podporo skladiščem električne energije, vključno z rešitvami, ki temeljijo na vodiku, in povečanju zmogljivosti za izravnavo elek</w:t>
      </w:r>
      <w:r>
        <w:rPr>
          <w:rFonts w:ascii="Times New Roman" w:hAnsi="Times New Roman"/>
          <w:noProof/>
          <w:color w:val="000000"/>
          <w:sz w:val="24"/>
          <w:szCs w:val="24"/>
        </w:rPr>
        <w:t>trične energije v hidroelektrarnah. Program podpore zagotavlja vsaj 68 MW skupnega povečanja zmogljivosti za izravnavo zaradi novih skladiščnih zmogljivosti in povečanja zmogljivosti za izravnavo obstoječih hidroelektrarn, priključenih na omrežje. Natančna</w:t>
      </w:r>
      <w:r>
        <w:rPr>
          <w:rFonts w:ascii="Times New Roman" w:hAnsi="Times New Roman"/>
          <w:noProof/>
          <w:color w:val="000000"/>
          <w:sz w:val="24"/>
          <w:szCs w:val="24"/>
        </w:rPr>
        <w:t xml:space="preserve"> razčlenitev cilja 68 MW je odvisna od povpraševanja po ustreznih temah. Naložbe v izravnalno moč hidroelektrarn v okviru ukrepa ne presegajo 12 000 000 EUR. Naložbe močno dopolnjujejo druge ukrepe v komponenti, saj prispevajo k povečanju zmogljivosti pros</w:t>
      </w:r>
      <w:r>
        <w:rPr>
          <w:rFonts w:ascii="Times New Roman" w:hAnsi="Times New Roman"/>
          <w:noProof/>
          <w:color w:val="000000"/>
          <w:sz w:val="24"/>
          <w:szCs w:val="24"/>
        </w:rPr>
        <w:t xml:space="preserve">tega omrežja za vključevanje obnovljivih virov energije. </w:t>
      </w:r>
    </w:p>
    <w:p w:rsidR="009B5602" w:rsidRDefault="00886830">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Podpora se dodeli v okviru tehnološko specifičnih shem ob upoštevanju načela stroškovne učinkovitosti. Sheme spoštujejo pogoje naložbene politike, kot je določeno v mejniku 3 komponente 1 (Reforma 2</w:t>
      </w:r>
      <w:r>
        <w:rPr>
          <w:rFonts w:ascii="Times New Roman" w:hAnsi="Times New Roman"/>
          <w:noProof/>
          <w:color w:val="000000"/>
          <w:sz w:val="24"/>
          <w:szCs w:val="24"/>
        </w:rPr>
        <w:t>:  Pravni okvir za spodbujanje obnovljivih virov energije“).</w:t>
      </w:r>
    </w:p>
    <w:p w:rsidR="009B5602" w:rsidRDefault="00886830">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Naložba naj bi se začela izvajati do 1. januarja 2022 in bo zaključena do 30. junija 2026.</w:t>
      </w:r>
    </w:p>
    <w:p w:rsidR="009B5602" w:rsidRDefault="009B5602">
      <w:pPr>
        <w:spacing w:before="120" w:after="120" w:line="240" w:lineRule="auto"/>
        <w:jc w:val="both"/>
        <w:rPr>
          <w:rFonts w:ascii="Times New Roman" w:hAnsi="Times New Roman"/>
          <w:noProof/>
          <w:color w:val="000000"/>
          <w:sz w:val="24"/>
          <w:szCs w:val="24"/>
        </w:rPr>
      </w:pPr>
    </w:p>
    <w:p w:rsidR="009B5602" w:rsidRDefault="009B5602">
      <w:pPr>
        <w:spacing w:before="120" w:after="120" w:line="240" w:lineRule="auto"/>
        <w:jc w:val="both"/>
        <w:rPr>
          <w:rFonts w:ascii="Times New Roman" w:hAnsi="Times New Roman"/>
          <w:noProof/>
          <w:color w:val="000000"/>
          <w:sz w:val="24"/>
          <w:szCs w:val="24"/>
        </w:rPr>
        <w:sectPr w:rsidR="009B5602">
          <w:headerReference w:type="even" r:id="rId18"/>
          <w:headerReference w:type="default" r:id="rId19"/>
          <w:footerReference w:type="even" r:id="rId20"/>
          <w:footerReference w:type="default" r:id="rId21"/>
          <w:headerReference w:type="first" r:id="rId22"/>
          <w:footerReference w:type="first" r:id="rId23"/>
          <w:pgSz w:w="11907" w:h="16839" w:code="9"/>
          <w:pgMar w:top="1134" w:right="1418" w:bottom="1134" w:left="1418" w:header="709" w:footer="709" w:gutter="0"/>
          <w:cols w:space="720"/>
          <w:docGrid w:linePitch="360"/>
        </w:sectPr>
      </w:pPr>
    </w:p>
    <w:p w:rsidR="009B5602" w:rsidRDefault="00886830">
      <w:pPr>
        <w:spacing w:before="120" w:after="120" w:line="240" w:lineRule="auto"/>
        <w:ind w:left="850"/>
        <w:jc w:val="both"/>
        <w:rPr>
          <w:rFonts w:ascii="Times New Roman" w:hAnsi="Times New Roman"/>
          <w:b/>
          <w:noProof/>
          <w:sz w:val="24"/>
          <w:szCs w:val="24"/>
          <w:u w:val="single"/>
        </w:rPr>
      </w:pPr>
      <w:r>
        <w:rPr>
          <w:rFonts w:ascii="Times New Roman" w:hAnsi="Times New Roman"/>
          <w:b/>
          <w:noProof/>
          <w:sz w:val="24"/>
          <w:szCs w:val="24"/>
          <w:u w:val="single"/>
        </w:rPr>
        <w:t xml:space="preserve">A.2 </w:t>
      </w:r>
      <w:r>
        <w:rPr>
          <w:rFonts w:ascii="Times New Roman" w:hAnsi="Times New Roman"/>
          <w:b/>
          <w:noProof/>
          <w:sz w:val="24"/>
          <w:szCs w:val="24"/>
          <w:u w:val="single"/>
        </w:rPr>
        <w:tab/>
        <w:t xml:space="preserve">Mejniki, cilji, kazalniki in časovni </w:t>
      </w:r>
      <w:r>
        <w:rPr>
          <w:rFonts w:ascii="Times New Roman" w:hAnsi="Times New Roman"/>
          <w:b/>
          <w:noProof/>
          <w:sz w:val="24"/>
          <w:szCs w:val="24"/>
          <w:u w:val="single"/>
        </w:rPr>
        <w:t>razpored za spremljanje in izvajanje nepovratne finančne podpore</w:t>
      </w:r>
    </w:p>
    <w:tbl>
      <w:tblPr>
        <w:tblW w:w="16034" w:type="dxa"/>
        <w:tblInd w:w="-176" w:type="dxa"/>
        <w:tblLayout w:type="fixed"/>
        <w:tblLook w:val="04A0" w:firstRow="1" w:lastRow="0" w:firstColumn="1" w:lastColumn="0" w:noHBand="0" w:noVBand="1"/>
      </w:tblPr>
      <w:tblGrid>
        <w:gridCol w:w="851"/>
        <w:gridCol w:w="1276"/>
        <w:gridCol w:w="1134"/>
        <w:gridCol w:w="1134"/>
        <w:gridCol w:w="1701"/>
        <w:gridCol w:w="1276"/>
        <w:gridCol w:w="992"/>
        <w:gridCol w:w="851"/>
        <w:gridCol w:w="992"/>
        <w:gridCol w:w="992"/>
        <w:gridCol w:w="4835"/>
      </w:tblGrid>
      <w:tr w:rsidR="009B5602">
        <w:trPr>
          <w:trHeight w:val="1369"/>
        </w:trPr>
        <w:tc>
          <w:tcPr>
            <w:tcW w:w="851" w:type="dxa"/>
            <w:vMerge w:val="restart"/>
            <w:tcBorders>
              <w:top w:val="single" w:sz="4" w:space="0" w:color="auto"/>
              <w:left w:val="single" w:sz="4" w:space="0" w:color="auto"/>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bCs/>
                <w:noProof/>
                <w:sz w:val="20"/>
                <w:szCs w:val="20"/>
              </w:rPr>
              <w:t>Zap. št.</w:t>
            </w:r>
          </w:p>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1276"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Povezani ukrep (reforma ali naložba)</w:t>
            </w:r>
          </w:p>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1134"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Mejnik/cilj</w:t>
            </w:r>
          </w:p>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1134"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Ime</w:t>
            </w:r>
          </w:p>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1701"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Kvalitativni kazalniki (za mejnike)</w:t>
            </w:r>
          </w:p>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3119" w:type="dxa"/>
            <w:gridSpan w:val="3"/>
            <w:tcBorders>
              <w:top w:val="single" w:sz="4" w:space="0" w:color="auto"/>
              <w:left w:val="nil"/>
              <w:bottom w:val="single" w:sz="4" w:space="0" w:color="auto"/>
              <w:right w:val="single" w:sz="4" w:space="0" w:color="000000"/>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Kvantitativni kazalniki (za cilje)</w:t>
            </w:r>
          </w:p>
        </w:tc>
        <w:tc>
          <w:tcPr>
            <w:tcW w:w="1984" w:type="dxa"/>
            <w:gridSpan w:val="2"/>
            <w:tcBorders>
              <w:top w:val="single" w:sz="4" w:space="0" w:color="auto"/>
              <w:left w:val="nil"/>
              <w:bottom w:val="single" w:sz="4" w:space="0" w:color="auto"/>
              <w:right w:val="single" w:sz="4" w:space="0" w:color="000000"/>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bCs/>
                <w:noProof/>
                <w:sz w:val="20"/>
                <w:szCs w:val="20"/>
              </w:rPr>
              <w:t xml:space="preserve">Okvirni časovni razpored za dokončanje </w:t>
            </w:r>
          </w:p>
        </w:tc>
        <w:tc>
          <w:tcPr>
            <w:tcW w:w="4835"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xml:space="preserve">Opis in </w:t>
            </w:r>
            <w:r>
              <w:rPr>
                <w:rFonts w:ascii="Times New Roman" w:hAnsi="Times New Roman"/>
                <w:b/>
                <w:noProof/>
                <w:sz w:val="20"/>
                <w:szCs w:val="20"/>
              </w:rPr>
              <w:t>jasna opredelitev vsakega mejnika in cilja</w:t>
            </w:r>
          </w:p>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r>
      <w:tr w:rsidR="009B5602">
        <w:trPr>
          <w:trHeight w:val="313"/>
        </w:trPr>
        <w:tc>
          <w:tcPr>
            <w:tcW w:w="851" w:type="dxa"/>
            <w:vMerge/>
            <w:tcBorders>
              <w:left w:val="single" w:sz="4" w:space="0" w:color="auto"/>
              <w:bottom w:val="single" w:sz="4" w:space="0" w:color="auto"/>
              <w:right w:val="single" w:sz="4" w:space="0" w:color="auto"/>
            </w:tcBorders>
            <w:shd w:val="clear" w:color="auto" w:fill="BDD7EE"/>
            <w:vAlign w:val="center"/>
            <w:hideMark/>
          </w:tcPr>
          <w:p w:rsidR="009B5602" w:rsidRDefault="009B5602">
            <w:pPr>
              <w:spacing w:after="0" w:line="240" w:lineRule="auto"/>
              <w:jc w:val="center"/>
              <w:rPr>
                <w:rFonts w:ascii="Times New Roman" w:eastAsia="Times New Roman" w:hAnsi="Times New Roman"/>
                <w:b/>
                <w:noProof/>
                <w:sz w:val="20"/>
                <w:szCs w:val="20"/>
              </w:rPr>
            </w:pPr>
          </w:p>
        </w:tc>
        <w:tc>
          <w:tcPr>
            <w:tcW w:w="1276" w:type="dxa"/>
            <w:vMerge/>
            <w:tcBorders>
              <w:left w:val="nil"/>
              <w:bottom w:val="single" w:sz="4" w:space="0" w:color="auto"/>
              <w:right w:val="single" w:sz="4" w:space="0" w:color="auto"/>
            </w:tcBorders>
            <w:shd w:val="clear" w:color="auto" w:fill="BDD7EE"/>
            <w:vAlign w:val="center"/>
            <w:hideMark/>
          </w:tcPr>
          <w:p w:rsidR="009B5602" w:rsidRDefault="009B5602">
            <w:pPr>
              <w:spacing w:after="0" w:line="240" w:lineRule="auto"/>
              <w:jc w:val="center"/>
              <w:rPr>
                <w:rFonts w:ascii="Times New Roman" w:eastAsia="Times New Roman" w:hAnsi="Times New Roman"/>
                <w:b/>
                <w:noProof/>
                <w:sz w:val="20"/>
                <w:szCs w:val="20"/>
              </w:rPr>
            </w:pPr>
          </w:p>
        </w:tc>
        <w:tc>
          <w:tcPr>
            <w:tcW w:w="1134" w:type="dxa"/>
            <w:vMerge/>
            <w:tcBorders>
              <w:left w:val="nil"/>
              <w:bottom w:val="single" w:sz="4" w:space="0" w:color="auto"/>
              <w:right w:val="single" w:sz="4" w:space="0" w:color="auto"/>
            </w:tcBorders>
            <w:shd w:val="clear" w:color="auto" w:fill="BDD7EE"/>
            <w:vAlign w:val="center"/>
            <w:hideMark/>
          </w:tcPr>
          <w:p w:rsidR="009B5602" w:rsidRDefault="009B5602">
            <w:pPr>
              <w:spacing w:after="0" w:line="240" w:lineRule="auto"/>
              <w:jc w:val="center"/>
              <w:rPr>
                <w:rFonts w:ascii="Times New Roman" w:eastAsia="Times New Roman" w:hAnsi="Times New Roman"/>
                <w:b/>
                <w:noProof/>
                <w:sz w:val="20"/>
                <w:szCs w:val="20"/>
              </w:rPr>
            </w:pPr>
          </w:p>
        </w:tc>
        <w:tc>
          <w:tcPr>
            <w:tcW w:w="1134" w:type="dxa"/>
            <w:vMerge/>
            <w:tcBorders>
              <w:left w:val="nil"/>
              <w:bottom w:val="single" w:sz="4" w:space="0" w:color="auto"/>
              <w:right w:val="single" w:sz="4" w:space="0" w:color="auto"/>
            </w:tcBorders>
            <w:shd w:val="clear" w:color="auto" w:fill="BDD7EE"/>
            <w:vAlign w:val="center"/>
            <w:hideMark/>
          </w:tcPr>
          <w:p w:rsidR="009B5602" w:rsidRDefault="009B5602">
            <w:pPr>
              <w:spacing w:after="0" w:line="240" w:lineRule="auto"/>
              <w:jc w:val="center"/>
              <w:rPr>
                <w:rFonts w:ascii="Times New Roman" w:eastAsia="Times New Roman" w:hAnsi="Times New Roman"/>
                <w:b/>
                <w:noProof/>
                <w:sz w:val="20"/>
                <w:szCs w:val="20"/>
              </w:rPr>
            </w:pPr>
          </w:p>
        </w:tc>
        <w:tc>
          <w:tcPr>
            <w:tcW w:w="1701" w:type="dxa"/>
            <w:vMerge/>
            <w:tcBorders>
              <w:left w:val="nil"/>
              <w:bottom w:val="single" w:sz="4" w:space="0" w:color="auto"/>
              <w:right w:val="single" w:sz="4" w:space="0" w:color="auto"/>
            </w:tcBorders>
            <w:shd w:val="clear" w:color="auto" w:fill="BDD7EE"/>
            <w:vAlign w:val="center"/>
            <w:hideMark/>
          </w:tcPr>
          <w:p w:rsidR="009B5602" w:rsidRDefault="009B5602">
            <w:pPr>
              <w:spacing w:after="0" w:line="240" w:lineRule="auto"/>
              <w:jc w:val="center"/>
              <w:rPr>
                <w:rFonts w:ascii="Times New Roman" w:eastAsia="Times New Roman" w:hAnsi="Times New Roman"/>
                <w:b/>
                <w:noProof/>
                <w:sz w:val="20"/>
                <w:szCs w:val="20"/>
              </w:rPr>
            </w:pPr>
          </w:p>
        </w:tc>
        <w:tc>
          <w:tcPr>
            <w:tcW w:w="1276"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Enota merjenja</w:t>
            </w:r>
          </w:p>
        </w:tc>
        <w:tc>
          <w:tcPr>
            <w:tcW w:w="992"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Izhodiščna raven</w:t>
            </w:r>
          </w:p>
        </w:tc>
        <w:tc>
          <w:tcPr>
            <w:tcW w:w="851"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Ciljna raven</w:t>
            </w:r>
          </w:p>
        </w:tc>
        <w:tc>
          <w:tcPr>
            <w:tcW w:w="992"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Četrtletje</w:t>
            </w:r>
          </w:p>
        </w:tc>
        <w:tc>
          <w:tcPr>
            <w:tcW w:w="992"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Leto</w:t>
            </w:r>
          </w:p>
        </w:tc>
        <w:tc>
          <w:tcPr>
            <w:tcW w:w="4835" w:type="dxa"/>
            <w:vMerge/>
            <w:tcBorders>
              <w:left w:val="nil"/>
              <w:bottom w:val="single" w:sz="4" w:space="0" w:color="auto"/>
              <w:right w:val="single" w:sz="4" w:space="0" w:color="auto"/>
            </w:tcBorders>
            <w:shd w:val="clear" w:color="auto" w:fill="BDD7EE"/>
            <w:vAlign w:val="center"/>
            <w:hideMark/>
          </w:tcPr>
          <w:p w:rsidR="009B5602" w:rsidRDefault="009B5602">
            <w:pPr>
              <w:spacing w:after="0" w:line="240" w:lineRule="auto"/>
              <w:jc w:val="center"/>
              <w:rPr>
                <w:rFonts w:ascii="Times New Roman" w:eastAsia="Times New Roman" w:hAnsi="Times New Roman"/>
                <w:b/>
                <w:noProof/>
                <w:sz w:val="20"/>
                <w:szCs w:val="20"/>
              </w:rPr>
            </w:pPr>
          </w:p>
        </w:tc>
      </w:tr>
      <w:tr w:rsidR="009B5602">
        <w:trPr>
          <w:trHeight w:val="2728"/>
        </w:trPr>
        <w:tc>
          <w:tcPr>
            <w:tcW w:w="851"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w:t>
            </w:r>
          </w:p>
        </w:tc>
        <w:tc>
          <w:tcPr>
            <w:tcW w:w="127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1 – Obnovljivi viri energije in energetska infrastruktura – Reforma 1: Prilagoditev pravnega okvira za električno energijo</w:t>
            </w:r>
          </w:p>
        </w:tc>
        <w:tc>
          <w:tcPr>
            <w:tcW w:w="1134"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385724"/>
                <w:sz w:val="20"/>
                <w:szCs w:val="20"/>
              </w:rPr>
            </w:pPr>
            <w:r>
              <w:rPr>
                <w:rFonts w:ascii="Times New Roman" w:hAnsi="Times New Roman"/>
                <w:noProof/>
                <w:color w:val="385724"/>
                <w:sz w:val="20"/>
                <w:szCs w:val="20"/>
              </w:rPr>
              <w:t xml:space="preserve">Reforma </w:t>
            </w:r>
            <w:r>
              <w:rPr>
                <w:rFonts w:ascii="Times New Roman" w:hAnsi="Times New Roman"/>
                <w:noProof/>
                <w:color w:val="385724"/>
                <w:sz w:val="20"/>
                <w:szCs w:val="20"/>
              </w:rPr>
              <w:t>trga z električno energijo</w:t>
            </w:r>
          </w:p>
          <w:p w:rsidR="009B5602" w:rsidRDefault="009B5602">
            <w:pPr>
              <w:spacing w:after="0" w:line="240" w:lineRule="auto"/>
              <w:rPr>
                <w:rFonts w:ascii="Times New Roman" w:eastAsia="Times New Roman" w:hAnsi="Times New Roman"/>
                <w:noProof/>
                <w:color w:val="385724"/>
                <w:sz w:val="20"/>
                <w:szCs w:val="20"/>
              </w:rPr>
            </w:pPr>
          </w:p>
          <w:p w:rsidR="009B5602" w:rsidRDefault="009B5602">
            <w:pPr>
              <w:spacing w:after="0" w:line="240" w:lineRule="auto"/>
              <w:rPr>
                <w:rFonts w:ascii="Times New Roman" w:eastAsia="Times New Roman" w:hAnsi="Times New Roman"/>
                <w:noProof/>
                <w:color w:val="385724"/>
                <w:sz w:val="20"/>
                <w:szCs w:val="20"/>
              </w:rPr>
            </w:pPr>
          </w:p>
          <w:p w:rsidR="009B5602" w:rsidRDefault="009B5602">
            <w:pPr>
              <w:spacing w:after="0" w:line="240" w:lineRule="auto"/>
              <w:rPr>
                <w:rFonts w:ascii="Times New Roman" w:eastAsia="Times New Roman" w:hAnsi="Times New Roman"/>
                <w:noProof/>
                <w:color w:val="385724"/>
                <w:sz w:val="20"/>
                <w:szCs w:val="20"/>
              </w:rPr>
            </w:pPr>
          </w:p>
          <w:p w:rsidR="009B5602" w:rsidRDefault="009B5602">
            <w:pPr>
              <w:spacing w:after="0" w:line="240" w:lineRule="auto"/>
              <w:rPr>
                <w:rFonts w:ascii="Times New Roman" w:eastAsia="Times New Roman" w:hAnsi="Times New Roman"/>
                <w:noProof/>
                <w:color w:val="385724"/>
                <w:sz w:val="20"/>
                <w:szCs w:val="20"/>
              </w:rPr>
            </w:pPr>
          </w:p>
        </w:tc>
        <w:tc>
          <w:tcPr>
            <w:tcW w:w="1701"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rPr>
                <w:rFonts w:ascii="Times New Roman" w:eastAsia="Times New Roman" w:hAnsi="Times New Roman"/>
                <w:noProof/>
                <w:color w:val="006100"/>
                <w:sz w:val="20"/>
                <w:szCs w:val="20"/>
              </w:rPr>
            </w:pPr>
          </w:p>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Začetek veljavnosti zakonodajnih sprememb Zakona o energetiki in zakona o regulaciji v omrežni industriji</w:t>
            </w:r>
          </w:p>
          <w:p w:rsidR="009B5602" w:rsidRDefault="009B5602">
            <w:pPr>
              <w:spacing w:after="0" w:line="240" w:lineRule="auto"/>
              <w:rPr>
                <w:rFonts w:ascii="Times New Roman" w:eastAsia="Times New Roman" w:hAnsi="Times New Roman"/>
                <w:noProof/>
                <w:color w:val="006100"/>
                <w:sz w:val="20"/>
                <w:szCs w:val="20"/>
              </w:rPr>
            </w:pPr>
          </w:p>
          <w:p w:rsidR="009B5602" w:rsidRDefault="009B5602">
            <w:pPr>
              <w:spacing w:after="0" w:line="240" w:lineRule="auto"/>
              <w:rPr>
                <w:rFonts w:ascii="Times New Roman" w:eastAsia="Times New Roman" w:hAnsi="Times New Roman"/>
                <w:noProof/>
                <w:color w:val="006100"/>
                <w:sz w:val="20"/>
                <w:szCs w:val="20"/>
              </w:rPr>
            </w:pPr>
          </w:p>
          <w:p w:rsidR="009B5602" w:rsidRDefault="009B5602">
            <w:pPr>
              <w:spacing w:after="0" w:line="240" w:lineRule="auto"/>
              <w:rPr>
                <w:rFonts w:ascii="Times New Roman" w:eastAsia="Times New Roman" w:hAnsi="Times New Roman"/>
                <w:noProof/>
                <w:color w:val="006100"/>
                <w:sz w:val="20"/>
                <w:szCs w:val="20"/>
              </w:rPr>
            </w:pPr>
          </w:p>
        </w:tc>
        <w:tc>
          <w:tcPr>
            <w:tcW w:w="127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483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Pravni okvir se spremeni z dopolnitvijo Zakona št. 251/2012 zb. o energiji in zakona 250/2012 zb. o r</w:t>
            </w:r>
            <w:r>
              <w:rPr>
                <w:rFonts w:ascii="Times New Roman" w:hAnsi="Times New Roman"/>
                <w:noProof/>
                <w:color w:val="006100"/>
                <w:sz w:val="20"/>
                <w:szCs w:val="20"/>
              </w:rPr>
              <w:t xml:space="preserve">egulaciji v omrežnih panogah za prenos Direktive 2019/944. Poleg tega posodobljeni pravni okvir olajša nove dejavnosti in dostop udeležencev do trga z električno energijo (energetske skupnosti, združevalec, samoporabnik, shranjevanje električne energije), </w:t>
            </w:r>
            <w:r>
              <w:rPr>
                <w:rFonts w:ascii="Times New Roman" w:hAnsi="Times New Roman"/>
                <w:noProof/>
                <w:color w:val="006100"/>
                <w:sz w:val="20"/>
                <w:szCs w:val="20"/>
              </w:rPr>
              <w:t>hkrati pa povečuje splošno prožnost elektroenergetskega sistema in izboljšuje možnosti za priključitev novih obnovljivih virov energije na slovaško omrežje.</w:t>
            </w:r>
          </w:p>
        </w:tc>
      </w:tr>
      <w:tr w:rsidR="009B5602">
        <w:trPr>
          <w:trHeight w:val="313"/>
        </w:trPr>
        <w:tc>
          <w:tcPr>
            <w:tcW w:w="851"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w:t>
            </w:r>
          </w:p>
        </w:tc>
        <w:tc>
          <w:tcPr>
            <w:tcW w:w="127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 – Obnovljivi viri energije in energetska infrastruktura – Reforma 1: Prilagoditev pravnega okvira za električno energijo </w:t>
            </w:r>
          </w:p>
        </w:tc>
        <w:tc>
          <w:tcPr>
            <w:tcW w:w="1134"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385724"/>
                <w:sz w:val="20"/>
                <w:szCs w:val="20"/>
              </w:rPr>
            </w:pPr>
            <w:r>
              <w:rPr>
                <w:rFonts w:ascii="Times New Roman" w:hAnsi="Times New Roman"/>
                <w:noProof/>
                <w:color w:val="385724"/>
                <w:sz w:val="20"/>
                <w:szCs w:val="20"/>
              </w:rPr>
              <w:t xml:space="preserve">Sprostitev omejitev tehničnih zmogljivosti za prenos električne energije v slovaškem elektroenergetskem sistemu </w:t>
            </w:r>
          </w:p>
        </w:tc>
        <w:tc>
          <w:tcPr>
            <w:tcW w:w="1701"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rPr>
                <w:rFonts w:ascii="Times New Roman" w:eastAsia="Times New Roman" w:hAnsi="Times New Roman"/>
                <w:noProof/>
                <w:color w:val="385724"/>
                <w:sz w:val="20"/>
                <w:szCs w:val="20"/>
              </w:rPr>
            </w:pPr>
          </w:p>
          <w:p w:rsidR="009B5602" w:rsidRDefault="009B5602">
            <w:pPr>
              <w:spacing w:after="0" w:line="240" w:lineRule="auto"/>
              <w:rPr>
                <w:rFonts w:ascii="Times New Roman" w:eastAsia="Times New Roman" w:hAnsi="Times New Roman"/>
                <w:noProof/>
                <w:color w:val="385724"/>
                <w:sz w:val="20"/>
                <w:szCs w:val="20"/>
              </w:rPr>
            </w:pPr>
          </w:p>
          <w:p w:rsidR="009B5602" w:rsidRDefault="00886830">
            <w:pPr>
              <w:spacing w:after="0" w:line="240" w:lineRule="auto"/>
              <w:rPr>
                <w:rFonts w:ascii="Times New Roman" w:eastAsia="Times New Roman" w:hAnsi="Times New Roman"/>
                <w:noProof/>
                <w:color w:val="385724"/>
                <w:sz w:val="20"/>
                <w:szCs w:val="20"/>
              </w:rPr>
            </w:pPr>
            <w:r>
              <w:rPr>
                <w:rFonts w:ascii="Times New Roman" w:hAnsi="Times New Roman"/>
                <w:noProof/>
                <w:color w:val="385724"/>
                <w:sz w:val="20"/>
                <w:szCs w:val="20"/>
              </w:rPr>
              <w:t xml:space="preserve">Skupna javna izjava Ministrstva za gospodarstvo in slovaškega operaterja prenosnega sistema </w:t>
            </w:r>
            <w:r>
              <w:rPr>
                <w:rFonts w:ascii="Times New Roman" w:hAnsi="Times New Roman"/>
                <w:i/>
                <w:iCs/>
                <w:noProof/>
                <w:color w:val="385724"/>
                <w:sz w:val="20"/>
                <w:szCs w:val="20"/>
              </w:rPr>
              <w:t>Slovenská elektrizačná prenosová sústava, a.s.</w:t>
            </w:r>
            <w:r>
              <w:rPr>
                <w:rFonts w:ascii="Times New Roman" w:hAnsi="Times New Roman"/>
                <w:noProof/>
                <w:color w:val="385724"/>
                <w:sz w:val="20"/>
                <w:szCs w:val="20"/>
              </w:rPr>
              <w:t xml:space="preserve"> </w:t>
            </w:r>
          </w:p>
          <w:p w:rsidR="009B5602" w:rsidRDefault="009B5602">
            <w:pPr>
              <w:spacing w:after="0" w:line="240" w:lineRule="auto"/>
              <w:rPr>
                <w:rFonts w:ascii="Times New Roman" w:eastAsia="Times New Roman" w:hAnsi="Times New Roman"/>
                <w:noProof/>
                <w:color w:val="385724"/>
                <w:sz w:val="20"/>
                <w:szCs w:val="20"/>
              </w:rPr>
            </w:pPr>
          </w:p>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385724"/>
                <w:sz w:val="20"/>
                <w:szCs w:val="20"/>
              </w:rPr>
              <w:t xml:space="preserve"> </w:t>
            </w:r>
          </w:p>
        </w:tc>
        <w:tc>
          <w:tcPr>
            <w:tcW w:w="127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tcPr>
          <w:p w:rsidR="009B5602" w:rsidRDefault="009B5602">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noWrap/>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Q2</w:t>
            </w:r>
          </w:p>
          <w:p w:rsidR="009B5602" w:rsidRDefault="009B5602">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2021</w:t>
            </w:r>
          </w:p>
        </w:tc>
        <w:tc>
          <w:tcPr>
            <w:tcW w:w="4835"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both"/>
              <w:rPr>
                <w:rFonts w:ascii="Times New Roman" w:eastAsia="Times New Roman" w:hAnsi="Times New Roman"/>
                <w:noProof/>
                <w:color w:val="006100"/>
                <w:sz w:val="20"/>
                <w:szCs w:val="20"/>
              </w:rPr>
            </w:pPr>
          </w:p>
          <w:p w:rsidR="009B5602" w:rsidRDefault="00886830">
            <w:pPr>
              <w:spacing w:after="0" w:line="240" w:lineRule="auto"/>
              <w:jc w:val="both"/>
              <w:rPr>
                <w:rFonts w:ascii="Times New Roman" w:hAnsi="Times New Roman"/>
                <w:noProof/>
                <w:color w:val="006100"/>
                <w:sz w:val="20"/>
                <w:szCs w:val="20"/>
              </w:rPr>
            </w:pPr>
            <w:r>
              <w:rPr>
                <w:rFonts w:ascii="Times New Roman" w:hAnsi="Times New Roman"/>
                <w:noProof/>
                <w:color w:val="006100"/>
                <w:sz w:val="20"/>
                <w:szCs w:val="20"/>
              </w:rPr>
              <w:t>Slovaško ministrstvo za gospodarstvo in slovaški operater prenosnega sistema električne energije Sl</w:t>
            </w:r>
            <w:r>
              <w:rPr>
                <w:rFonts w:ascii="Times New Roman" w:hAnsi="Times New Roman"/>
                <w:noProof/>
                <w:color w:val="006100"/>
                <w:sz w:val="20"/>
                <w:szCs w:val="20"/>
              </w:rPr>
              <w:t>ovenská elektrizačná prenosová sústava, a.s. razglasita sprostitev omejitev tehničnih zmogljivosti za prenos električne energije znotraj slovaškega elektroenergetskega sistema in povečanje zmogljivosti za priključitev obnovljivih virov energije na omrežje.</w:t>
            </w:r>
            <w:r>
              <w:rPr>
                <w:rFonts w:ascii="Times New Roman" w:hAnsi="Times New Roman"/>
                <w:noProof/>
                <w:color w:val="006100"/>
                <w:sz w:val="20"/>
                <w:szCs w:val="20"/>
              </w:rPr>
              <w:t xml:space="preserve"> Ukrep se olajša s povečanjem neto prenosne zmogljivosti prenosnih povezav z Republiko Madžarsko.</w:t>
            </w:r>
          </w:p>
          <w:p w:rsidR="009B5602" w:rsidRDefault="009B5602">
            <w:pPr>
              <w:spacing w:after="0" w:line="240" w:lineRule="auto"/>
              <w:jc w:val="both"/>
              <w:rPr>
                <w:rFonts w:ascii="Times New Roman" w:eastAsia="Times New Roman" w:hAnsi="Times New Roman"/>
                <w:noProof/>
                <w:color w:val="006100"/>
                <w:sz w:val="20"/>
                <w:szCs w:val="20"/>
              </w:rPr>
            </w:pPr>
          </w:p>
        </w:tc>
      </w:tr>
      <w:tr w:rsidR="009B5602">
        <w:trPr>
          <w:trHeight w:val="1779"/>
        </w:trPr>
        <w:tc>
          <w:tcPr>
            <w:tcW w:w="851"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3</w:t>
            </w:r>
          </w:p>
        </w:tc>
        <w:tc>
          <w:tcPr>
            <w:tcW w:w="127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1 – Obnovljivi viri energije in energetska infrastruktura – Reforma 2: Pravni okvir za spodbujanje obnovljivih virov energije</w:t>
            </w:r>
          </w:p>
        </w:tc>
        <w:tc>
          <w:tcPr>
            <w:tcW w:w="1134"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385724"/>
                <w:sz w:val="20"/>
                <w:szCs w:val="20"/>
              </w:rPr>
            </w:pPr>
            <w:r>
              <w:rPr>
                <w:rFonts w:ascii="Times New Roman" w:hAnsi="Times New Roman"/>
                <w:noProof/>
                <w:color w:val="385724"/>
                <w:sz w:val="20"/>
                <w:szCs w:val="20"/>
              </w:rPr>
              <w:t xml:space="preserve">Okvir za podporo naložbam v nove obnovljive vire energije </w:t>
            </w:r>
          </w:p>
        </w:tc>
        <w:tc>
          <w:tcPr>
            <w:tcW w:w="170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Začetek veljavnosti zakonodajnih sprememb Zakona o spodbujanju obnovljivih virov energije in soproizvodnje z visokim izkoristkom ter Zakona o toplotni energiji. </w:t>
            </w:r>
          </w:p>
          <w:p w:rsidR="009B5602" w:rsidRDefault="009B5602">
            <w:pPr>
              <w:spacing w:after="0" w:line="240" w:lineRule="auto"/>
              <w:rPr>
                <w:rFonts w:ascii="Times New Roman" w:eastAsia="Times New Roman" w:hAnsi="Times New Roman"/>
                <w:noProof/>
                <w:color w:val="006100"/>
                <w:sz w:val="20"/>
                <w:szCs w:val="20"/>
              </w:rPr>
            </w:pPr>
          </w:p>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Ministrstvo za gospodarstvo sprejme dolgoročni načrt dražbe   </w:t>
            </w:r>
          </w:p>
          <w:p w:rsidR="009B5602" w:rsidRDefault="009B5602">
            <w:pPr>
              <w:spacing w:after="0" w:line="240" w:lineRule="auto"/>
              <w:rPr>
                <w:rFonts w:ascii="Times New Roman" w:eastAsia="Times New Roman" w:hAnsi="Times New Roman"/>
                <w:noProof/>
                <w:color w:val="006100"/>
                <w:sz w:val="20"/>
                <w:szCs w:val="20"/>
              </w:rPr>
            </w:pPr>
          </w:p>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Sprejetje naložbenih shem s strani Ministrstva za gospodarstvo za spodbujanje</w:t>
            </w:r>
          </w:p>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novih virov električne energije iz obnovljivih virov energije (opredeljenih v naložbi 1), naložb v obnovitev zmogl</w:t>
            </w:r>
            <w:r>
              <w:rPr>
                <w:rFonts w:ascii="Times New Roman" w:hAnsi="Times New Roman"/>
                <w:noProof/>
                <w:color w:val="006100"/>
                <w:sz w:val="20"/>
                <w:szCs w:val="20"/>
              </w:rPr>
              <w:t xml:space="preserve">jivosti (opredeljene v naložbi 2) in naložb, ki povečujejo prožnost elektroenergetskega sistema </w:t>
            </w:r>
          </w:p>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(opredeljeno v naložbi 3)</w:t>
            </w:r>
          </w:p>
          <w:p w:rsidR="009B5602" w:rsidRDefault="009B5602">
            <w:pPr>
              <w:spacing w:before="120" w:after="0" w:line="240" w:lineRule="auto"/>
              <w:jc w:val="both"/>
              <w:rPr>
                <w:rFonts w:ascii="Times New Roman" w:eastAsia="Times New Roman" w:hAnsi="Times New Roman"/>
                <w:noProof/>
                <w:color w:val="006100"/>
                <w:sz w:val="20"/>
                <w:szCs w:val="20"/>
              </w:rPr>
            </w:pPr>
          </w:p>
          <w:p w:rsidR="009B5602" w:rsidRDefault="009B5602">
            <w:pPr>
              <w:spacing w:before="120" w:after="0" w:line="240" w:lineRule="auto"/>
              <w:jc w:val="both"/>
              <w:rPr>
                <w:rFonts w:ascii="Times New Roman" w:eastAsia="Times New Roman" w:hAnsi="Times New Roman"/>
                <w:noProof/>
                <w:color w:val="006100"/>
                <w:sz w:val="20"/>
                <w:szCs w:val="20"/>
              </w:rPr>
            </w:pPr>
          </w:p>
          <w:p w:rsidR="009B5602" w:rsidRDefault="009B5602">
            <w:pPr>
              <w:spacing w:after="0" w:line="240" w:lineRule="auto"/>
              <w:rPr>
                <w:rFonts w:ascii="Times New Roman" w:eastAsia="Times New Roman" w:hAnsi="Times New Roman"/>
                <w:noProof/>
                <w:color w:val="006100"/>
                <w:sz w:val="20"/>
                <w:szCs w:val="20"/>
              </w:rPr>
            </w:pPr>
          </w:p>
        </w:tc>
        <w:tc>
          <w:tcPr>
            <w:tcW w:w="127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4835"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both"/>
              <w:rPr>
                <w:rFonts w:ascii="Times New Roman" w:eastAsia="Times New Roman" w:hAnsi="Times New Roman"/>
                <w:noProof/>
                <w:color w:val="006100"/>
                <w:sz w:val="20"/>
                <w:szCs w:val="20"/>
              </w:rPr>
            </w:pPr>
          </w:p>
          <w:p w:rsidR="009B5602" w:rsidRDefault="009B5602">
            <w:pPr>
              <w:spacing w:after="0" w:line="240" w:lineRule="auto"/>
              <w:jc w:val="both"/>
              <w:rPr>
                <w:rFonts w:ascii="Times New Roman" w:eastAsia="Times New Roman" w:hAnsi="Times New Roman"/>
                <w:noProof/>
                <w:color w:val="006100"/>
                <w:sz w:val="20"/>
                <w:szCs w:val="20"/>
              </w:rPr>
            </w:pPr>
          </w:p>
          <w:p w:rsidR="009B5602" w:rsidRDefault="00886830">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Zakonodajne spremembe vzpostavljajo podporne mehanizme za povečanje deleža obnovljivih virov energije v prometnem,</w:t>
            </w:r>
            <w:r>
              <w:rPr>
                <w:rFonts w:ascii="Times New Roman" w:hAnsi="Times New Roman"/>
                <w:noProof/>
                <w:color w:val="006100"/>
                <w:sz w:val="20"/>
                <w:szCs w:val="20"/>
              </w:rPr>
              <w:t xml:space="preserve"> elektroenergetskem in ogrevalnem sektorju. Pravni okvir se spremeni z dopolnitvijo Zakona št. 309/2009 zb. o spodbujanju obnovljivih virov energije in soproizvodnje z visokim izkoristkom ter Zakona 657/2004 zb. o toplotni energiji. </w:t>
            </w:r>
          </w:p>
          <w:p w:rsidR="009B5602" w:rsidRDefault="009B5602">
            <w:pPr>
              <w:spacing w:after="0" w:line="240" w:lineRule="auto"/>
              <w:jc w:val="both"/>
              <w:rPr>
                <w:rFonts w:ascii="Times New Roman" w:eastAsia="Times New Roman" w:hAnsi="Times New Roman"/>
                <w:noProof/>
                <w:color w:val="006100"/>
                <w:sz w:val="20"/>
                <w:szCs w:val="20"/>
              </w:rPr>
            </w:pPr>
          </w:p>
          <w:p w:rsidR="009B5602" w:rsidRDefault="00886830">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 xml:space="preserve">Ministrstvo za </w:t>
            </w:r>
            <w:r>
              <w:rPr>
                <w:rFonts w:ascii="Times New Roman" w:hAnsi="Times New Roman"/>
                <w:noProof/>
                <w:color w:val="006100"/>
                <w:sz w:val="20"/>
                <w:szCs w:val="20"/>
              </w:rPr>
              <w:t>gospodarstvo sprejme dolgoročni načrt dražbe novih obnovljivih virov, ki prispeva k   boljši predvidljivosti povečanja zmogljivosti novih zmogljivosti za proizvodnjo energije iz obnovljivih virov.</w:t>
            </w:r>
          </w:p>
          <w:p w:rsidR="009B5602" w:rsidRDefault="00886830">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w:t>
            </w:r>
          </w:p>
          <w:p w:rsidR="009B5602" w:rsidRDefault="00886830">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 xml:space="preserve">Ministrstvo za gospodarstvo sprejme nov dražbeni sistem </w:t>
            </w:r>
            <w:r>
              <w:rPr>
                <w:rFonts w:ascii="Times New Roman" w:hAnsi="Times New Roman"/>
                <w:noProof/>
                <w:color w:val="006100"/>
                <w:sz w:val="20"/>
                <w:szCs w:val="20"/>
              </w:rPr>
              <w:t>za nove vire električne energije iz obnovljivih virov energije (opredeljen v naložbi 1), podporne programe za naložbe v obnovitev električne energije (opredeljene v naložbi 2) in povečanje prožnosti elektroenergetskega sistema (opredeljen v naložbi 3). She</w:t>
            </w:r>
            <w:r>
              <w:rPr>
                <w:rFonts w:ascii="Times New Roman" w:hAnsi="Times New Roman"/>
                <w:noProof/>
                <w:color w:val="006100"/>
                <w:sz w:val="20"/>
                <w:szCs w:val="20"/>
              </w:rPr>
              <w:t>me podrobno opredeljujejo merila za upravičenost podprtih podjetij, pri čemer zagotavljajo skladnost podprtih dejavnosti in/ali podjetij s pravnim redom EU in nacionalnim okoljskim pravnim redom ter tehničnimi smernicami za uporabo načela, da se ne škoduje</w:t>
            </w:r>
            <w:r>
              <w:rPr>
                <w:rFonts w:ascii="Times New Roman" w:hAnsi="Times New Roman"/>
                <w:noProof/>
                <w:color w:val="006100"/>
                <w:sz w:val="20"/>
                <w:szCs w:val="20"/>
              </w:rPr>
              <w:t xml:space="preserve"> bistveno (2021/C58/01), hkrati pa povečujejo nove zmogljivosti OVE, kot je podrobno opisano v ustreznih ciljih (za naložbe 1, 2 in 3). Projekti biomase dosegajo vsaj 80-odstotni prihranek emisij toplogrednih plinov v skladu z metodologijo za prihranek top</w:t>
            </w:r>
            <w:r>
              <w:rPr>
                <w:rFonts w:ascii="Times New Roman" w:hAnsi="Times New Roman"/>
                <w:noProof/>
                <w:color w:val="006100"/>
                <w:sz w:val="20"/>
                <w:szCs w:val="20"/>
              </w:rPr>
              <w:t>logrednih plinov in relativno primerjalno fosilno energijo iz Priloge VI k Direktivi (EU) 2018/2001. Podpirajo se samo naložbe v vodno energijo, ki so v skladu s pravnim redom EU.</w:t>
            </w:r>
          </w:p>
          <w:p w:rsidR="009B5602" w:rsidRDefault="009B5602">
            <w:pPr>
              <w:spacing w:after="0" w:line="240" w:lineRule="auto"/>
              <w:jc w:val="both"/>
              <w:rPr>
                <w:rFonts w:ascii="Times New Roman" w:eastAsia="Times New Roman" w:hAnsi="Times New Roman"/>
                <w:noProof/>
                <w:color w:val="006100"/>
                <w:sz w:val="20"/>
                <w:szCs w:val="20"/>
              </w:rPr>
            </w:pPr>
          </w:p>
          <w:p w:rsidR="009B5602" w:rsidRDefault="009B5602">
            <w:pPr>
              <w:spacing w:after="0" w:line="240" w:lineRule="auto"/>
              <w:rPr>
                <w:rFonts w:ascii="Times New Roman" w:eastAsia="Times New Roman" w:hAnsi="Times New Roman"/>
                <w:noProof/>
                <w:color w:val="006100"/>
                <w:sz w:val="20"/>
                <w:szCs w:val="20"/>
                <w:highlight w:val="yellow"/>
              </w:rPr>
            </w:pPr>
          </w:p>
          <w:p w:rsidR="009B5602" w:rsidRDefault="009B5602">
            <w:pPr>
              <w:spacing w:after="0" w:line="240" w:lineRule="auto"/>
              <w:jc w:val="both"/>
              <w:rPr>
                <w:rFonts w:ascii="Times New Roman" w:eastAsia="Times New Roman" w:hAnsi="Times New Roman"/>
                <w:noProof/>
                <w:color w:val="006100"/>
                <w:sz w:val="20"/>
                <w:szCs w:val="20"/>
              </w:rPr>
            </w:pPr>
          </w:p>
        </w:tc>
      </w:tr>
      <w:tr w:rsidR="009B5602">
        <w:trPr>
          <w:trHeight w:val="732"/>
        </w:trPr>
        <w:tc>
          <w:tcPr>
            <w:tcW w:w="851"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4</w:t>
            </w:r>
          </w:p>
        </w:tc>
        <w:tc>
          <w:tcPr>
            <w:tcW w:w="127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1 – Obnovljivi viri energije in energetska infrastruktura – Naložba 1:</w:t>
            </w:r>
            <w:r>
              <w:rPr>
                <w:rFonts w:ascii="Times New Roman" w:hAnsi="Times New Roman"/>
                <w:noProof/>
                <w:color w:val="006100"/>
                <w:sz w:val="20"/>
                <w:szCs w:val="20"/>
              </w:rPr>
              <w:t xml:space="preserve">  Izgradnja novih obnovljivih virov električne energije</w:t>
            </w:r>
          </w:p>
          <w:p w:rsidR="009B5602" w:rsidRDefault="009B5602">
            <w:pPr>
              <w:spacing w:after="0" w:line="240" w:lineRule="auto"/>
              <w:rPr>
                <w:rFonts w:ascii="Times New Roman" w:eastAsia="Times New Roman" w:hAnsi="Times New Roman"/>
                <w:noProof/>
                <w:color w:val="006100"/>
                <w:sz w:val="20"/>
                <w:szCs w:val="20"/>
              </w:rPr>
            </w:pPr>
          </w:p>
          <w:p w:rsidR="009B5602" w:rsidRDefault="009B5602">
            <w:pPr>
              <w:spacing w:after="0" w:line="240" w:lineRule="auto"/>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385724"/>
                <w:sz w:val="20"/>
                <w:szCs w:val="20"/>
              </w:rPr>
            </w:pPr>
            <w:r>
              <w:rPr>
                <w:rFonts w:ascii="Times New Roman" w:hAnsi="Times New Roman"/>
                <w:noProof/>
                <w:color w:val="385724"/>
                <w:sz w:val="20"/>
                <w:szCs w:val="20"/>
              </w:rPr>
              <w:t xml:space="preserve">Zmogljivost novih obnovljivih virov energije  </w:t>
            </w:r>
          </w:p>
        </w:tc>
        <w:tc>
          <w:tcPr>
            <w:tcW w:w="170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7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MW</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0</w:t>
            </w:r>
          </w:p>
        </w:tc>
        <w:tc>
          <w:tcPr>
            <w:tcW w:w="851"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120</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Q2</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4835"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rPr>
                <w:rFonts w:ascii="Times New Roman" w:eastAsia="Times New Roman" w:hAnsi="Times New Roman"/>
                <w:noProof/>
                <w:color w:val="006100"/>
                <w:sz w:val="20"/>
                <w:szCs w:val="20"/>
              </w:rPr>
            </w:pPr>
          </w:p>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Od splošnega cilja povečanja nove zmogljivosti za proizvodnjo električne energije iz obnovljivih virov za 122,4 MW bo program podpore v okviru ukrepa zagotovil vsaj 120 MW novih zmogljivosti obnovljivih virov električne energije, priključenih na omrežje. </w:t>
            </w:r>
          </w:p>
          <w:p w:rsidR="009B5602" w:rsidRDefault="009B5602">
            <w:pPr>
              <w:spacing w:after="0" w:line="240" w:lineRule="auto"/>
              <w:rPr>
                <w:rFonts w:ascii="Times New Roman" w:eastAsia="Times New Roman" w:hAnsi="Times New Roman"/>
                <w:noProof/>
                <w:color w:val="006100"/>
                <w:sz w:val="20"/>
                <w:szCs w:val="20"/>
              </w:rPr>
            </w:pPr>
          </w:p>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Podporni mehanizem ima obliko dražb za podporo naložbam za nove vire električne energije iz obnovljivih virov energije. Program podpore upošteva pogoje za naložbene politike, kot so določeni v mejniku 3 („1 – Obnovljivi viri energije in energetska infrast</w:t>
            </w:r>
            <w:r>
              <w:rPr>
                <w:rFonts w:ascii="Times New Roman" w:hAnsi="Times New Roman"/>
                <w:noProof/>
                <w:color w:val="006100"/>
                <w:sz w:val="20"/>
                <w:szCs w:val="20"/>
              </w:rPr>
              <w:t>ruktura – Reforma 2:  Pravni okvir za spodbujanje obnovljivih virov energije“).</w:t>
            </w:r>
          </w:p>
          <w:p w:rsidR="009B5602" w:rsidRDefault="009B5602">
            <w:pPr>
              <w:spacing w:after="0" w:line="240" w:lineRule="auto"/>
              <w:rPr>
                <w:rFonts w:ascii="Times New Roman" w:eastAsia="Times New Roman" w:hAnsi="Times New Roman"/>
                <w:noProof/>
                <w:color w:val="006100"/>
                <w:sz w:val="20"/>
                <w:szCs w:val="20"/>
              </w:rPr>
            </w:pPr>
          </w:p>
        </w:tc>
      </w:tr>
      <w:tr w:rsidR="009B5602">
        <w:trPr>
          <w:trHeight w:val="448"/>
        </w:trPr>
        <w:tc>
          <w:tcPr>
            <w:tcW w:w="851"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5</w:t>
            </w:r>
          </w:p>
        </w:tc>
        <w:tc>
          <w:tcPr>
            <w:tcW w:w="127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1 – Obnovljivi viri energije in energetska infrastruktura – Naložba 2: Posodobitev obstoječih obnovljivih virov električne energije (repowering)</w:t>
            </w:r>
          </w:p>
          <w:p w:rsidR="009B5602" w:rsidRDefault="009B5602">
            <w:pPr>
              <w:spacing w:after="0" w:line="240" w:lineRule="auto"/>
              <w:rPr>
                <w:rFonts w:ascii="Times New Roman" w:eastAsia="Times New Roman" w:hAnsi="Times New Roman"/>
                <w:noProof/>
                <w:color w:val="006100"/>
                <w:sz w:val="20"/>
                <w:szCs w:val="20"/>
              </w:rPr>
            </w:pPr>
          </w:p>
          <w:p w:rsidR="009B5602" w:rsidRDefault="009B5602">
            <w:pPr>
              <w:spacing w:after="0" w:line="240" w:lineRule="auto"/>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385724"/>
                <w:sz w:val="20"/>
                <w:szCs w:val="20"/>
              </w:rPr>
            </w:pPr>
            <w:r>
              <w:rPr>
                <w:rFonts w:ascii="Times New Roman" w:hAnsi="Times New Roman"/>
                <w:noProof/>
                <w:color w:val="385724"/>
                <w:sz w:val="20"/>
                <w:szCs w:val="20"/>
              </w:rPr>
              <w:t xml:space="preserve">Obnovljena </w:t>
            </w:r>
            <w:r>
              <w:rPr>
                <w:rFonts w:ascii="Times New Roman" w:hAnsi="Times New Roman"/>
                <w:noProof/>
                <w:color w:val="385724"/>
                <w:sz w:val="20"/>
                <w:szCs w:val="20"/>
              </w:rPr>
              <w:t>zmogljivost obnovljivih virov energije</w:t>
            </w:r>
          </w:p>
        </w:tc>
        <w:tc>
          <w:tcPr>
            <w:tcW w:w="170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7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MW</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0</w:t>
            </w:r>
          </w:p>
        </w:tc>
        <w:tc>
          <w:tcPr>
            <w:tcW w:w="851"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100</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Q2</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4835"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both"/>
              <w:rPr>
                <w:rFonts w:ascii="Times New Roman" w:eastAsia="Times New Roman" w:hAnsi="Times New Roman"/>
                <w:noProof/>
                <w:color w:val="006100"/>
                <w:sz w:val="20"/>
                <w:szCs w:val="20"/>
              </w:rPr>
            </w:pPr>
          </w:p>
          <w:p w:rsidR="009B5602" w:rsidRDefault="00886830">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 xml:space="preserve">Vsaj 100 MW povečanja posodobljene zmogljivosti obnovljivih virov za proizvodnjo električne energije (repowering), ki je posledica priključitve moderniziranih obnovljivih virov električne energije </w:t>
            </w:r>
            <w:r>
              <w:rPr>
                <w:rFonts w:ascii="Times New Roman" w:hAnsi="Times New Roman"/>
                <w:noProof/>
                <w:color w:val="006100"/>
                <w:sz w:val="20"/>
                <w:szCs w:val="20"/>
              </w:rPr>
              <w:t>v omrežje v okviru ukrepa.</w:t>
            </w:r>
          </w:p>
          <w:p w:rsidR="009B5602" w:rsidRDefault="009B5602">
            <w:pPr>
              <w:spacing w:after="0" w:line="240" w:lineRule="auto"/>
              <w:jc w:val="both"/>
              <w:rPr>
                <w:rFonts w:ascii="Times New Roman" w:eastAsia="Times New Roman" w:hAnsi="Times New Roman"/>
                <w:noProof/>
                <w:color w:val="006100"/>
                <w:sz w:val="20"/>
                <w:szCs w:val="20"/>
              </w:rPr>
            </w:pPr>
          </w:p>
          <w:p w:rsidR="009B5602" w:rsidRDefault="00886830">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Podpora različnim vrstam posodobljene opreme se oceni ločeno ob upoštevanju načela stroškovne učinkovitosti. Posodobitev se nanaša na preoblikovanje obratov za pridobivanje bioplina in hidroelektrarn. Programi podpore upoštevajo</w:t>
            </w:r>
            <w:r>
              <w:rPr>
                <w:rFonts w:ascii="Times New Roman" w:hAnsi="Times New Roman"/>
                <w:noProof/>
                <w:color w:val="006100"/>
                <w:sz w:val="20"/>
                <w:szCs w:val="20"/>
              </w:rPr>
              <w:t xml:space="preserve"> pogoje za naložbene politike, kot so določeni v mejniku 3 („1 – Obnovljivi viri energije in energetska infrastruktura – Reforma 2:  Pravni okvir za spodbujanje obnovljivih virov energije“).</w:t>
            </w:r>
          </w:p>
          <w:p w:rsidR="009B5602" w:rsidRDefault="009B5602">
            <w:pPr>
              <w:spacing w:after="0" w:line="240" w:lineRule="auto"/>
              <w:rPr>
                <w:rFonts w:ascii="Times New Roman" w:eastAsia="Times New Roman" w:hAnsi="Times New Roman"/>
                <w:noProof/>
                <w:color w:val="006100"/>
                <w:sz w:val="20"/>
                <w:szCs w:val="20"/>
              </w:rPr>
            </w:pPr>
          </w:p>
        </w:tc>
      </w:tr>
      <w:tr w:rsidR="009B5602">
        <w:trPr>
          <w:trHeight w:val="882"/>
        </w:trPr>
        <w:tc>
          <w:tcPr>
            <w:tcW w:w="851"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6</w:t>
            </w:r>
          </w:p>
        </w:tc>
        <w:tc>
          <w:tcPr>
            <w:tcW w:w="127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 – Obnovljivi viri energije in energetska infrastruktura – Naložba 3: Povečanje prožnosti elektroenergetskih sistemov za večje vključevanje obnovljivih virov energije </w:t>
            </w:r>
          </w:p>
        </w:tc>
        <w:tc>
          <w:tcPr>
            <w:tcW w:w="1134"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385724"/>
                <w:sz w:val="20"/>
                <w:szCs w:val="20"/>
              </w:rPr>
            </w:pPr>
            <w:r>
              <w:rPr>
                <w:rFonts w:ascii="Times New Roman" w:hAnsi="Times New Roman"/>
                <w:noProof/>
                <w:color w:val="385724"/>
                <w:sz w:val="20"/>
                <w:szCs w:val="20"/>
              </w:rPr>
              <w:t xml:space="preserve">Skupno povečanje zmogljivosti naprav za povečanje prožnosti energetskih sistemov </w:t>
            </w:r>
          </w:p>
        </w:tc>
        <w:tc>
          <w:tcPr>
            <w:tcW w:w="170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7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MW</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0</w:t>
            </w:r>
          </w:p>
        </w:tc>
        <w:tc>
          <w:tcPr>
            <w:tcW w:w="851"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68</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385724"/>
                <w:sz w:val="20"/>
                <w:szCs w:val="20"/>
              </w:rPr>
            </w:pPr>
            <w:r>
              <w:rPr>
                <w:rFonts w:ascii="Times New Roman" w:hAnsi="Times New Roman"/>
                <w:noProof/>
                <w:color w:val="385724"/>
                <w:sz w:val="20"/>
                <w:szCs w:val="20"/>
              </w:rPr>
              <w:t>Q2</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4835"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both"/>
              <w:rPr>
                <w:rFonts w:ascii="Times New Roman" w:eastAsia="Times New Roman" w:hAnsi="Times New Roman"/>
                <w:noProof/>
                <w:color w:val="006100"/>
                <w:sz w:val="20"/>
                <w:szCs w:val="20"/>
              </w:rPr>
            </w:pPr>
          </w:p>
          <w:p w:rsidR="009B5602" w:rsidRDefault="00886830">
            <w:pPr>
              <w:spacing w:after="0" w:line="240" w:lineRule="auto"/>
              <w:jc w:val="both"/>
              <w:rPr>
                <w:rFonts w:ascii="Times New Roman" w:hAnsi="Times New Roman"/>
                <w:noProof/>
                <w:color w:val="006100"/>
                <w:sz w:val="20"/>
                <w:szCs w:val="20"/>
              </w:rPr>
            </w:pPr>
            <w:r>
              <w:rPr>
                <w:rFonts w:ascii="Times New Roman" w:hAnsi="Times New Roman"/>
                <w:noProof/>
                <w:color w:val="006100"/>
                <w:sz w:val="20"/>
                <w:szCs w:val="20"/>
              </w:rPr>
              <w:t>Povečanje novih objektov za skladiščenje električne energije za najmanj 68 MW, ki je posledica začetka obratovanja novih skladiščnih zmogljivosti v okviru ukrepa. Program podpira namestitev nove zmogljivosti akumulatorskih sistemov, name</w:t>
            </w:r>
            <w:r>
              <w:rPr>
                <w:rFonts w:ascii="Times New Roman" w:hAnsi="Times New Roman"/>
                <w:noProof/>
                <w:color w:val="006100"/>
                <w:sz w:val="20"/>
                <w:szCs w:val="20"/>
              </w:rPr>
              <w:t>stitev novih zmogljivosti vodikovih celic in povečanje zmogljivosti za izravnavo v hidroelektrarnah. Natančna razčlenitev cilja 68 MW bo odvisna od povpraševanja po ustreznih temah. Naložbe v izravnalno moč hidroelektrarn v okviru ukrepa ne presegajo 12 00</w:t>
            </w:r>
            <w:r>
              <w:rPr>
                <w:rFonts w:ascii="Times New Roman" w:hAnsi="Times New Roman"/>
                <w:noProof/>
                <w:color w:val="006100"/>
                <w:sz w:val="20"/>
                <w:szCs w:val="20"/>
              </w:rPr>
              <w:t>0 000 EUR.</w:t>
            </w:r>
          </w:p>
          <w:p w:rsidR="009B5602" w:rsidRDefault="009B5602">
            <w:pPr>
              <w:spacing w:after="0" w:line="240" w:lineRule="auto"/>
              <w:jc w:val="both"/>
              <w:rPr>
                <w:rFonts w:ascii="Times New Roman" w:eastAsia="Times New Roman" w:hAnsi="Times New Roman"/>
                <w:noProof/>
                <w:color w:val="006100"/>
                <w:sz w:val="20"/>
                <w:szCs w:val="20"/>
              </w:rPr>
            </w:pPr>
          </w:p>
          <w:p w:rsidR="009B5602" w:rsidRDefault="00886830">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Podpora se dodeli v okviru tehnološko specifičnih shem ob upoštevanju načela stroškovne učinkovitosti.  Programi podpore upoštevajo pogoje za naložbene politike, kot so določeni v mejniku 3 („1 – Obnovljivi viri energije in energetska infrastru</w:t>
            </w:r>
            <w:r>
              <w:rPr>
                <w:rFonts w:ascii="Times New Roman" w:hAnsi="Times New Roman"/>
                <w:noProof/>
                <w:color w:val="006100"/>
                <w:sz w:val="20"/>
                <w:szCs w:val="20"/>
              </w:rPr>
              <w:t>ktura – Reforma 2:  Pravni okvir za spodbujanje obnovljivih virov energije“).</w:t>
            </w:r>
          </w:p>
          <w:p w:rsidR="009B5602" w:rsidRDefault="009B5602">
            <w:pPr>
              <w:spacing w:after="0" w:line="240" w:lineRule="auto"/>
              <w:jc w:val="both"/>
              <w:rPr>
                <w:rFonts w:ascii="Times New Roman" w:eastAsia="Times New Roman" w:hAnsi="Times New Roman"/>
                <w:noProof/>
                <w:color w:val="006100"/>
                <w:sz w:val="20"/>
                <w:szCs w:val="20"/>
              </w:rPr>
            </w:pPr>
          </w:p>
          <w:p w:rsidR="009B5602" w:rsidRDefault="009B5602">
            <w:pPr>
              <w:spacing w:after="0" w:line="240" w:lineRule="auto"/>
              <w:rPr>
                <w:rFonts w:ascii="Times New Roman" w:eastAsia="Times New Roman" w:hAnsi="Times New Roman"/>
                <w:noProof/>
                <w:color w:val="006100"/>
                <w:sz w:val="20"/>
                <w:szCs w:val="20"/>
              </w:rPr>
            </w:pPr>
          </w:p>
        </w:tc>
      </w:tr>
    </w:tbl>
    <w:p w:rsidR="009B5602" w:rsidRDefault="009B5602">
      <w:pPr>
        <w:spacing w:before="120" w:after="120" w:line="240" w:lineRule="auto"/>
        <w:ind w:left="709"/>
        <w:jc w:val="both"/>
        <w:rPr>
          <w:rFonts w:ascii="Times New Roman" w:hAnsi="Times New Roman"/>
          <w:noProof/>
          <w:sz w:val="24"/>
          <w:szCs w:val="24"/>
        </w:rPr>
      </w:pPr>
    </w:p>
    <w:p w:rsidR="009B5602" w:rsidRPr="00886830" w:rsidRDefault="009B5602">
      <w:pPr>
        <w:spacing w:before="120" w:after="120" w:line="240" w:lineRule="auto"/>
        <w:ind w:left="709"/>
        <w:jc w:val="both"/>
        <w:rPr>
          <w:rFonts w:ascii="Times New Roman" w:hAnsi="Times New Roman"/>
          <w:noProof/>
          <w:sz w:val="24"/>
        </w:rPr>
        <w:sectPr w:rsidR="009B5602" w:rsidRPr="00886830">
          <w:headerReference w:type="even" r:id="rId24"/>
          <w:headerReference w:type="default" r:id="rId25"/>
          <w:footerReference w:type="even" r:id="rId26"/>
          <w:footerReference w:type="default" r:id="rId27"/>
          <w:headerReference w:type="first" r:id="rId28"/>
          <w:footerReference w:type="first" r:id="rId29"/>
          <w:pgSz w:w="16839" w:h="11907" w:orient="landscape" w:code="9"/>
          <w:pgMar w:top="568" w:right="720" w:bottom="720" w:left="720" w:header="709" w:footer="709" w:gutter="0"/>
          <w:cols w:space="720"/>
          <w:docGrid w:linePitch="360"/>
        </w:sectPr>
      </w:pPr>
    </w:p>
    <w:p w:rsidR="009B5602" w:rsidRDefault="00886830">
      <w:pPr>
        <w:keepNext/>
        <w:tabs>
          <w:tab w:val="left" w:pos="850"/>
        </w:tabs>
        <w:spacing w:before="120" w:after="120" w:line="240" w:lineRule="auto"/>
        <w:jc w:val="both"/>
        <w:outlineLvl w:val="0"/>
        <w:rPr>
          <w:rFonts w:ascii="Times New Roman" w:hAnsi="Times New Roman"/>
          <w:b/>
          <w:smallCaps/>
          <w:noProof/>
          <w:sz w:val="24"/>
          <w:szCs w:val="24"/>
        </w:rPr>
      </w:pPr>
      <w:r>
        <w:rPr>
          <w:rFonts w:ascii="Times New Roman" w:hAnsi="Times New Roman"/>
          <w:b/>
          <w:bCs/>
          <w:smallCaps/>
          <w:noProof/>
          <w:sz w:val="24"/>
          <w:szCs w:val="24"/>
        </w:rPr>
        <w:t>KOMPONENTA 2: Prenova stavb</w:t>
      </w:r>
    </w:p>
    <w:p w:rsidR="009B5602" w:rsidRDefault="00886830">
      <w:pPr>
        <w:spacing w:before="120" w:after="120" w:line="240" w:lineRule="auto"/>
        <w:jc w:val="both"/>
        <w:textAlignment w:val="baseline"/>
        <w:rPr>
          <w:rFonts w:ascii="Times New Roman" w:eastAsia="Times New Roman" w:hAnsi="Times New Roman"/>
          <w:noProof/>
          <w:color w:val="000000"/>
          <w:sz w:val="24"/>
          <w:szCs w:val="24"/>
        </w:rPr>
      </w:pPr>
      <w:r>
        <w:rPr>
          <w:rFonts w:ascii="Times New Roman" w:hAnsi="Times New Roman"/>
          <w:noProof/>
          <w:sz w:val="24"/>
          <w:szCs w:val="24"/>
        </w:rPr>
        <w:t xml:space="preserve">V skladu s slovaškim nacionalnim energetskim in podnebnim načrtom ter dolgoročno </w:t>
      </w:r>
      <w:r>
        <w:rPr>
          <w:rFonts w:ascii="Times New Roman" w:hAnsi="Times New Roman"/>
          <w:noProof/>
          <w:sz w:val="24"/>
          <w:szCs w:val="24"/>
        </w:rPr>
        <w:t>strategijo prenove stavb je za doseganje ciljev EU glede zmanjšanja emisij za leti 2030 in 2050 potreben znaten premik od izvajanja delnega na srednjega (30–60-odstotni prihranek primarne energije) in temeljite (več kot 60 %) prenove stavb.</w:t>
      </w:r>
    </w:p>
    <w:p w:rsidR="009B5602" w:rsidRDefault="00886830">
      <w:pPr>
        <w:spacing w:before="120" w:after="120" w:line="240" w:lineRule="auto"/>
        <w:jc w:val="both"/>
        <w:textAlignment w:val="baseline"/>
        <w:rPr>
          <w:rFonts w:ascii="Times New Roman" w:eastAsia="Times New Roman" w:hAnsi="Times New Roman"/>
          <w:noProof/>
          <w:color w:val="000000"/>
          <w:sz w:val="24"/>
          <w:szCs w:val="24"/>
        </w:rPr>
      </w:pPr>
      <w:r>
        <w:rPr>
          <w:rFonts w:ascii="Times New Roman" w:hAnsi="Times New Roman"/>
          <w:noProof/>
          <w:color w:val="000000"/>
          <w:sz w:val="24"/>
          <w:szCs w:val="24"/>
        </w:rPr>
        <w:t>Ta komponenta s</w:t>
      </w:r>
      <w:r>
        <w:rPr>
          <w:rFonts w:ascii="Times New Roman" w:hAnsi="Times New Roman"/>
          <w:noProof/>
          <w:color w:val="000000"/>
          <w:sz w:val="24"/>
          <w:szCs w:val="24"/>
        </w:rPr>
        <w:t>lovaškega načrta za oživitev in odpornost je namenjena zmanjšanju porabe energije s celovito prenovo družinskih hiš, javnih zgodovinskih stavb in stavb s seznama. Združuje ukrepe za izboljšanje energetske učinkovitosti stavb z doseganjem vsaj 30-odstotnega</w:t>
      </w:r>
      <w:r>
        <w:rPr>
          <w:rFonts w:ascii="Times New Roman" w:hAnsi="Times New Roman"/>
          <w:noProof/>
          <w:color w:val="000000"/>
          <w:sz w:val="24"/>
          <w:szCs w:val="24"/>
        </w:rPr>
        <w:t xml:space="preserve"> prihranka primarne energije z ukrepi za spodbujanje prilagajanja podnebnim spremembam (kot sta namestitev zelenih streh, sistem za zadrževanje vode). Komponenta prispeva k podnebnim in okoljskim ciljem, hkrati pa spodbuja okrevanje in konkurenčnost gradbe</w:t>
      </w:r>
      <w:r>
        <w:rPr>
          <w:rFonts w:ascii="Times New Roman" w:hAnsi="Times New Roman"/>
          <w:noProof/>
          <w:color w:val="000000"/>
          <w:sz w:val="24"/>
          <w:szCs w:val="24"/>
        </w:rPr>
        <w:t>nega sektorja z ustvarjanjem več delovnih mest, zlasti za MSP na lokalni ravni.</w:t>
      </w:r>
    </w:p>
    <w:p w:rsidR="009B5602" w:rsidRDefault="00886830">
      <w:pPr>
        <w:spacing w:before="120" w:after="120" w:line="240" w:lineRule="auto"/>
        <w:jc w:val="both"/>
        <w:rPr>
          <w:rFonts w:ascii="Times New Roman" w:eastAsia="Times New Roman" w:hAnsi="Times New Roman"/>
          <w:noProof/>
          <w:color w:val="000000"/>
          <w:sz w:val="24"/>
          <w:szCs w:val="24"/>
        </w:rPr>
      </w:pPr>
      <w:r>
        <w:rPr>
          <w:rFonts w:ascii="Times New Roman" w:hAnsi="Times New Roman"/>
          <w:noProof/>
          <w:sz w:val="24"/>
          <w:szCs w:val="24"/>
        </w:rPr>
        <w:t>Pričakuje se, da noben ukrep v tej komponenti ne bo znatno škodoval okoljskim ciljem v smislu člena 17 Uredbe (EU) 2020/852, ob upoštevanju opisa ukrepov in ukrepov za ublažite</w:t>
      </w:r>
      <w:r>
        <w:rPr>
          <w:rFonts w:ascii="Times New Roman" w:hAnsi="Times New Roman"/>
          <w:noProof/>
          <w:sz w:val="24"/>
          <w:szCs w:val="24"/>
        </w:rPr>
        <w:t xml:space="preserve">v, določenih v načrtu za okrevanje in odpornost v skladu s tehničnimi smernicami za uporabo načela, da se ne škoduje bistveno (2021/C58/01).  </w:t>
      </w:r>
    </w:p>
    <w:p w:rsidR="009B5602" w:rsidRDefault="00886830">
      <w:pPr>
        <w:spacing w:before="120" w:after="120" w:line="240" w:lineRule="auto"/>
        <w:jc w:val="both"/>
        <w:textAlignment w:val="baseline"/>
        <w:rPr>
          <w:rFonts w:ascii="Times New Roman" w:eastAsia="Times New Roman" w:hAnsi="Times New Roman"/>
          <w:noProof/>
          <w:color w:val="000000"/>
          <w:sz w:val="24"/>
          <w:szCs w:val="24"/>
        </w:rPr>
      </w:pPr>
      <w:r>
        <w:rPr>
          <w:rFonts w:ascii="Times New Roman" w:hAnsi="Times New Roman"/>
          <w:noProof/>
          <w:color w:val="000000"/>
          <w:sz w:val="24"/>
          <w:szCs w:val="24"/>
        </w:rPr>
        <w:t>Komponenta vključuje 3 reforme in 2 naložbi.  </w:t>
      </w:r>
    </w:p>
    <w:p w:rsidR="009B5602" w:rsidRDefault="00886830">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Te naložbe in reforme prispevajo k obravnavi priporočil za posamez</w:t>
      </w:r>
      <w:r>
        <w:rPr>
          <w:rFonts w:ascii="Times New Roman" w:hAnsi="Times New Roman"/>
          <w:noProof/>
          <w:color w:val="000000"/>
          <w:sz w:val="24"/>
          <w:szCs w:val="24"/>
        </w:rPr>
        <w:t>no državo, naslovljenih na Slovaško v zadnjih dveh letih, in sicer da bo „ekonomsko politiko z zvezi z naložbami osredotočila na [...] učinkovito rabo energije“ (priporočilo za posamezno državo št. 3 iz leta 2019) ter da „[u]smeri naložbe na zeleni [...] p</w:t>
      </w:r>
      <w:r>
        <w:rPr>
          <w:rFonts w:ascii="Times New Roman" w:hAnsi="Times New Roman"/>
          <w:noProof/>
          <w:color w:val="000000"/>
          <w:sz w:val="24"/>
          <w:szCs w:val="24"/>
        </w:rPr>
        <w:t>rehod (priporočilo za posamezno državo št. 3 iz leta 2020).  </w:t>
      </w:r>
    </w:p>
    <w:p w:rsidR="009B5602" w:rsidRDefault="009B5602">
      <w:pPr>
        <w:spacing w:before="120" w:after="120" w:line="240" w:lineRule="auto"/>
        <w:jc w:val="both"/>
        <w:textAlignment w:val="baseline"/>
        <w:rPr>
          <w:rFonts w:ascii="Times New Roman" w:eastAsia="Times New Roman" w:hAnsi="Times New Roman"/>
          <w:b/>
          <w:bCs/>
          <w:noProof/>
          <w:sz w:val="24"/>
          <w:szCs w:val="24"/>
          <w:u w:val="single"/>
          <w:lang w:eastAsia="fr-BE"/>
        </w:rPr>
      </w:pPr>
    </w:p>
    <w:p w:rsidR="009B5602" w:rsidRDefault="00886830">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b/>
          <w:bCs/>
          <w:noProof/>
          <w:sz w:val="24"/>
          <w:szCs w:val="24"/>
          <w:u w:val="single"/>
        </w:rPr>
        <w:t>A.1 </w:t>
      </w:r>
      <w:r>
        <w:rPr>
          <w:noProof/>
          <w:sz w:val="24"/>
          <w:szCs w:val="24"/>
        </w:rPr>
        <w:t xml:space="preserve"> </w:t>
      </w:r>
      <w:r>
        <w:rPr>
          <w:rFonts w:ascii="Times New Roman" w:hAnsi="Times New Roman"/>
          <w:b/>
          <w:bCs/>
          <w:noProof/>
          <w:sz w:val="24"/>
          <w:szCs w:val="24"/>
          <w:u w:val="single"/>
        </w:rPr>
        <w:t>Opis reform in naložb za nepovratno finančno podporo</w:t>
      </w:r>
      <w:r>
        <w:rPr>
          <w:rFonts w:ascii="Times New Roman" w:hAnsi="Times New Roman"/>
          <w:noProof/>
          <w:sz w:val="24"/>
          <w:szCs w:val="24"/>
        </w:rPr>
        <w:t> </w:t>
      </w:r>
    </w:p>
    <w:p w:rsidR="009B5602" w:rsidRDefault="009B5602">
      <w:pPr>
        <w:spacing w:before="120" w:after="120" w:line="240" w:lineRule="auto"/>
        <w:jc w:val="both"/>
        <w:textAlignment w:val="baseline"/>
        <w:rPr>
          <w:rFonts w:ascii="Times New Roman" w:eastAsia="Times New Roman" w:hAnsi="Times New Roman"/>
          <w:i/>
          <w:iCs/>
          <w:noProof/>
          <w:color w:val="4F81BD"/>
          <w:sz w:val="24"/>
          <w:szCs w:val="24"/>
          <w:lang w:eastAsia="fr-BE"/>
        </w:rPr>
      </w:pPr>
    </w:p>
    <w:p w:rsidR="009B5602" w:rsidRDefault="00886830">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i/>
          <w:noProof/>
          <w:color w:val="4F81BD"/>
          <w:sz w:val="24"/>
          <w:szCs w:val="24"/>
        </w:rPr>
        <w:t>.</w:t>
      </w:r>
      <w:r>
        <w:rPr>
          <w:rFonts w:ascii="Times New Roman" w:hAnsi="Times New Roman"/>
          <w:b/>
          <w:noProof/>
          <w:color w:val="000000"/>
          <w:sz w:val="24"/>
          <w:szCs w:val="24"/>
        </w:rPr>
        <w:t>Reforma 1: Uskladitev podpornih mehanizmov za prenovo družinskih hiš. </w:t>
      </w:r>
      <w:r>
        <w:rPr>
          <w:rFonts w:ascii="Times New Roman" w:hAnsi="Times New Roman"/>
          <w:noProof/>
          <w:color w:val="000000"/>
          <w:sz w:val="24"/>
          <w:szCs w:val="24"/>
        </w:rPr>
        <w:t> </w:t>
      </w:r>
    </w:p>
    <w:p w:rsidR="009B5602" w:rsidRPr="00886830" w:rsidRDefault="009B5602">
      <w:pPr>
        <w:spacing w:before="120" w:after="120" w:line="240" w:lineRule="auto"/>
        <w:jc w:val="both"/>
        <w:textAlignment w:val="baseline"/>
        <w:rPr>
          <w:rFonts w:ascii="Times New Roman" w:eastAsia="Times New Roman" w:hAnsi="Times New Roman"/>
          <w:noProof/>
          <w:color w:val="000000"/>
          <w:sz w:val="24"/>
          <w:szCs w:val="24"/>
          <w:lang w:eastAsia="fr-BE"/>
        </w:rPr>
      </w:pPr>
    </w:p>
    <w:p w:rsidR="009B5602" w:rsidRDefault="00886830">
      <w:pPr>
        <w:spacing w:before="120" w:after="120" w:line="240" w:lineRule="auto"/>
        <w:jc w:val="both"/>
        <w:textAlignment w:val="baseline"/>
        <w:rPr>
          <w:rFonts w:ascii="Times New Roman" w:eastAsia="Times New Roman" w:hAnsi="Times New Roman"/>
          <w:noProof/>
          <w:color w:val="000000"/>
          <w:sz w:val="24"/>
          <w:szCs w:val="24"/>
        </w:rPr>
      </w:pPr>
      <w:r>
        <w:rPr>
          <w:rFonts w:ascii="Times New Roman" w:hAnsi="Times New Roman"/>
          <w:noProof/>
          <w:color w:val="000000"/>
          <w:sz w:val="24"/>
          <w:szCs w:val="24"/>
        </w:rPr>
        <w:t xml:space="preserve">Cilj reforme je kartiranje, usklajevanje in združevanje </w:t>
      </w:r>
      <w:r>
        <w:rPr>
          <w:rFonts w:ascii="Times New Roman" w:hAnsi="Times New Roman"/>
          <w:noProof/>
          <w:color w:val="000000"/>
          <w:sz w:val="24"/>
          <w:szCs w:val="24"/>
        </w:rPr>
        <w:t>različnih podpornih shem, poenotenje in racionalizacija procesa prenove ter zagotavljanje spodbud lastnikom za izvajanje širšega nabora ukrepov prenove. Zasnova shem podpore, meril in pogojev ter izvedbeni ukrepi se navedejo v izvedbenem načrtu, ki ga bo S</w:t>
      </w:r>
      <w:r>
        <w:rPr>
          <w:rFonts w:ascii="Times New Roman" w:hAnsi="Times New Roman"/>
          <w:noProof/>
          <w:color w:val="000000"/>
          <w:sz w:val="24"/>
          <w:szCs w:val="24"/>
        </w:rPr>
        <w:t>lovaška agencija za okolje objavila do 30. septembra 2022. Za zagotovitev učinkovitega in pravočasnega izvajanja se okrepijo zmogljivosti slovaške agencije za okolje. V fazi izvajanja se lastniki hiš povežejo s komunikacijsko kampanjo in regionalnimi uradi</w:t>
      </w:r>
      <w:r>
        <w:rPr>
          <w:rFonts w:ascii="Times New Roman" w:hAnsi="Times New Roman"/>
          <w:noProof/>
          <w:color w:val="000000"/>
          <w:sz w:val="24"/>
          <w:szCs w:val="24"/>
        </w:rPr>
        <w:t>, ki bodo ustanovljeni, ter z zagotavljanjem tehnične pomoči in posvetovanja.  </w:t>
      </w:r>
    </w:p>
    <w:p w:rsidR="009B5602" w:rsidRPr="00886830" w:rsidRDefault="009B5602">
      <w:pPr>
        <w:spacing w:before="120" w:after="120" w:line="240" w:lineRule="auto"/>
        <w:jc w:val="both"/>
        <w:textAlignment w:val="baseline"/>
        <w:rPr>
          <w:rFonts w:ascii="Segoe UI" w:eastAsia="Times New Roman" w:hAnsi="Segoe UI" w:cs="Segoe UI"/>
          <w:noProof/>
          <w:sz w:val="18"/>
          <w:szCs w:val="18"/>
          <w:lang w:eastAsia="fr-BE"/>
        </w:rPr>
      </w:pPr>
    </w:p>
    <w:p w:rsidR="009B5602" w:rsidRDefault="00886830">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Reforma se izvede do 30. septembra 2022. </w:t>
      </w:r>
    </w:p>
    <w:p w:rsidR="009B5602" w:rsidRPr="00886830" w:rsidRDefault="009B5602">
      <w:pPr>
        <w:spacing w:before="120" w:after="120" w:line="240" w:lineRule="auto"/>
        <w:jc w:val="both"/>
        <w:textAlignment w:val="baseline"/>
        <w:rPr>
          <w:rFonts w:ascii="Times New Roman" w:eastAsia="Times New Roman" w:hAnsi="Times New Roman"/>
          <w:b/>
          <w:bCs/>
          <w:noProof/>
          <w:color w:val="000000"/>
          <w:sz w:val="24"/>
          <w:szCs w:val="24"/>
          <w:lang w:val="es-ES" w:eastAsia="fr-BE"/>
        </w:rPr>
      </w:pPr>
    </w:p>
    <w:p w:rsidR="009B5602" w:rsidRDefault="00886830">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b/>
          <w:bCs/>
          <w:noProof/>
          <w:color w:val="000000"/>
          <w:sz w:val="24"/>
          <w:szCs w:val="24"/>
        </w:rPr>
        <w:t>Naložba 1: Izboljšanje energetske učinkovitosti družinskih hiš. </w:t>
      </w:r>
      <w:r>
        <w:rPr>
          <w:rFonts w:ascii="Times New Roman" w:hAnsi="Times New Roman"/>
          <w:noProof/>
          <w:color w:val="000000"/>
          <w:sz w:val="24"/>
          <w:szCs w:val="24"/>
        </w:rPr>
        <w:t> </w:t>
      </w:r>
    </w:p>
    <w:p w:rsidR="009B5602" w:rsidRPr="00886830" w:rsidRDefault="009B5602">
      <w:pPr>
        <w:spacing w:before="120" w:after="120" w:line="240" w:lineRule="auto"/>
        <w:jc w:val="both"/>
        <w:textAlignment w:val="baseline"/>
        <w:rPr>
          <w:rFonts w:ascii="Times New Roman" w:eastAsia="Times New Roman" w:hAnsi="Times New Roman"/>
          <w:noProof/>
          <w:color w:val="000000"/>
          <w:sz w:val="24"/>
          <w:szCs w:val="24"/>
          <w:lang w:val="es-ES" w:eastAsia="fr-BE"/>
        </w:rPr>
      </w:pPr>
    </w:p>
    <w:p w:rsidR="009B5602" w:rsidRDefault="00886830">
      <w:pPr>
        <w:spacing w:before="120" w:after="120" w:line="240" w:lineRule="auto"/>
        <w:jc w:val="both"/>
        <w:textAlignment w:val="baseline"/>
        <w:rPr>
          <w:rFonts w:ascii="Times New Roman" w:eastAsia="Times New Roman" w:hAnsi="Times New Roman"/>
          <w:noProof/>
          <w:color w:val="000000"/>
          <w:sz w:val="24"/>
          <w:szCs w:val="24"/>
        </w:rPr>
      </w:pPr>
      <w:r>
        <w:rPr>
          <w:rFonts w:ascii="Times New Roman" w:hAnsi="Times New Roman"/>
          <w:noProof/>
          <w:color w:val="000000"/>
          <w:sz w:val="24"/>
          <w:szCs w:val="24"/>
        </w:rPr>
        <w:t xml:space="preserve">Cilj naložbe je dokončati prenovo vsaj 30 000 enodružinskih hiš, </w:t>
      </w:r>
      <w:r>
        <w:rPr>
          <w:rFonts w:ascii="Times New Roman" w:hAnsi="Times New Roman"/>
          <w:noProof/>
          <w:color w:val="000000"/>
          <w:sz w:val="24"/>
          <w:szCs w:val="24"/>
        </w:rPr>
        <w:t>pri čemer se v povprečju doseže vsaj 30-odstotni prihranek primarne energije. Naložba je namenjena lastnikom starejših družinskih hiš. Poleg tradicionalnih ukrepov za varčevanje z energijo, kot so toplotna izolacija, zamenjava oken, mehanizem omogoča zamen</w:t>
      </w:r>
      <w:r>
        <w:rPr>
          <w:rFonts w:ascii="Times New Roman" w:hAnsi="Times New Roman"/>
          <w:noProof/>
          <w:color w:val="000000"/>
          <w:sz w:val="24"/>
          <w:szCs w:val="24"/>
        </w:rPr>
        <w:t>javo neučinkovitih virov toplote in tople vode z visoko učinkovitimi napravami ali namestitev novih naprav za obnovljivo energijo. Kadar je mogoče, se uporabijo ukrepi za povečanje odpornosti stavb na podnebne spremembe (kot so vegetacijske strehe, zajetje</w:t>
      </w:r>
      <w:r>
        <w:rPr>
          <w:rFonts w:ascii="Times New Roman" w:hAnsi="Times New Roman"/>
          <w:noProof/>
          <w:color w:val="000000"/>
          <w:sz w:val="24"/>
          <w:szCs w:val="24"/>
        </w:rPr>
        <w:t xml:space="preserve"> deževnice). Za spodbuditev celovite in zelene prenove programi podpore vključujejo kombinacijo obveznega in neobveznega dela. Pričakuje se finančni prispevek lastnikov. Prihranki energije se preverjajo predvsem z energetskimi izkaznicami ali drugimi ustre</w:t>
      </w:r>
      <w:r>
        <w:rPr>
          <w:rFonts w:ascii="Times New Roman" w:hAnsi="Times New Roman"/>
          <w:noProof/>
          <w:color w:val="000000"/>
          <w:sz w:val="24"/>
          <w:szCs w:val="24"/>
        </w:rPr>
        <w:t>znimi dokumenti.  </w:t>
      </w:r>
    </w:p>
    <w:p w:rsidR="009B5602" w:rsidRDefault="00886830">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Naložbeni ukrepi, povezani s prenovo stavb, so skladni z zahtevami, da se ne škoduje bistveno, vključno s preprečevanjem in recikliranjem gradbenih odpadkov in odpadkov pri rušenju objektov ter sistemom zamenjave kotlov, ki je majhen del</w:t>
      </w:r>
      <w:r>
        <w:rPr>
          <w:rFonts w:ascii="Times New Roman" w:hAnsi="Times New Roman"/>
          <w:noProof/>
          <w:color w:val="000000"/>
          <w:sz w:val="24"/>
          <w:szCs w:val="24"/>
        </w:rPr>
        <w:t xml:space="preserve"> celotnega programa prenove.</w:t>
      </w:r>
    </w:p>
    <w:p w:rsidR="009B5602" w:rsidRDefault="00886830">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Naložba naj bi se začela izvajati najpozneje 30. septembra 2022 in bo zaključena do 30. junija 2026. </w:t>
      </w:r>
    </w:p>
    <w:p w:rsidR="009B5602" w:rsidRPr="00886830" w:rsidRDefault="009B5602">
      <w:pPr>
        <w:spacing w:before="120" w:after="120" w:line="240" w:lineRule="auto"/>
        <w:jc w:val="both"/>
        <w:textAlignment w:val="baseline"/>
        <w:rPr>
          <w:rFonts w:ascii="Times New Roman" w:eastAsia="Times New Roman" w:hAnsi="Times New Roman"/>
          <w:b/>
          <w:bCs/>
          <w:noProof/>
          <w:color w:val="000000"/>
          <w:sz w:val="24"/>
          <w:szCs w:val="24"/>
          <w:lang w:eastAsia="fr-BE"/>
        </w:rPr>
      </w:pPr>
    </w:p>
    <w:p w:rsidR="009B5602" w:rsidRDefault="00886830">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b/>
          <w:bCs/>
          <w:noProof/>
          <w:color w:val="000000"/>
          <w:sz w:val="24"/>
          <w:szCs w:val="24"/>
        </w:rPr>
        <w:t>Reforma 2: Povečanje preglednosti in poenostavitev odločitev slovaškega odbora za spomenike.</w:t>
      </w:r>
      <w:r>
        <w:rPr>
          <w:rFonts w:ascii="Times New Roman" w:hAnsi="Times New Roman"/>
          <w:noProof/>
          <w:color w:val="000000"/>
          <w:sz w:val="24"/>
          <w:szCs w:val="24"/>
        </w:rPr>
        <w:t> </w:t>
      </w:r>
    </w:p>
    <w:p w:rsidR="009B5602" w:rsidRPr="00886830" w:rsidRDefault="009B5602">
      <w:pPr>
        <w:spacing w:before="120" w:after="120" w:line="240" w:lineRule="auto"/>
        <w:jc w:val="both"/>
        <w:textAlignment w:val="baseline"/>
        <w:rPr>
          <w:rFonts w:ascii="Times New Roman" w:eastAsia="Times New Roman" w:hAnsi="Times New Roman"/>
          <w:noProof/>
          <w:color w:val="000000"/>
          <w:sz w:val="24"/>
          <w:szCs w:val="24"/>
          <w:lang w:eastAsia="fr-BE"/>
        </w:rPr>
      </w:pPr>
    </w:p>
    <w:p w:rsidR="009B5602" w:rsidRDefault="00886830">
      <w:pPr>
        <w:spacing w:before="120" w:after="120" w:line="240" w:lineRule="auto"/>
        <w:jc w:val="both"/>
        <w:textAlignment w:val="baseline"/>
        <w:rPr>
          <w:rFonts w:ascii="Times New Roman" w:eastAsia="Times New Roman" w:hAnsi="Times New Roman"/>
          <w:noProof/>
          <w:color w:val="000000"/>
          <w:sz w:val="24"/>
          <w:szCs w:val="24"/>
        </w:rPr>
      </w:pPr>
      <w:r>
        <w:rPr>
          <w:rFonts w:ascii="Times New Roman" w:hAnsi="Times New Roman"/>
          <w:noProof/>
          <w:color w:val="000000"/>
          <w:sz w:val="24"/>
          <w:szCs w:val="24"/>
        </w:rPr>
        <w:t>Cilj reforme je izboljšati ka</w:t>
      </w:r>
      <w:r>
        <w:rPr>
          <w:rFonts w:ascii="Times New Roman" w:hAnsi="Times New Roman"/>
          <w:noProof/>
          <w:color w:val="000000"/>
          <w:sz w:val="24"/>
          <w:szCs w:val="24"/>
        </w:rPr>
        <w:t>kovost in učinkovitost postopka odločanja slovaškega odbora za spomenike z razvojem treh metodologij za:</w:t>
      </w:r>
    </w:p>
    <w:p w:rsidR="009B5602" w:rsidRDefault="00886830">
      <w:pPr>
        <w:numPr>
          <w:ilvl w:val="0"/>
          <w:numId w:val="45"/>
        </w:numPr>
        <w:spacing w:before="120" w:after="120" w:line="240" w:lineRule="auto"/>
        <w:ind w:left="0"/>
        <w:contextualSpacing/>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razvrstitev spomenikov,</w:t>
      </w:r>
    </w:p>
    <w:p w:rsidR="009B5602" w:rsidRDefault="00886830">
      <w:pPr>
        <w:numPr>
          <w:ilvl w:val="0"/>
          <w:numId w:val="45"/>
        </w:numPr>
        <w:spacing w:before="120" w:after="120" w:line="240" w:lineRule="auto"/>
        <w:ind w:left="0"/>
        <w:contextualSpacing/>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določitev objektivnih meril, po katerih sprejema odločitve odbor za spomenike, in</w:t>
      </w:r>
    </w:p>
    <w:p w:rsidR="009B5602" w:rsidRDefault="00886830">
      <w:pPr>
        <w:numPr>
          <w:ilvl w:val="0"/>
          <w:numId w:val="45"/>
        </w:numPr>
        <w:spacing w:before="120" w:after="120" w:line="240" w:lineRule="auto"/>
        <w:ind w:left="0"/>
        <w:contextualSpacing/>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 xml:space="preserve">količinsko opredelitev stroškov, povezanih z </w:t>
      </w:r>
      <w:r>
        <w:rPr>
          <w:rFonts w:ascii="Times New Roman" w:hAnsi="Times New Roman"/>
          <w:noProof/>
          <w:color w:val="000000"/>
          <w:sz w:val="24"/>
          <w:szCs w:val="24"/>
        </w:rPr>
        <w:t>intervencijami odbora za spomenike</w:t>
      </w:r>
    </w:p>
    <w:p w:rsidR="009B5602" w:rsidRDefault="00886830">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 xml:space="preserve">Poleg tega je cilj reformirati kartiranje državnih spomenikov z oceno njihovih tehničnih, gradbenih in energetskih vidikov. Na podlagi kartiranja se izda vsaj 1 000 gradbenih potnih listov za ustrezne stavbne spomenike v </w:t>
      </w:r>
      <w:r>
        <w:rPr>
          <w:rFonts w:ascii="Times New Roman" w:hAnsi="Times New Roman"/>
          <w:noProof/>
          <w:color w:val="000000"/>
          <w:sz w:val="24"/>
          <w:szCs w:val="24"/>
        </w:rPr>
        <w:t>državni lasti. Reforma lajša naložbene odločitve o prenovi, da se ohrani vrednost spomenikov in po potrebi izboljša energetska učinkovitost.  </w:t>
      </w:r>
    </w:p>
    <w:p w:rsidR="009B5602" w:rsidRPr="00886830" w:rsidRDefault="009B5602">
      <w:pPr>
        <w:spacing w:before="120" w:after="120" w:line="240" w:lineRule="auto"/>
        <w:jc w:val="both"/>
        <w:textAlignment w:val="baseline"/>
        <w:rPr>
          <w:rFonts w:ascii="Times New Roman" w:eastAsia="Times New Roman" w:hAnsi="Times New Roman"/>
          <w:noProof/>
          <w:color w:val="000000"/>
          <w:sz w:val="24"/>
          <w:szCs w:val="24"/>
          <w:lang w:eastAsia="fr-BE"/>
        </w:rPr>
      </w:pPr>
    </w:p>
    <w:p w:rsidR="009B5602" w:rsidRDefault="00886830">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Reforma se izvede do 31. decembra 2023. </w:t>
      </w:r>
    </w:p>
    <w:p w:rsidR="009B5602" w:rsidRPr="00886830" w:rsidRDefault="009B5602">
      <w:pPr>
        <w:spacing w:before="120" w:after="120" w:line="240" w:lineRule="auto"/>
        <w:jc w:val="both"/>
        <w:textAlignment w:val="baseline"/>
        <w:rPr>
          <w:rFonts w:ascii="Times New Roman" w:eastAsia="Times New Roman" w:hAnsi="Times New Roman"/>
          <w:b/>
          <w:bCs/>
          <w:noProof/>
          <w:color w:val="000000"/>
          <w:sz w:val="24"/>
          <w:szCs w:val="24"/>
          <w:lang w:val="es-ES" w:eastAsia="fr-BE"/>
        </w:rPr>
      </w:pPr>
    </w:p>
    <w:p w:rsidR="009B5602" w:rsidRDefault="00886830">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b/>
          <w:bCs/>
          <w:noProof/>
          <w:color w:val="000000"/>
          <w:sz w:val="24"/>
          <w:szCs w:val="24"/>
        </w:rPr>
        <w:t>Naložba 2: Obnova zgodovinskih in spomeniško zaščitenih javnih stavb</w:t>
      </w:r>
      <w:r>
        <w:rPr>
          <w:rFonts w:ascii="Times New Roman" w:hAnsi="Times New Roman"/>
          <w:noProof/>
          <w:color w:val="000000"/>
          <w:sz w:val="24"/>
          <w:szCs w:val="24"/>
        </w:rPr>
        <w:t>.</w:t>
      </w:r>
      <w:r>
        <w:rPr>
          <w:rFonts w:ascii="Times New Roman" w:hAnsi="Times New Roman"/>
          <w:b/>
          <w:bCs/>
          <w:noProof/>
          <w:color w:val="000000"/>
          <w:sz w:val="24"/>
          <w:szCs w:val="24"/>
        </w:rPr>
        <w:t> </w:t>
      </w:r>
      <w:r>
        <w:rPr>
          <w:rFonts w:ascii="Times New Roman" w:hAnsi="Times New Roman"/>
          <w:noProof/>
          <w:color w:val="000000"/>
          <w:sz w:val="24"/>
          <w:szCs w:val="24"/>
        </w:rPr>
        <w:t> </w:t>
      </w:r>
    </w:p>
    <w:p w:rsidR="009B5602" w:rsidRPr="00886830" w:rsidRDefault="009B5602">
      <w:pPr>
        <w:spacing w:before="120" w:after="120" w:line="240" w:lineRule="auto"/>
        <w:jc w:val="both"/>
        <w:textAlignment w:val="baseline"/>
        <w:rPr>
          <w:rFonts w:ascii="Times New Roman" w:eastAsia="Times New Roman" w:hAnsi="Times New Roman"/>
          <w:noProof/>
          <w:color w:val="000000"/>
          <w:sz w:val="24"/>
          <w:szCs w:val="24"/>
          <w:lang w:val="es-ES" w:eastAsia="fr-BE"/>
        </w:rPr>
      </w:pPr>
    </w:p>
    <w:p w:rsidR="009B5602" w:rsidRDefault="00886830">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Zgodovinske in spomeniško zaščitene javne stavbe so med energetsko najmanj učinkovitimi stavbami in zahtevajo prilagojen pristop, da se ohranita in zaščitita njihova kulturna vrednost in dediščina. Cilj naložbe je izboljšati energetsko učinkovitost in s</w:t>
      </w:r>
      <w:r>
        <w:rPr>
          <w:rFonts w:ascii="Times New Roman" w:hAnsi="Times New Roman"/>
          <w:noProof/>
          <w:color w:val="000000"/>
          <w:sz w:val="24"/>
          <w:szCs w:val="24"/>
        </w:rPr>
        <w:t>trukturne pogoje zgodovinskih in spomeniško zaščitenih javnih stavb, hkrati pa zaščititi njihove zgodovinske in kulturne vrednote ter izboljšati dostopnost stavb. Od splošnega cilja je obnova 130 000 m² obnovljenih vsaj 117 000 m² tlorisnih površin zgodovi</w:t>
      </w:r>
      <w:r>
        <w:rPr>
          <w:rFonts w:ascii="Times New Roman" w:hAnsi="Times New Roman"/>
          <w:noProof/>
          <w:color w:val="000000"/>
          <w:sz w:val="24"/>
          <w:szCs w:val="24"/>
        </w:rPr>
        <w:t>nskih in spomeniško zaščitenih javnih stavb, pri čemer se v povprečju doseže vsaj 30 % prihrankov primarne energije. Pričakuje se, da bo naložba privedla do prenove približno 100 stavb in da jo bo spremljala informacijska kampanja. Prihranki energije se sp</w:t>
      </w:r>
      <w:r>
        <w:rPr>
          <w:rFonts w:ascii="Times New Roman" w:hAnsi="Times New Roman"/>
          <w:noProof/>
          <w:color w:val="000000"/>
          <w:sz w:val="24"/>
          <w:szCs w:val="24"/>
        </w:rPr>
        <w:t>remljajo in preverjajo z energetskimi izkaznicami.  </w:t>
      </w:r>
    </w:p>
    <w:p w:rsidR="009B5602" w:rsidRDefault="00886830">
      <w:pPr>
        <w:spacing w:before="120" w:after="120" w:line="240" w:lineRule="auto"/>
        <w:jc w:val="both"/>
        <w:textAlignment w:val="baseline"/>
        <w:rPr>
          <w:rFonts w:ascii="Times New Roman" w:eastAsia="Times New Roman" w:hAnsi="Times New Roman"/>
          <w:noProof/>
          <w:color w:val="000000"/>
          <w:sz w:val="24"/>
          <w:szCs w:val="24"/>
        </w:rPr>
      </w:pPr>
      <w:r>
        <w:rPr>
          <w:rFonts w:ascii="Times New Roman" w:hAnsi="Times New Roman"/>
          <w:noProof/>
          <w:color w:val="000000"/>
          <w:sz w:val="24"/>
          <w:szCs w:val="24"/>
        </w:rPr>
        <w:t xml:space="preserve">Naložbeni ukrepi, povezani s prenovo stavb, so skladni z zahtevami, da se ne škoduje bistveno, vključno s preprečevanjem in recikliranjem gradbenih odpadkov in odpadkov pri rušenju objektov ter sistemom </w:t>
      </w:r>
      <w:r>
        <w:rPr>
          <w:rFonts w:ascii="Times New Roman" w:hAnsi="Times New Roman"/>
          <w:noProof/>
          <w:color w:val="000000"/>
          <w:sz w:val="24"/>
          <w:szCs w:val="24"/>
        </w:rPr>
        <w:t>zamenjave kotlov, ki je majhen del celotnega programa prenove.</w:t>
      </w:r>
    </w:p>
    <w:p w:rsidR="009B5602" w:rsidRDefault="00886830">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Naložba se izvede do 30. junija 2026. </w:t>
      </w:r>
    </w:p>
    <w:p w:rsidR="009B5602" w:rsidRPr="00886830" w:rsidRDefault="009B5602">
      <w:pPr>
        <w:spacing w:before="120" w:after="120" w:line="240" w:lineRule="auto"/>
        <w:jc w:val="both"/>
        <w:textAlignment w:val="baseline"/>
        <w:rPr>
          <w:rFonts w:ascii="Times New Roman" w:eastAsia="Times New Roman" w:hAnsi="Times New Roman"/>
          <w:b/>
          <w:bCs/>
          <w:noProof/>
          <w:color w:val="000000"/>
          <w:sz w:val="24"/>
          <w:szCs w:val="24"/>
          <w:lang w:val="es-ES" w:eastAsia="fr-BE"/>
        </w:rPr>
      </w:pPr>
    </w:p>
    <w:p w:rsidR="009B5602" w:rsidRDefault="00886830">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b/>
          <w:bCs/>
          <w:noProof/>
          <w:color w:val="000000"/>
          <w:sz w:val="24"/>
          <w:szCs w:val="24"/>
        </w:rPr>
        <w:t>Reforma 3: Ravnanje z gradbenimi odpadki in odpadki pri rušenju objektov. </w:t>
      </w:r>
      <w:r>
        <w:rPr>
          <w:rFonts w:ascii="Times New Roman" w:hAnsi="Times New Roman"/>
          <w:noProof/>
          <w:color w:val="000000"/>
          <w:sz w:val="24"/>
          <w:szCs w:val="24"/>
        </w:rPr>
        <w:t> </w:t>
      </w:r>
    </w:p>
    <w:p w:rsidR="009B5602" w:rsidRPr="00886830" w:rsidRDefault="009B5602">
      <w:pPr>
        <w:spacing w:before="120" w:after="120" w:line="240" w:lineRule="auto"/>
        <w:jc w:val="both"/>
        <w:textAlignment w:val="baseline"/>
        <w:rPr>
          <w:rFonts w:ascii="Times New Roman" w:eastAsia="Times New Roman" w:hAnsi="Times New Roman"/>
          <w:noProof/>
          <w:color w:val="000000"/>
          <w:sz w:val="24"/>
          <w:szCs w:val="24"/>
          <w:lang w:val="es-ES" w:eastAsia="fr-BE"/>
        </w:rPr>
      </w:pPr>
    </w:p>
    <w:p w:rsidR="009B5602" w:rsidRDefault="00886830">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 xml:space="preserve">Reforma obravnava zelo nizko stopnjo recikliranja na Slovaškem in je </w:t>
      </w:r>
      <w:r>
        <w:rPr>
          <w:rFonts w:ascii="Times New Roman" w:hAnsi="Times New Roman"/>
          <w:noProof/>
          <w:color w:val="000000"/>
          <w:sz w:val="24"/>
          <w:szCs w:val="24"/>
        </w:rPr>
        <w:t>osredotočena na revizijo zakonodaje o ravnanju z odpadki, da bi se povečal potencial krožnega gospodarstva za gradbene odpadke in odpadke iz rušenja objektov. Ministrstvo za okolje Slovaške republike vloži predlog spremembe zakonodaje o odpadkih, ki zahtev</w:t>
      </w:r>
      <w:r>
        <w:rPr>
          <w:rFonts w:ascii="Times New Roman" w:hAnsi="Times New Roman"/>
          <w:noProof/>
          <w:color w:val="000000"/>
          <w:sz w:val="24"/>
          <w:szCs w:val="24"/>
        </w:rPr>
        <w:t>a, da se najmanj 70 % nenevarnih gradbenih odpadkov in odpadkov pri rušenju objektov, nastalih pri gradnji, pripravi za ponovno uporabo ali pošlje v recikliranje. Poleg tega se z reformo uvedejo obvezno selektivno rušenje, standardi kakovosti za recikliran</w:t>
      </w:r>
      <w:r>
        <w:rPr>
          <w:rFonts w:ascii="Times New Roman" w:hAnsi="Times New Roman"/>
          <w:noProof/>
          <w:color w:val="000000"/>
          <w:sz w:val="24"/>
          <w:szCs w:val="24"/>
        </w:rPr>
        <w:t>je gradbenih odpadkov in odpadkov pri rušenju objektov, obvezna zelena javna naročila za sklepanje pogodb o gradbenih delih, poenostavijo pravila in izboljšajo sistemi zbiranja podatkov o gradbenih odpadkih. Ko bo zakonodaja začela veljati, bo zagotovila s</w:t>
      </w:r>
      <w:r>
        <w:rPr>
          <w:rFonts w:ascii="Times New Roman" w:hAnsi="Times New Roman"/>
          <w:noProof/>
          <w:color w:val="000000"/>
          <w:sz w:val="24"/>
          <w:szCs w:val="24"/>
        </w:rPr>
        <w:t>kladnost „neznatne škode“ z zahtevo po 70-odstotnem recikliranju in ponovni uporabi nenevarnih odpadkov pri rušenju objektov in gradbenih odpadkih, ki se uporabljajo za obnovo in gradnjo stavb, financiranih v okviru obrata za predelavo in odpornost.  </w:t>
      </w:r>
    </w:p>
    <w:p w:rsidR="009B5602" w:rsidRPr="00886830" w:rsidRDefault="009B5602">
      <w:pPr>
        <w:spacing w:before="120" w:after="120" w:line="240" w:lineRule="auto"/>
        <w:jc w:val="both"/>
        <w:textAlignment w:val="baseline"/>
        <w:rPr>
          <w:rFonts w:ascii="Times New Roman" w:eastAsia="Times New Roman" w:hAnsi="Times New Roman"/>
          <w:noProof/>
          <w:color w:val="000000"/>
          <w:sz w:val="24"/>
          <w:szCs w:val="24"/>
          <w:lang w:eastAsia="fr-BE"/>
        </w:rPr>
      </w:pPr>
    </w:p>
    <w:p w:rsidR="009B5602" w:rsidRDefault="00886830">
      <w:pPr>
        <w:spacing w:before="120" w:after="12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Reforma se izvede do 30. junija 2022.   </w:t>
      </w:r>
    </w:p>
    <w:p w:rsidR="009B5602" w:rsidRPr="00886830" w:rsidRDefault="009B5602">
      <w:pPr>
        <w:spacing w:before="120" w:after="120" w:line="240" w:lineRule="auto"/>
        <w:jc w:val="both"/>
        <w:rPr>
          <w:rFonts w:ascii="Times New Roman" w:eastAsia="Times New Roman" w:hAnsi="Times New Roman"/>
          <w:noProof/>
          <w:sz w:val="24"/>
          <w:szCs w:val="24"/>
          <w:lang w:val="es-ES"/>
        </w:rPr>
      </w:pPr>
    </w:p>
    <w:p w:rsidR="009B5602" w:rsidRDefault="00886830">
      <w:pPr>
        <w:spacing w:before="120" w:after="120" w:line="240" w:lineRule="auto"/>
        <w:rPr>
          <w:rFonts w:ascii="Times New Roman" w:hAnsi="Times New Roman"/>
          <w:noProof/>
          <w:sz w:val="24"/>
        </w:rPr>
      </w:pPr>
      <w:r>
        <w:rPr>
          <w:rFonts w:ascii="Times New Roman" w:hAnsi="Times New Roman"/>
          <w:noProof/>
          <w:color w:val="000000"/>
          <w:sz w:val="24"/>
          <w:szCs w:val="24"/>
        </w:rPr>
        <w:t xml:space="preserve"> </w:t>
      </w:r>
    </w:p>
    <w:p w:rsidR="009B5602" w:rsidRDefault="009B5602">
      <w:pPr>
        <w:spacing w:before="120" w:after="120" w:line="240" w:lineRule="auto"/>
        <w:jc w:val="both"/>
        <w:rPr>
          <w:rFonts w:ascii="Times New Roman" w:hAnsi="Times New Roman"/>
          <w:noProof/>
          <w:sz w:val="24"/>
        </w:rPr>
        <w:sectPr w:rsidR="009B5602">
          <w:headerReference w:type="even" r:id="rId30"/>
          <w:headerReference w:type="default" r:id="rId31"/>
          <w:footerReference w:type="even" r:id="rId32"/>
          <w:footerReference w:type="default" r:id="rId33"/>
          <w:headerReference w:type="first" r:id="rId34"/>
          <w:footerReference w:type="first" r:id="rId35"/>
          <w:pgSz w:w="11907" w:h="16839"/>
          <w:pgMar w:top="1134" w:right="1418" w:bottom="1134" w:left="1418" w:header="709" w:footer="709" w:gutter="0"/>
          <w:cols w:space="720"/>
          <w:docGrid w:linePitch="360"/>
        </w:sectPr>
      </w:pPr>
    </w:p>
    <w:p w:rsidR="009B5602" w:rsidRDefault="00886830">
      <w:pPr>
        <w:spacing w:before="120" w:after="120" w:line="240" w:lineRule="auto"/>
        <w:rPr>
          <w:rFonts w:ascii="Times New Roman" w:eastAsia="Times New Roman" w:hAnsi="Times New Roman"/>
          <w:b/>
          <w:noProof/>
          <w:sz w:val="24"/>
          <w:szCs w:val="24"/>
          <w:u w:val="single"/>
        </w:rPr>
      </w:pPr>
      <w:r>
        <w:rPr>
          <w:rFonts w:ascii="Times New Roman" w:hAnsi="Times New Roman"/>
          <w:b/>
          <w:noProof/>
          <w:sz w:val="24"/>
          <w:szCs w:val="24"/>
          <w:u w:val="single"/>
        </w:rPr>
        <w:t xml:space="preserve">A.2 </w:t>
      </w:r>
      <w:r>
        <w:rPr>
          <w:noProof/>
        </w:rPr>
        <w:tab/>
      </w:r>
      <w:r>
        <w:rPr>
          <w:rFonts w:ascii="Times New Roman" w:hAnsi="Times New Roman"/>
          <w:b/>
          <w:noProof/>
          <w:sz w:val="24"/>
          <w:szCs w:val="24"/>
          <w:u w:val="single"/>
        </w:rPr>
        <w:t>Mejniki, cilji, kazalniki in časovni razpored za spremljanje in izvajanje nepovratne finančne podpore</w:t>
      </w:r>
    </w:p>
    <w:p w:rsidR="009B5602" w:rsidRDefault="009B5602">
      <w:pPr>
        <w:spacing w:before="120" w:after="120" w:line="240" w:lineRule="auto"/>
        <w:rPr>
          <w:rFonts w:ascii="Times New Roman" w:eastAsia="Times New Roman" w:hAnsi="Times New Roman"/>
          <w:b/>
          <w:bCs/>
          <w:noProof/>
          <w:sz w:val="24"/>
          <w:szCs w:val="24"/>
          <w:u w:val="single"/>
        </w:rPr>
      </w:pPr>
    </w:p>
    <w:tbl>
      <w:tblPr>
        <w:tblW w:w="14283" w:type="dxa"/>
        <w:tblLayout w:type="fixed"/>
        <w:tblLook w:val="04A0" w:firstRow="1" w:lastRow="0" w:firstColumn="1" w:lastColumn="0" w:noHBand="0" w:noVBand="1"/>
      </w:tblPr>
      <w:tblGrid>
        <w:gridCol w:w="959"/>
        <w:gridCol w:w="946"/>
        <w:gridCol w:w="795"/>
        <w:gridCol w:w="1740"/>
        <w:gridCol w:w="1275"/>
        <w:gridCol w:w="1056"/>
        <w:gridCol w:w="850"/>
        <w:gridCol w:w="851"/>
        <w:gridCol w:w="992"/>
        <w:gridCol w:w="850"/>
        <w:gridCol w:w="3906"/>
        <w:gridCol w:w="63"/>
      </w:tblGrid>
      <w:tr w:rsidR="009B5602">
        <w:trPr>
          <w:gridAfter w:val="1"/>
          <w:wAfter w:w="63" w:type="dxa"/>
          <w:trHeight w:val="1455"/>
        </w:trPr>
        <w:tc>
          <w:tcPr>
            <w:tcW w:w="959"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Zap. št.</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946"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Povezani ukrep (reforma ali naložba)</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795"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Mejnik/cilj</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740"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Ime</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275"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Kvalitativni kazalniki</w:t>
            </w:r>
            <w:r>
              <w:rPr>
                <w:rFonts w:ascii="Times New Roman" w:hAnsi="Times New Roman"/>
                <w:noProof/>
                <w:sz w:val="20"/>
                <w:szCs w:val="20"/>
              </w:rPr>
              <w:t xml:space="preserve">  </w:t>
            </w:r>
            <w:r>
              <w:rPr>
                <w:rFonts w:ascii="Times New Roman" w:hAnsi="Times New Roman"/>
                <w:b/>
                <w:bCs/>
                <w:noProof/>
                <w:sz w:val="20"/>
                <w:szCs w:val="20"/>
              </w:rPr>
              <w:t xml:space="preserve">   (za mejnike)</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2757"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Kvantitativni kazalniki</w:t>
            </w:r>
            <w:r>
              <w:rPr>
                <w:rFonts w:ascii="Times New Roman" w:hAnsi="Times New Roman"/>
                <w:noProof/>
                <w:sz w:val="20"/>
                <w:szCs w:val="20"/>
              </w:rPr>
              <w:t xml:space="preserve">  </w:t>
            </w:r>
            <w:r>
              <w:rPr>
                <w:rFonts w:ascii="Times New Roman" w:hAnsi="Times New Roman"/>
                <w:b/>
                <w:bCs/>
                <w:noProof/>
                <w:sz w:val="20"/>
                <w:szCs w:val="20"/>
              </w:rPr>
              <w:t xml:space="preserve">   (za cilje)</w:t>
            </w:r>
          </w:p>
        </w:tc>
        <w:tc>
          <w:tcPr>
            <w:tcW w:w="1842" w:type="dxa"/>
            <w:gridSpan w:val="2"/>
            <w:tcBorders>
              <w:top w:val="single" w:sz="8" w:space="0" w:color="auto"/>
              <w:left w:val="nil"/>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Okvirni časovni razpored za dokončanje </w:t>
            </w:r>
          </w:p>
        </w:tc>
        <w:tc>
          <w:tcPr>
            <w:tcW w:w="3906" w:type="dxa"/>
            <w:vMerge w:val="restart"/>
            <w:tcBorders>
              <w:top w:val="single" w:sz="8" w:space="0" w:color="auto"/>
              <w:left w:val="nil"/>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Opis in jasna opredelitev vsakega mejnika in cilja</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r>
      <w:tr w:rsidR="009B5602">
        <w:trPr>
          <w:gridAfter w:val="1"/>
          <w:wAfter w:w="63" w:type="dxa"/>
          <w:trHeight w:val="795"/>
        </w:trPr>
        <w:tc>
          <w:tcPr>
            <w:tcW w:w="959" w:type="dxa"/>
            <w:vMerge/>
            <w:tcBorders>
              <w:left w:val="single" w:sz="8" w:space="0" w:color="auto"/>
              <w:bottom w:val="nil"/>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946" w:type="dxa"/>
            <w:vMerge/>
            <w:tcBorders>
              <w:left w:val="single" w:sz="8" w:space="0" w:color="auto"/>
              <w:bottom w:val="nil"/>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795" w:type="dxa"/>
            <w:vMerge/>
            <w:tcBorders>
              <w:left w:val="single" w:sz="8" w:space="0" w:color="auto"/>
              <w:bottom w:val="nil"/>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740" w:type="dxa"/>
            <w:vMerge/>
            <w:tcBorders>
              <w:left w:val="single" w:sz="8" w:space="0" w:color="auto"/>
              <w:bottom w:val="nil"/>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275" w:type="dxa"/>
            <w:vMerge/>
            <w:tcBorders>
              <w:left w:val="single" w:sz="8" w:space="0" w:color="auto"/>
              <w:bottom w:val="nil"/>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056" w:type="dxa"/>
            <w:tcBorders>
              <w:top w:val="single" w:sz="8" w:space="0" w:color="auto"/>
              <w:left w:val="single" w:sz="8" w:space="0" w:color="auto"/>
              <w:bottom w:val="nil"/>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Enota merjenja</w:t>
            </w:r>
          </w:p>
        </w:tc>
        <w:tc>
          <w:tcPr>
            <w:tcW w:w="850" w:type="dxa"/>
            <w:tcBorders>
              <w:top w:val="nil"/>
              <w:left w:val="single" w:sz="8" w:space="0" w:color="000000"/>
              <w:bottom w:val="nil"/>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Izhodiščna raven </w:t>
            </w:r>
          </w:p>
        </w:tc>
        <w:tc>
          <w:tcPr>
            <w:tcW w:w="851" w:type="dxa"/>
            <w:tcBorders>
              <w:top w:val="nil"/>
              <w:left w:val="single" w:sz="8" w:space="0" w:color="auto"/>
              <w:bottom w:val="nil"/>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Ciljna raven</w:t>
            </w:r>
          </w:p>
        </w:tc>
        <w:tc>
          <w:tcPr>
            <w:tcW w:w="992" w:type="dxa"/>
            <w:tcBorders>
              <w:top w:val="single" w:sz="8" w:space="0" w:color="auto"/>
              <w:left w:val="single" w:sz="8" w:space="0" w:color="000000"/>
              <w:bottom w:val="nil"/>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Četrtletje</w:t>
            </w:r>
          </w:p>
        </w:tc>
        <w:tc>
          <w:tcPr>
            <w:tcW w:w="850" w:type="dxa"/>
            <w:tcBorders>
              <w:top w:val="nil"/>
              <w:left w:val="single" w:sz="8" w:space="0" w:color="000000"/>
              <w:bottom w:val="nil"/>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Leto</w:t>
            </w:r>
          </w:p>
        </w:tc>
        <w:tc>
          <w:tcPr>
            <w:tcW w:w="3906" w:type="dxa"/>
            <w:vMerge/>
            <w:tcBorders>
              <w:left w:val="single" w:sz="8" w:space="0" w:color="000000"/>
              <w:bottom w:val="nil"/>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r>
      <w:tr w:rsidR="009B5602">
        <w:trPr>
          <w:gridAfter w:val="1"/>
          <w:wAfter w:w="63" w:type="dxa"/>
          <w:trHeight w:val="234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1</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2 – Prenova stavb – Reforma 1: Uskladitev podpornih mehanizmov za prenovo družinskih hiš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mejnik</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385724"/>
                <w:sz w:val="20"/>
                <w:szCs w:val="20"/>
              </w:rPr>
            </w:pPr>
            <w:r>
              <w:rPr>
                <w:rFonts w:ascii="Times New Roman" w:hAnsi="Times New Roman"/>
                <w:noProof/>
                <w:color w:val="385724"/>
                <w:sz w:val="20"/>
                <w:szCs w:val="20"/>
              </w:rPr>
              <w:t xml:space="preserve"> Izvedbeni načrt za spodbujanje zelene prenove družinskih hiš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Sprejetje izvedbenega načrta s </w:t>
            </w:r>
            <w:r>
              <w:rPr>
                <w:rFonts w:ascii="Times New Roman" w:hAnsi="Times New Roman"/>
                <w:noProof/>
                <w:color w:val="385724"/>
                <w:sz w:val="20"/>
                <w:szCs w:val="20"/>
              </w:rPr>
              <w:t xml:space="preserve">strani Ministrstva za okolje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Q3</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2022</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Izvedbeni načrt določa različne programe podpore in jih usklajuje. Podrobno opisuje priprave na začetek izvajanja sistema, časovni razpored in njegovo upravljanje ter spremljanje rekonstrukcije in preverjanja pri</w:t>
            </w:r>
            <w:r>
              <w:rPr>
                <w:rFonts w:ascii="Times New Roman" w:hAnsi="Times New Roman"/>
                <w:noProof/>
                <w:color w:val="385724"/>
                <w:sz w:val="20"/>
                <w:szCs w:val="20"/>
              </w:rPr>
              <w:t xml:space="preserve">hrankov energije predvsem z energetskimi izkaznicami ali drugimi ustreznimi dokumenti. Sistemi so zasnovani tako, da spodbujajo povprečno vsaj 30–odstotne prihranke primarne energije in izpolnjujejo zahteve iz tehničnih smernic za uporabo načela, da se ne </w:t>
            </w:r>
            <w:r>
              <w:rPr>
                <w:rFonts w:ascii="Times New Roman" w:hAnsi="Times New Roman"/>
                <w:noProof/>
                <w:color w:val="385724"/>
                <w:sz w:val="20"/>
                <w:szCs w:val="20"/>
              </w:rPr>
              <w:t xml:space="preserve">škoduje bistveno (2021/C58/01). </w:t>
            </w:r>
          </w:p>
        </w:tc>
      </w:tr>
      <w:tr w:rsidR="009B5602">
        <w:trPr>
          <w:gridAfter w:val="1"/>
          <w:wAfter w:w="63" w:type="dxa"/>
          <w:trHeight w:val="75"/>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2</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w:t>
            </w:r>
          </w:p>
          <w:p w:rsidR="009B5602" w:rsidRDefault="00886830">
            <w:pPr>
              <w:rPr>
                <w:rFonts w:ascii="Times New Roman" w:hAnsi="Times New Roman"/>
                <w:noProof/>
                <w:color w:val="385724"/>
                <w:sz w:val="20"/>
                <w:szCs w:val="20"/>
              </w:rPr>
            </w:pPr>
            <w:r>
              <w:rPr>
                <w:rFonts w:ascii="Times New Roman" w:hAnsi="Times New Roman"/>
                <w:noProof/>
                <w:color w:val="385724"/>
                <w:sz w:val="20"/>
                <w:szCs w:val="20"/>
              </w:rPr>
              <w:t xml:space="preserve">2 – Prenova stavb – Reforma 1:  Izboljšanje energetske učinkovitosti družinskih hiš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mejnik </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Uvedba programov podpore za mobilizacijo prihrankov energije in zelene prenove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385724"/>
                <w:sz w:val="20"/>
                <w:szCs w:val="20"/>
              </w:rPr>
            </w:pPr>
            <w:r>
              <w:rPr>
                <w:rFonts w:ascii="Times New Roman" w:hAnsi="Times New Roman"/>
                <w:noProof/>
                <w:color w:val="385724"/>
                <w:sz w:val="20"/>
                <w:szCs w:val="20"/>
              </w:rPr>
              <w:t xml:space="preserve"> Uvedba programov podpore za mobilizacijo prihrankov energije in zelene prenove</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Q3</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2022</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Sistemi za mobilizacijo prihrankov energije in zelene prenove se oblikujejo in začnejo izvajati v skladu z ukrepi in časovnim načrtom, sprejetim v izvedbenem načr</w:t>
            </w:r>
            <w:r>
              <w:rPr>
                <w:rFonts w:ascii="Times New Roman" w:hAnsi="Times New Roman"/>
                <w:noProof/>
                <w:color w:val="385724"/>
                <w:sz w:val="20"/>
                <w:szCs w:val="20"/>
              </w:rPr>
              <w:t>tu. Slovaška agencija za okolje bo zadevne razpise objavila na spletni strani.</w:t>
            </w:r>
          </w:p>
          <w:p w:rsidR="009B5602" w:rsidRDefault="00886830">
            <w:pPr>
              <w:rPr>
                <w:rFonts w:ascii="Times New Roman" w:hAnsi="Times New Roman"/>
                <w:noProof/>
                <w:sz w:val="20"/>
                <w:szCs w:val="20"/>
              </w:rPr>
            </w:pPr>
            <w:r>
              <w:rPr>
                <w:rFonts w:ascii="Times New Roman" w:hAnsi="Times New Roman"/>
                <w:i/>
                <w:iCs/>
                <w:noProof/>
                <w:color w:val="385724"/>
                <w:sz w:val="20"/>
                <w:szCs w:val="20"/>
              </w:rPr>
              <w:t xml:space="preserve"> </w:t>
            </w:r>
          </w:p>
        </w:tc>
      </w:tr>
      <w:tr w:rsidR="009B5602">
        <w:trPr>
          <w:gridAfter w:val="1"/>
          <w:wAfter w:w="63" w:type="dxa"/>
          <w:trHeight w:val="147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3</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w:t>
            </w:r>
          </w:p>
          <w:p w:rsidR="009B5602" w:rsidRDefault="00886830">
            <w:pPr>
              <w:rPr>
                <w:rFonts w:ascii="Times New Roman" w:hAnsi="Times New Roman"/>
                <w:noProof/>
                <w:color w:val="385724"/>
                <w:sz w:val="20"/>
                <w:szCs w:val="20"/>
              </w:rPr>
            </w:pPr>
            <w:r>
              <w:rPr>
                <w:rFonts w:ascii="Times New Roman" w:hAnsi="Times New Roman"/>
                <w:noProof/>
                <w:color w:val="385724"/>
                <w:sz w:val="20"/>
                <w:szCs w:val="20"/>
              </w:rPr>
              <w:t xml:space="preserve">2 – Prenova stavb – Naložba 1: Izboljšanje energetske učinkovitosti družinskih hiš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cilj</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Število prenovljenih družinskih hiš, ki v povprečju dosegajo vsaj 30-odstotni prihranek primarne energije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sz w:val="20"/>
                <w:szCs w:val="20"/>
              </w:rPr>
              <w:t xml:space="preserve">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število</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385724"/>
                <w:sz w:val="20"/>
                <w:szCs w:val="20"/>
              </w:rPr>
              <w:t>18 000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Q4</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2024</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385724"/>
                <w:sz w:val="20"/>
                <w:szCs w:val="20"/>
              </w:rPr>
            </w:pPr>
            <w:r>
              <w:rPr>
                <w:rFonts w:ascii="Times New Roman" w:hAnsi="Times New Roman"/>
                <w:noProof/>
                <w:color w:val="385724"/>
                <w:sz w:val="20"/>
                <w:szCs w:val="20"/>
              </w:rPr>
              <w:t xml:space="preserve">18 000 enodružinskih hiš se prenovi v skladu z zahtevami programov podpore, vključno s skladnostjo z načelom, da se ne </w:t>
            </w:r>
            <w:r>
              <w:rPr>
                <w:rFonts w:ascii="Times New Roman" w:hAnsi="Times New Roman"/>
                <w:noProof/>
                <w:color w:val="385724"/>
                <w:sz w:val="20"/>
                <w:szCs w:val="20"/>
              </w:rPr>
              <w:t>škoduje bistveno, ter za zagotavljanje spodbud za doseganje povprečno vsaj 30-odstotnega prihranka primarne energije in dodatnih dopolnilnih ukrepov. Seznam možnih ukrepov vključuje: izolacija, zamenjava oken, obnovitev strehe, zadrževanje deževnice, zamen</w:t>
            </w:r>
            <w:r>
              <w:rPr>
                <w:rFonts w:ascii="Times New Roman" w:hAnsi="Times New Roman"/>
                <w:noProof/>
                <w:color w:val="385724"/>
                <w:sz w:val="20"/>
                <w:szCs w:val="20"/>
              </w:rPr>
              <w:t>java kotla ali odstranitev pokrova azbesta ali drugi ukrepi v skladu z besedilom sestavnega dela.  Prihranki energije obnovljenih hiš se preverjajo predvsem z energetsko izkaznico ali drugimi ustreznimi dokumenti. Naložbe, ki se financirajo z RRF, ne zagot</w:t>
            </w:r>
            <w:r>
              <w:rPr>
                <w:rFonts w:ascii="Times New Roman" w:hAnsi="Times New Roman"/>
                <w:noProof/>
                <w:color w:val="385724"/>
                <w:sz w:val="20"/>
                <w:szCs w:val="20"/>
              </w:rPr>
              <w:t>avljajo podpore za kotle na biomaso.</w:t>
            </w:r>
          </w:p>
        </w:tc>
      </w:tr>
      <w:tr w:rsidR="009B5602">
        <w:trPr>
          <w:gridAfter w:val="1"/>
          <w:wAfter w:w="63" w:type="dxa"/>
          <w:trHeight w:val="126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4</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w:t>
            </w:r>
          </w:p>
          <w:p w:rsidR="009B5602" w:rsidRDefault="00886830">
            <w:pPr>
              <w:rPr>
                <w:rFonts w:ascii="Times New Roman" w:hAnsi="Times New Roman"/>
                <w:noProof/>
                <w:color w:val="385724"/>
                <w:sz w:val="20"/>
                <w:szCs w:val="20"/>
              </w:rPr>
            </w:pPr>
            <w:r>
              <w:rPr>
                <w:rFonts w:ascii="Times New Roman" w:hAnsi="Times New Roman"/>
                <w:noProof/>
                <w:color w:val="385724"/>
                <w:sz w:val="20"/>
                <w:szCs w:val="20"/>
              </w:rPr>
              <w:t xml:space="preserve">2 – Prenova stavb – Naložba 1: Izboljšanje energetske učinkovitosti družinskih hiš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cilj</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Število prenovljenih družinskih hiš, ki v povprečju dosegajo vsaj 30-odstotni prihranek primarne energije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sz w:val="20"/>
                <w:szCs w:val="20"/>
              </w:rPr>
              <w:t xml:space="preserve">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število</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18 000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385724"/>
                <w:sz w:val="20"/>
                <w:szCs w:val="20"/>
              </w:rPr>
              <w:t>30 0000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Q2</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2026</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385724"/>
                <w:sz w:val="20"/>
                <w:szCs w:val="20"/>
              </w:rPr>
            </w:pPr>
            <w:r>
              <w:rPr>
                <w:rFonts w:ascii="Times New Roman" w:hAnsi="Times New Roman"/>
                <w:noProof/>
                <w:color w:val="385724"/>
                <w:sz w:val="20"/>
                <w:szCs w:val="20"/>
              </w:rPr>
              <w:t>Skupno se 30 000 enodružinskih hiš prenovi v skladu z zahtevami sistemov, vključno s skladnostjo z načelom, da se ne škoduje bistveno, in da se zagotovijo spodbude za doseganje povprečnega vsaj 30-odstotnega prihranka primarne energije in d</w:t>
            </w:r>
            <w:r>
              <w:rPr>
                <w:rFonts w:ascii="Times New Roman" w:hAnsi="Times New Roman"/>
                <w:noProof/>
                <w:color w:val="385724"/>
                <w:sz w:val="20"/>
                <w:szCs w:val="20"/>
              </w:rPr>
              <w:t>odatni dopolnilni ukrepi. Seznam možnih ukrepov vključuje:  kot izolacija, zamenjava oken, obnovitev strehe, zadrževanje deževnice, zamenjava kotla ali odstranitev pokrova azbesta ali drugi ukrepi v skladu z besedilom sestavnega dela in zagotovljenimi stro</w:t>
            </w:r>
            <w:r>
              <w:rPr>
                <w:rFonts w:ascii="Times New Roman" w:hAnsi="Times New Roman"/>
                <w:noProof/>
                <w:color w:val="385724"/>
                <w:sz w:val="20"/>
                <w:szCs w:val="20"/>
              </w:rPr>
              <w:t>ški. Prihranki energije obnovljenih hiš se preverjajo predvsem z energetsko izkaznico ali drugimi ustreznimi dokumenti. Naložbe, ki se financirajo z RRF, ne zagotavljajo podpore za kotle na biomaso.</w:t>
            </w:r>
          </w:p>
        </w:tc>
      </w:tr>
      <w:tr w:rsidR="009B5602">
        <w:trPr>
          <w:trHeight w:val="555"/>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5</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w:t>
            </w:r>
          </w:p>
          <w:p w:rsidR="009B5602" w:rsidRDefault="009B5602">
            <w:pPr>
              <w:spacing w:after="0"/>
              <w:rPr>
                <w:rFonts w:ascii="Times New Roman" w:hAnsi="Times New Roman"/>
                <w:noProof/>
                <w:color w:val="385724"/>
                <w:sz w:val="20"/>
                <w:szCs w:val="20"/>
              </w:rPr>
            </w:pPr>
          </w:p>
          <w:p w:rsidR="009B5602" w:rsidRDefault="00886830">
            <w:pPr>
              <w:spacing w:after="0"/>
              <w:rPr>
                <w:rFonts w:ascii="Times New Roman" w:hAnsi="Times New Roman"/>
                <w:noProof/>
                <w:color w:val="385724"/>
                <w:sz w:val="20"/>
                <w:szCs w:val="20"/>
              </w:rPr>
            </w:pPr>
            <w:r>
              <w:rPr>
                <w:rFonts w:ascii="Times New Roman" w:hAnsi="Times New Roman"/>
                <w:noProof/>
                <w:color w:val="385724"/>
                <w:sz w:val="20"/>
                <w:szCs w:val="20"/>
              </w:rPr>
              <w:t xml:space="preserve">2. Prenova stavb – Reforma 2:  Povečanje </w:t>
            </w:r>
            <w:r>
              <w:rPr>
                <w:rFonts w:ascii="Times New Roman" w:hAnsi="Times New Roman"/>
                <w:noProof/>
                <w:color w:val="385724"/>
                <w:sz w:val="20"/>
                <w:szCs w:val="20"/>
              </w:rPr>
              <w:t>preglednosti in poenostavitev odločitev slovaškega odbora za spomenike</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385724"/>
                <w:sz w:val="20"/>
                <w:szCs w:val="20"/>
              </w:rPr>
            </w:pPr>
            <w:r>
              <w:rPr>
                <w:rFonts w:ascii="Times New Roman" w:hAnsi="Times New Roman"/>
                <w:noProof/>
                <w:color w:val="385724"/>
                <w:sz w:val="20"/>
                <w:szCs w:val="20"/>
              </w:rPr>
              <w:t xml:space="preserve">mejnik </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385724"/>
                <w:sz w:val="20"/>
                <w:szCs w:val="20"/>
              </w:rPr>
            </w:pPr>
            <w:r>
              <w:rPr>
                <w:rFonts w:ascii="Times New Roman" w:hAnsi="Times New Roman"/>
                <w:noProof/>
                <w:color w:val="385724"/>
                <w:sz w:val="20"/>
                <w:szCs w:val="20"/>
              </w:rPr>
              <w:t xml:space="preserve">Metodologije za postopek odločanja slovaškega odbora za spomenike </w:t>
            </w:r>
          </w:p>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385724"/>
                <w:sz w:val="20"/>
                <w:szCs w:val="20"/>
              </w:rPr>
            </w:pPr>
            <w:r>
              <w:rPr>
                <w:rFonts w:ascii="Times New Roman" w:hAnsi="Times New Roman"/>
                <w:noProof/>
                <w:color w:val="385724"/>
                <w:sz w:val="20"/>
                <w:szCs w:val="20"/>
              </w:rPr>
              <w:t xml:space="preserve"> Objava metodologij s strani odbora za spomenike</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color w:val="385724"/>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jc w:val="right"/>
              <w:rPr>
                <w:rFonts w:ascii="Times New Roman" w:hAnsi="Times New Roman"/>
                <w:noProof/>
                <w:color w:val="385724"/>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385724"/>
                <w:sz w:val="20"/>
                <w:szCs w:val="20"/>
              </w:rPr>
            </w:pPr>
            <w:r>
              <w:rPr>
                <w:rFonts w:ascii="Times New Roman" w:hAnsi="Times New Roman"/>
                <w:noProof/>
                <w:color w:val="385724"/>
                <w:sz w:val="20"/>
                <w:szCs w:val="20"/>
              </w:rPr>
              <w:t xml:space="preserve">3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Q4</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2023</w:t>
            </w:r>
          </w:p>
        </w:tc>
        <w:tc>
          <w:tcPr>
            <w:tcW w:w="3969"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385724"/>
                <w:sz w:val="20"/>
                <w:szCs w:val="20"/>
              </w:rPr>
            </w:pPr>
            <w:r>
              <w:rPr>
                <w:rFonts w:ascii="Times New Roman" w:hAnsi="Times New Roman"/>
                <w:noProof/>
                <w:color w:val="385724"/>
                <w:sz w:val="20"/>
                <w:szCs w:val="20"/>
              </w:rPr>
              <w:t>Razvoj in sprejetje treh metodologij za razvrščanje spomenikov, da bi povečali preglednost, javno odobravanje in pospešili postopke odločanja slovaškega odbora za spomenike. Odbor za spomenike na podlagi standardiziranih metodologij izda vsaj 1 000 gradben</w:t>
            </w:r>
            <w:r>
              <w:rPr>
                <w:rFonts w:ascii="Times New Roman" w:hAnsi="Times New Roman"/>
                <w:noProof/>
                <w:color w:val="385724"/>
                <w:sz w:val="20"/>
                <w:szCs w:val="20"/>
              </w:rPr>
              <w:t xml:space="preserve">ih potnih listov, da se zagotovijo diagnoze tehničnih in energetskih vidikov zadevnih spomenikov v državni lasti za lažje sprejemanje odločitev o prenovi. </w:t>
            </w:r>
          </w:p>
        </w:tc>
      </w:tr>
      <w:tr w:rsidR="009B5602">
        <w:trPr>
          <w:gridAfter w:val="1"/>
          <w:wAfter w:w="63" w:type="dxa"/>
          <w:trHeight w:val="168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6</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2– Prenova stavb – Naložba 2:  Prenova javnih zgodovinskih stavb in stavb s seznama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cilj</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w:t>
            </w:r>
          </w:p>
          <w:p w:rsidR="009B5602" w:rsidRDefault="00886830">
            <w:pPr>
              <w:rPr>
                <w:rFonts w:ascii="Times New Roman" w:hAnsi="Times New Roman"/>
                <w:noProof/>
                <w:color w:val="385724"/>
                <w:sz w:val="20"/>
                <w:szCs w:val="20"/>
              </w:rPr>
            </w:pPr>
            <w:r>
              <w:rPr>
                <w:rFonts w:ascii="Times New Roman" w:hAnsi="Times New Roman"/>
                <w:noProof/>
                <w:color w:val="385724"/>
                <w:sz w:val="20"/>
                <w:szCs w:val="20"/>
              </w:rPr>
              <w:t>Skupna površina (m²) prenovljenih javnih zgodovinskih stavb in stavb s seznama, ki dosegajo vsaj 30 % prihrankov primarne energije</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i/>
                <w:iCs/>
                <w:noProof/>
                <w:color w:val="385724"/>
                <w:sz w:val="20"/>
                <w:szCs w:val="20"/>
              </w:rPr>
              <w:t xml:space="preserve">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Površina (m²)</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385724"/>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385724"/>
                <w:sz w:val="20"/>
                <w:szCs w:val="20"/>
              </w:rPr>
              <w:t xml:space="preserve"> </w:t>
            </w:r>
          </w:p>
          <w:p w:rsidR="009B5602" w:rsidRDefault="00886830">
            <w:pPr>
              <w:jc w:val="both"/>
              <w:rPr>
                <w:rFonts w:ascii="Times New Roman" w:hAnsi="Times New Roman"/>
                <w:noProof/>
                <w:sz w:val="20"/>
                <w:szCs w:val="20"/>
              </w:rPr>
            </w:pPr>
            <w:r>
              <w:rPr>
                <w:rFonts w:ascii="Times New Roman" w:hAnsi="Times New Roman"/>
                <w:noProof/>
                <w:color w:val="385724"/>
                <w:sz w:val="20"/>
                <w:szCs w:val="20"/>
              </w:rPr>
              <w:t>60 000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Q4</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2024</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Od splošnega cilja je prenova 66 000 m², tj. vsaj 60 000 m² zgodovinskih in spomeniško </w:t>
            </w:r>
            <w:r>
              <w:rPr>
                <w:rFonts w:ascii="Times New Roman" w:hAnsi="Times New Roman"/>
                <w:noProof/>
                <w:color w:val="385724"/>
                <w:sz w:val="20"/>
                <w:szCs w:val="20"/>
              </w:rPr>
              <w:t>zaščitenih javnih stavb, obnovljena v skladu z zahtevami javnega razpisa, v katerem so opredeljeni pogoji za doseganje povprečno vsaj 30-odstotnega prihranka primarne energije, skladnost z načelom, da se ne škoduje bistveno, in spodbujanje izvajanja drugih</w:t>
            </w:r>
            <w:r>
              <w:rPr>
                <w:rFonts w:ascii="Times New Roman" w:hAnsi="Times New Roman"/>
                <w:noProof/>
                <w:color w:val="385724"/>
                <w:sz w:val="20"/>
                <w:szCs w:val="20"/>
              </w:rPr>
              <w:t xml:space="preserve"> dopolnilnih ukrepov (kot so zadrževanje deževnice, odstranjevanje azbesta, dostopnost stavb). Prihranki energije se spremljajo in preverjajo za prenovljene stavbe z energetskimi izkaznicami.</w:t>
            </w:r>
          </w:p>
        </w:tc>
      </w:tr>
      <w:tr w:rsidR="009B5602">
        <w:trPr>
          <w:gridAfter w:val="1"/>
          <w:wAfter w:w="63" w:type="dxa"/>
          <w:trHeight w:val="234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7</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2– Prenova stavb – Naložba 2:  Prenova javnih zgodovinskih stavb in stavb s seznama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cilj</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385724"/>
                <w:sz w:val="20"/>
                <w:szCs w:val="20"/>
              </w:rPr>
            </w:pPr>
            <w:r>
              <w:rPr>
                <w:rFonts w:ascii="Times New Roman" w:hAnsi="Times New Roman"/>
                <w:noProof/>
                <w:color w:val="385724"/>
                <w:sz w:val="20"/>
                <w:szCs w:val="20"/>
              </w:rPr>
              <w:t>Skupna površina (m²) prenovljenih javnih zgodovinskih stavb in stavb s seznama</w:t>
            </w:r>
          </w:p>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doseganje vsaj 30-odstotnega prihranka primarne energije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sz w:val="20"/>
                <w:szCs w:val="20"/>
              </w:rPr>
              <w:t xml:space="preserve">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Površina (m²)</w:t>
            </w:r>
          </w:p>
          <w:p w:rsidR="009B5602" w:rsidRDefault="00886830">
            <w:pPr>
              <w:jc w:val="both"/>
              <w:rPr>
                <w:rFonts w:ascii="Times New Roman" w:hAnsi="Times New Roman"/>
                <w:noProof/>
                <w:sz w:val="20"/>
                <w:szCs w:val="20"/>
              </w:rPr>
            </w:pPr>
            <w:r>
              <w:rPr>
                <w:rFonts w:ascii="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385724"/>
                <w:sz w:val="20"/>
                <w:szCs w:val="20"/>
              </w:rPr>
              <w:t>60 000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385724"/>
                <w:sz w:val="20"/>
                <w:szCs w:val="20"/>
              </w:rPr>
              <w:t>117 000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Q2</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2026</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Od splošnega cilja je obnova 130 000 m², tj. vsaj 117 000 m² zgodovinskih in spomeniško zaščitenih javnih stavb, obnovljenih v skladu z zahtevami javnega razpisa, v katerem so opredeljeni pogoji za doseganje povprečno vsaj 30-odstotnega pri</w:t>
            </w:r>
            <w:r>
              <w:rPr>
                <w:rFonts w:ascii="Times New Roman" w:hAnsi="Times New Roman"/>
                <w:noProof/>
                <w:sz w:val="20"/>
                <w:szCs w:val="20"/>
              </w:rPr>
              <w:t>hranka primarne energije, skladnost z načelom, da se ne škoduje bistveno, in spodbujanje izvajanja drugih dopolnilnih ukrepov (kot so zadrževanje deževnice, odstranjevanje azbesta, dostopnost stavb).</w:t>
            </w:r>
            <w:r>
              <w:rPr>
                <w:rFonts w:ascii="Times New Roman" w:hAnsi="Times New Roman"/>
                <w:noProof/>
                <w:color w:val="385724"/>
                <w:sz w:val="20"/>
                <w:szCs w:val="20"/>
              </w:rPr>
              <w:t xml:space="preserve"> Prihranki energije se spremljajo in preverjajo za prenov</w:t>
            </w:r>
            <w:r>
              <w:rPr>
                <w:rFonts w:ascii="Times New Roman" w:hAnsi="Times New Roman"/>
                <w:noProof/>
                <w:color w:val="385724"/>
                <w:sz w:val="20"/>
                <w:szCs w:val="20"/>
              </w:rPr>
              <w:t>ljene stavbe z energetskimi izkaznicami.</w:t>
            </w:r>
          </w:p>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w:t>
            </w:r>
            <w:r>
              <w:rPr>
                <w:rFonts w:ascii="Times New Roman" w:hAnsi="Times New Roman"/>
                <w:noProof/>
                <w:color w:val="006100"/>
                <w:sz w:val="20"/>
                <w:szCs w:val="20"/>
              </w:rPr>
              <w:t xml:space="preserve"> </w:t>
            </w:r>
          </w:p>
        </w:tc>
      </w:tr>
      <w:tr w:rsidR="009B5602">
        <w:trPr>
          <w:trHeight w:val="1605"/>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8</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 </w:t>
            </w:r>
          </w:p>
          <w:p w:rsidR="009B5602" w:rsidRDefault="00886830">
            <w:pPr>
              <w:rPr>
                <w:rFonts w:ascii="Times New Roman" w:hAnsi="Times New Roman"/>
                <w:noProof/>
                <w:color w:val="385724"/>
                <w:sz w:val="20"/>
                <w:szCs w:val="20"/>
              </w:rPr>
            </w:pPr>
            <w:r>
              <w:rPr>
                <w:rFonts w:ascii="Times New Roman" w:hAnsi="Times New Roman"/>
                <w:noProof/>
                <w:color w:val="385724"/>
                <w:sz w:val="20"/>
                <w:szCs w:val="20"/>
              </w:rPr>
              <w:t>2 – Prenova stavb – Reforma 3: Ravnanje z gradbenimi odpadki in odpadki pri rušenju objektov</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mejnik</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Sprememba Zakona o odpadkih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385724"/>
                <w:sz w:val="20"/>
                <w:szCs w:val="20"/>
              </w:rPr>
              <w:t xml:space="preserve">Začetek veljavnosti zakonodajne spremembe Zakona o odpadkih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385724"/>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385724"/>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Q2</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385724"/>
                <w:sz w:val="20"/>
                <w:szCs w:val="20"/>
              </w:rPr>
              <w:t>2022</w:t>
            </w:r>
          </w:p>
        </w:tc>
        <w:tc>
          <w:tcPr>
            <w:tcW w:w="3969"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385724"/>
                <w:sz w:val="20"/>
                <w:szCs w:val="20"/>
              </w:rPr>
              <w:t>Revidirana zakonodaja ministrstva za okolje o odpadkih povečuje potencial krožnega gospodarstva v gradbeništvu in odpadkih pri rušenju objektov ter gradbeništvu, kar pomeni, da se vsaj 70 % nenevarnih gradbenih odpadkov in odpadkov pri rušenju objektov rec</w:t>
            </w:r>
            <w:r>
              <w:rPr>
                <w:rFonts w:ascii="Times New Roman" w:hAnsi="Times New Roman"/>
                <w:noProof/>
                <w:color w:val="385724"/>
                <w:sz w:val="20"/>
                <w:szCs w:val="20"/>
              </w:rPr>
              <w:t xml:space="preserve">iklira in ponovno uporabi.  Vključuje obvezna zelena javna naročila za </w:t>
            </w:r>
            <w:r>
              <w:rPr>
                <w:rFonts w:ascii="Times New Roman" w:hAnsi="Times New Roman"/>
                <w:b/>
                <w:bCs/>
                <w:noProof/>
                <w:color w:val="385724"/>
                <w:sz w:val="20"/>
                <w:szCs w:val="20"/>
                <w:u w:val="single"/>
              </w:rPr>
              <w:t>gradbene naložbe v okviru državne uprave</w:t>
            </w:r>
            <w:r>
              <w:rPr>
                <w:rFonts w:ascii="Times New Roman" w:hAnsi="Times New Roman"/>
                <w:noProof/>
                <w:color w:val="385724"/>
                <w:sz w:val="20"/>
                <w:szCs w:val="20"/>
              </w:rPr>
              <w:t>, zvišanje zakonsko predpisanih pristojbin za odlaganje na odlagališčih ter poenostavitev pravil za uporabo gradbenih odpadkov in odpadkov pri ru</w:t>
            </w:r>
            <w:r>
              <w:rPr>
                <w:rFonts w:ascii="Times New Roman" w:hAnsi="Times New Roman"/>
                <w:noProof/>
                <w:color w:val="385724"/>
                <w:sz w:val="20"/>
                <w:szCs w:val="20"/>
              </w:rPr>
              <w:t>šenju objektov.</w:t>
            </w:r>
          </w:p>
        </w:tc>
      </w:tr>
    </w:tbl>
    <w:p w:rsidR="009B5602" w:rsidRDefault="009B5602">
      <w:pPr>
        <w:spacing w:before="120" w:after="120" w:line="240" w:lineRule="auto"/>
        <w:rPr>
          <w:rFonts w:ascii="Times New Roman" w:eastAsia="Times New Roman" w:hAnsi="Times New Roman"/>
          <w:b/>
          <w:bCs/>
          <w:noProof/>
          <w:sz w:val="24"/>
          <w:szCs w:val="24"/>
          <w:u w:val="single"/>
        </w:rPr>
      </w:pPr>
    </w:p>
    <w:p w:rsidR="009B5602" w:rsidRDefault="009B5602">
      <w:pPr>
        <w:spacing w:before="120" w:after="120" w:line="240" w:lineRule="auto"/>
        <w:jc w:val="both"/>
        <w:rPr>
          <w:rFonts w:ascii="Times New Roman" w:hAnsi="Times New Roman"/>
          <w:noProof/>
          <w:sz w:val="24"/>
        </w:rPr>
      </w:pPr>
    </w:p>
    <w:p w:rsidR="009B5602" w:rsidRDefault="009B5602">
      <w:pPr>
        <w:spacing w:before="120" w:after="120" w:line="240" w:lineRule="auto"/>
        <w:jc w:val="both"/>
        <w:rPr>
          <w:rFonts w:ascii="Times New Roman" w:eastAsia="Times New Roman" w:hAnsi="Times New Roman"/>
          <w:noProof/>
          <w:sz w:val="24"/>
          <w:szCs w:val="24"/>
        </w:rPr>
      </w:pPr>
    </w:p>
    <w:p w:rsidR="009B5602" w:rsidRDefault="009B5602">
      <w:pPr>
        <w:spacing w:before="120" w:after="120" w:line="240" w:lineRule="auto"/>
        <w:jc w:val="both"/>
        <w:rPr>
          <w:rFonts w:ascii="Times New Roman" w:hAnsi="Times New Roman"/>
          <w:noProof/>
          <w:sz w:val="24"/>
          <w:szCs w:val="24"/>
        </w:rPr>
      </w:pPr>
    </w:p>
    <w:p w:rsidR="009B5602" w:rsidRDefault="009B5602">
      <w:pPr>
        <w:spacing w:before="120" w:after="120" w:line="240" w:lineRule="auto"/>
        <w:jc w:val="both"/>
        <w:rPr>
          <w:rFonts w:ascii="Times New Roman" w:hAnsi="Times New Roman"/>
          <w:noProof/>
          <w:sz w:val="24"/>
          <w:szCs w:val="24"/>
        </w:rPr>
      </w:pPr>
    </w:p>
    <w:p w:rsidR="009B5602" w:rsidRDefault="009B5602">
      <w:pPr>
        <w:spacing w:before="120" w:after="120" w:line="240" w:lineRule="auto"/>
        <w:ind w:left="850"/>
        <w:jc w:val="both"/>
        <w:rPr>
          <w:rFonts w:ascii="Times New Roman" w:hAnsi="Times New Roman"/>
          <w:noProof/>
          <w:sz w:val="24"/>
          <w:szCs w:val="24"/>
        </w:rPr>
        <w:sectPr w:rsidR="009B5602">
          <w:headerReference w:type="even" r:id="rId36"/>
          <w:headerReference w:type="default" r:id="rId37"/>
          <w:footerReference w:type="even" r:id="rId38"/>
          <w:footerReference w:type="default" r:id="rId39"/>
          <w:headerReference w:type="first" r:id="rId40"/>
          <w:footerReference w:type="first" r:id="rId41"/>
          <w:pgSz w:w="16839" w:h="11907" w:orient="landscape"/>
          <w:pgMar w:top="1418" w:right="1134" w:bottom="1418" w:left="1134" w:header="709" w:footer="709" w:gutter="0"/>
          <w:cols w:space="720"/>
          <w:docGrid w:linePitch="360"/>
        </w:sectPr>
      </w:pPr>
    </w:p>
    <w:p w:rsidR="009B5602" w:rsidRDefault="00886830">
      <w:pPr>
        <w:keepNext/>
        <w:spacing w:before="360" w:after="120" w:line="240" w:lineRule="auto"/>
        <w:ind w:left="850" w:hanging="850"/>
        <w:jc w:val="both"/>
        <w:outlineLvl w:val="0"/>
        <w:rPr>
          <w:rFonts w:ascii="Times New Roman" w:hAnsi="Times New Roman"/>
          <w:b/>
          <w:smallCaps/>
          <w:noProof/>
          <w:sz w:val="24"/>
        </w:rPr>
      </w:pPr>
      <w:r>
        <w:rPr>
          <w:rFonts w:ascii="Times New Roman" w:hAnsi="Times New Roman"/>
          <w:b/>
          <w:smallCaps/>
          <w:noProof/>
          <w:sz w:val="24"/>
        </w:rPr>
        <w:tab/>
        <w:t>KOMPONENTA 3: Trajnostni promet</w:t>
      </w:r>
    </w:p>
    <w:p w:rsidR="009B5602" w:rsidRDefault="009B5602">
      <w:pPr>
        <w:spacing w:before="120" w:after="120" w:line="240" w:lineRule="auto"/>
        <w:ind w:left="850"/>
        <w:jc w:val="both"/>
        <w:rPr>
          <w:rFonts w:ascii="Times New Roman" w:hAnsi="Times New Roman"/>
          <w:noProof/>
          <w:sz w:val="24"/>
          <w:szCs w:val="24"/>
        </w:rPr>
      </w:pP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Cilj komponente slovaškega načrta za okrevanje in odpornost je povečati delež okolju prijaznih oblik prevoza z ukrepi in pametnimi rešitvami, </w:t>
      </w:r>
      <w:r>
        <w:rPr>
          <w:rFonts w:ascii="Times New Roman" w:hAnsi="Times New Roman"/>
          <w:noProof/>
          <w:sz w:val="24"/>
          <w:szCs w:val="24"/>
        </w:rPr>
        <w:t>ki temeljijo na analizi podatkov, povečati število potnikov, ki potujejo z železniškim in javnim potniškim prometom, količino blaga, ki se prevaža v okolju prijaznem intermodalnem prevozu, ter podpreti razvoj infrastrukture za alternativni pogon, s čimer b</w:t>
      </w:r>
      <w:r>
        <w:rPr>
          <w:rFonts w:ascii="Times New Roman" w:hAnsi="Times New Roman"/>
          <w:noProof/>
          <w:sz w:val="24"/>
          <w:szCs w:val="24"/>
        </w:rPr>
        <w:t>i se zmanjšale emisije CO</w:t>
      </w:r>
      <w:r>
        <w:rPr>
          <w:rFonts w:ascii="Times New Roman" w:hAnsi="Times New Roman"/>
          <w:noProof/>
          <w:sz w:val="24"/>
          <w:szCs w:val="24"/>
          <w:vertAlign w:val="subscript"/>
        </w:rPr>
        <w:t>2</w:t>
      </w:r>
      <w:r>
        <w:rPr>
          <w:rFonts w:ascii="Times New Roman" w:hAnsi="Times New Roman"/>
          <w:noProof/>
          <w:sz w:val="24"/>
          <w:szCs w:val="24"/>
        </w:rPr>
        <w:t xml:space="preserve"> v prometu in izboljšala kakovost zraka. Pametne in digitalne naložbe podpirajo hitrejši, zanesljivejši in učinkovitejši železniški in čisti javni potniški promet ter spodbujajo potnike k prehodu z avtomobilov in drugih prevoznih </w:t>
      </w:r>
      <w:r>
        <w:rPr>
          <w:rFonts w:ascii="Times New Roman" w:hAnsi="Times New Roman"/>
          <w:noProof/>
          <w:sz w:val="24"/>
          <w:szCs w:val="24"/>
        </w:rPr>
        <w:t>sredstev na osnovi ogljika. Komponenta omogoča širšo uporabo alternativnih pogonov za trajnosten, okolju prijazen, cenovno dostopen in inteligenten promet, hkrati pa spodbuja uporabo pametnih omrežij. Prispeva h konkurenčnosti gospodarstva z ustvarjanjem p</w:t>
      </w:r>
      <w:r>
        <w:rPr>
          <w:rFonts w:ascii="Times New Roman" w:hAnsi="Times New Roman"/>
          <w:noProof/>
          <w:sz w:val="24"/>
          <w:szCs w:val="24"/>
        </w:rPr>
        <w:t xml:space="preserve">otrebnih tržnih pogojev za dobavitelje prevoznih strojev.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Komponenta vključuje štiri reforme in štiri naložbe.</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Pričakuje se, da noben ukrep v tej komponenti ne bo znatno škodoval okoljskim ciljem v smislu člena 17 Uredbe (EU) 2020/852, ob upoštevanju opis</w:t>
      </w:r>
      <w:r>
        <w:rPr>
          <w:rFonts w:ascii="Times New Roman" w:hAnsi="Times New Roman"/>
          <w:noProof/>
          <w:sz w:val="24"/>
          <w:szCs w:val="24"/>
        </w:rPr>
        <w:t xml:space="preserve">a ukrepov in ukrepov za ublažitev, določenih v načrtu za okrevanje in odpornost v skladu s tehničnimi smernicami za uporabo načela, da se ne škoduje bistveno (2021/C58/01).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Reforme in naložbe v okviru komponente neposredno obravnavajo Priporočilo Sveta v</w:t>
      </w:r>
      <w:r>
        <w:rPr>
          <w:rFonts w:ascii="Times New Roman" w:hAnsi="Times New Roman"/>
          <w:noProof/>
          <w:sz w:val="24"/>
          <w:szCs w:val="24"/>
        </w:rPr>
        <w:t xml:space="preserve"> zvezi z nacionalnim reformnim programom Slovaške za leto 2020 in mnenje Sveta o programu stabilnosti Slovaške za leto 2020, v skladu s katerim Slovaška „čim prej izvede pripravljene projekte javnih naložb in podpre naložbe zasebnega sektorja v podporo gos</w:t>
      </w:r>
      <w:r>
        <w:rPr>
          <w:rFonts w:ascii="Times New Roman" w:hAnsi="Times New Roman"/>
          <w:noProof/>
          <w:sz w:val="24"/>
          <w:szCs w:val="24"/>
        </w:rPr>
        <w:t>podarskemu okrevanju.</w:t>
      </w:r>
      <w:r>
        <w:rPr>
          <w:rFonts w:ascii="Times New Roman" w:hAnsi="Times New Roman"/>
          <w:i/>
          <w:iCs/>
          <w:noProof/>
          <w:sz w:val="24"/>
          <w:szCs w:val="24"/>
        </w:rPr>
        <w:t xml:space="preserve"> Usmeri naložbe na zeleni in digitalni prehod, zlasti na čisto in učinkovito proizvodnjo in rabo energije in virov, trajnostni javni prevoz in ravnanje z odpadki.“</w:t>
      </w:r>
      <w:r>
        <w:rPr>
          <w:rFonts w:ascii="Times New Roman" w:hAnsi="Times New Roman"/>
          <w:noProof/>
          <w:sz w:val="24"/>
          <w:szCs w:val="24"/>
        </w:rPr>
        <w:t xml:space="preserve">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szCs w:val="24"/>
        </w:rPr>
        <w:t>Komponenta vključuje štiri reforme in štiri naložbe.</w:t>
      </w:r>
    </w:p>
    <w:p w:rsidR="009B5602" w:rsidRDefault="00886830">
      <w:pPr>
        <w:spacing w:before="120" w:after="120" w:line="240" w:lineRule="auto"/>
        <w:jc w:val="both"/>
        <w:rPr>
          <w:rFonts w:ascii="Times New Roman" w:hAnsi="Times New Roman"/>
          <w:noProof/>
          <w:sz w:val="24"/>
        </w:rPr>
      </w:pPr>
      <w:r>
        <w:rPr>
          <w:rFonts w:ascii="Times New Roman" w:hAnsi="Times New Roman"/>
          <w:b/>
          <w:bCs/>
          <w:noProof/>
          <w:sz w:val="24"/>
          <w:szCs w:val="24"/>
          <w:u w:val="single"/>
        </w:rPr>
        <w:t xml:space="preserve">A.1 </w:t>
      </w:r>
      <w:r>
        <w:rPr>
          <w:rFonts w:ascii="Times New Roman" w:hAnsi="Times New Roman"/>
          <w:noProof/>
          <w:sz w:val="24"/>
        </w:rPr>
        <w:tab/>
      </w:r>
      <w:r>
        <w:rPr>
          <w:rFonts w:ascii="Times New Roman" w:hAnsi="Times New Roman"/>
          <w:b/>
          <w:bCs/>
          <w:noProof/>
          <w:sz w:val="24"/>
          <w:szCs w:val="24"/>
          <w:u w:val="single"/>
        </w:rPr>
        <w:t xml:space="preserve">Opis reform </w:t>
      </w:r>
      <w:r>
        <w:rPr>
          <w:rFonts w:ascii="Times New Roman" w:hAnsi="Times New Roman"/>
          <w:b/>
          <w:bCs/>
          <w:noProof/>
          <w:sz w:val="24"/>
          <w:szCs w:val="24"/>
          <w:u w:val="single"/>
        </w:rPr>
        <w:t>in naložb za nepovratno finančno podporo</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szCs w:val="24"/>
        </w:rPr>
        <w:t xml:space="preserve">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Reforma 1 o pripravi naložbenih projektov na področju prometa.</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Cilj reforme je izboljšati upravljanje naložb in povečati njihove gospodarske koristi. To se doseže z naslednjimi ukrepi:</w:t>
      </w:r>
    </w:p>
    <w:p w:rsidR="009B5602" w:rsidRDefault="00886830">
      <w:pPr>
        <w:numPr>
          <w:ilvl w:val="0"/>
          <w:numId w:val="29"/>
        </w:numPr>
        <w:spacing w:before="120" w:after="160" w:line="257" w:lineRule="auto"/>
        <w:contextualSpacing/>
        <w:jc w:val="both"/>
        <w:rPr>
          <w:rFonts w:eastAsia="Times New Roman"/>
          <w:noProof/>
          <w:sz w:val="24"/>
          <w:szCs w:val="24"/>
        </w:rPr>
      </w:pPr>
      <w:r>
        <w:rPr>
          <w:rFonts w:ascii="Times New Roman" w:hAnsi="Times New Roman"/>
          <w:noProof/>
          <w:sz w:val="24"/>
          <w:szCs w:val="24"/>
        </w:rPr>
        <w:t xml:space="preserve">do 30. junija 2021 pripravi </w:t>
      </w:r>
      <w:r>
        <w:rPr>
          <w:rFonts w:ascii="Times New Roman" w:hAnsi="Times New Roman"/>
          <w:noProof/>
          <w:sz w:val="24"/>
          <w:szCs w:val="24"/>
        </w:rPr>
        <w:t xml:space="preserve">naložbeni načrt za projekte železniške infrastrukture, ki dajejo prednost projektom glede na njihovo stroškovno učinkovitost; </w:t>
      </w:r>
    </w:p>
    <w:p w:rsidR="009B5602" w:rsidRDefault="00886830">
      <w:pPr>
        <w:numPr>
          <w:ilvl w:val="0"/>
          <w:numId w:val="29"/>
        </w:numPr>
        <w:spacing w:before="120" w:after="160" w:line="257" w:lineRule="auto"/>
        <w:contextualSpacing/>
        <w:jc w:val="both"/>
        <w:rPr>
          <w:rFonts w:eastAsia="Times New Roman"/>
          <w:noProof/>
          <w:sz w:val="24"/>
          <w:szCs w:val="24"/>
        </w:rPr>
      </w:pPr>
      <w:r>
        <w:rPr>
          <w:rFonts w:ascii="Times New Roman" w:hAnsi="Times New Roman"/>
          <w:noProof/>
          <w:sz w:val="24"/>
          <w:szCs w:val="24"/>
        </w:rPr>
        <w:t>spremembe Zakona o železnicah in povezane zakonodaje, ki poenostavljajo in poenostavljajo zakonodajne in tehnične zahteve za para</w:t>
      </w:r>
      <w:r>
        <w:rPr>
          <w:rFonts w:ascii="Times New Roman" w:hAnsi="Times New Roman"/>
          <w:noProof/>
          <w:sz w:val="24"/>
          <w:szCs w:val="24"/>
        </w:rPr>
        <w:t>metre prometne infrastrukture, do 31. marca 2023;</w:t>
      </w:r>
    </w:p>
    <w:p w:rsidR="009B5602" w:rsidRDefault="00886830">
      <w:pPr>
        <w:numPr>
          <w:ilvl w:val="0"/>
          <w:numId w:val="29"/>
        </w:numPr>
        <w:spacing w:before="120" w:after="160" w:line="257" w:lineRule="auto"/>
        <w:contextualSpacing/>
        <w:jc w:val="both"/>
        <w:rPr>
          <w:rFonts w:eastAsia="Times New Roman"/>
          <w:noProof/>
          <w:sz w:val="24"/>
          <w:szCs w:val="24"/>
        </w:rPr>
      </w:pPr>
      <w:r>
        <w:rPr>
          <w:rFonts w:ascii="Times New Roman" w:hAnsi="Times New Roman"/>
          <w:noProof/>
          <w:sz w:val="24"/>
          <w:szCs w:val="24"/>
        </w:rPr>
        <w:t>do 31. decembra 2021 objavi metodologijo, ki določa, kako opredeliti projekte z največjo možno stroškovno učinkovitostjo in prispevati k cilju preusmeritve prevoza potnikov z individualnega cestnega prevoza</w:t>
      </w:r>
      <w:r>
        <w:rPr>
          <w:rFonts w:ascii="Times New Roman" w:hAnsi="Times New Roman"/>
          <w:noProof/>
          <w:sz w:val="24"/>
          <w:szCs w:val="24"/>
        </w:rPr>
        <w:t xml:space="preserve"> na kolesarjenje. </w:t>
      </w:r>
    </w:p>
    <w:p w:rsidR="009B5602" w:rsidRPr="00886830" w:rsidRDefault="009B5602">
      <w:pPr>
        <w:spacing w:before="120" w:after="160" w:line="257" w:lineRule="auto"/>
        <w:contextualSpacing/>
        <w:jc w:val="both"/>
        <w:rPr>
          <w:rFonts w:eastAsia="Times New Roman"/>
          <w:noProof/>
          <w:sz w:val="24"/>
          <w:szCs w:val="24"/>
        </w:rPr>
      </w:pPr>
    </w:p>
    <w:p w:rsidR="009B5602" w:rsidRDefault="00886830">
      <w:pPr>
        <w:spacing w:after="0" w:line="240" w:lineRule="auto"/>
        <w:jc w:val="both"/>
        <w:textAlignment w:val="baseline"/>
        <w:rPr>
          <w:rFonts w:ascii="Segoe UI" w:eastAsia="Times New Roman" w:hAnsi="Segoe UI" w:cs="Segoe UI"/>
          <w:noProof/>
          <w:sz w:val="18"/>
          <w:szCs w:val="18"/>
        </w:rPr>
      </w:pPr>
      <w:r>
        <w:rPr>
          <w:rFonts w:ascii="Times New Roman" w:hAnsi="Times New Roman"/>
          <w:noProof/>
          <w:color w:val="000000"/>
          <w:sz w:val="24"/>
          <w:szCs w:val="24"/>
        </w:rPr>
        <w:t>Reforma se izvede do 31. marca 2023.   </w:t>
      </w:r>
    </w:p>
    <w:p w:rsidR="009B5602" w:rsidRPr="00886830" w:rsidRDefault="009B5602">
      <w:pPr>
        <w:spacing w:before="120" w:after="160" w:line="257" w:lineRule="auto"/>
        <w:contextualSpacing/>
        <w:jc w:val="both"/>
        <w:rPr>
          <w:rFonts w:eastAsia="Times New Roman"/>
          <w:noProof/>
          <w:sz w:val="24"/>
          <w:szCs w:val="24"/>
          <w:lang w:val="es-ES"/>
        </w:rPr>
      </w:pPr>
    </w:p>
    <w:p w:rsidR="009B5602" w:rsidRPr="00886830" w:rsidRDefault="009B5602">
      <w:pPr>
        <w:spacing w:before="120" w:after="160" w:line="257" w:lineRule="auto"/>
        <w:contextualSpacing/>
        <w:jc w:val="both"/>
        <w:rPr>
          <w:rFonts w:eastAsia="Times New Roman"/>
          <w:noProof/>
          <w:sz w:val="24"/>
          <w:szCs w:val="24"/>
          <w:lang w:val="es-ES"/>
        </w:rPr>
      </w:pP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Reforma 2 o javnem potniškem prevozu.</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Cilj reforme je izboljšati zagotavljanje potniškega prometa. Nov načrt prevoznih storitev, ki mu sledi optimizacija železniškega potniškega prometa, je </w:t>
      </w:r>
      <w:r>
        <w:rPr>
          <w:rFonts w:ascii="Times New Roman" w:hAnsi="Times New Roman"/>
          <w:noProof/>
          <w:sz w:val="24"/>
          <w:szCs w:val="24"/>
        </w:rPr>
        <w:t>pomemben del celovite reforme javnega prevoza. Reformo podpira nova zakonodaja, ki določa pravila, odgovornosti in obveznosti pri usklajevanju, naročanju in financiranju regionalnih avtobusnih in železniških storitev. Zakonodaja določa nacionalni organ, ki</w:t>
      </w:r>
      <w:r>
        <w:rPr>
          <w:rFonts w:ascii="Times New Roman" w:hAnsi="Times New Roman"/>
          <w:noProof/>
          <w:sz w:val="24"/>
          <w:szCs w:val="24"/>
        </w:rPr>
        <w:t xml:space="preserve"> v sodelovanju z regionalnimi integratorji usklajuje oblikovanje nacionalnega integriranega prometnega sistema z enotno prevozno ceno ter usklajuje pripravo in izvajanje postopkov javnih naročil za javne storitve železniškega potniškega prometa in vozila, </w:t>
      </w:r>
      <w:r>
        <w:rPr>
          <w:rFonts w:ascii="Times New Roman" w:hAnsi="Times New Roman"/>
          <w:noProof/>
          <w:sz w:val="24"/>
          <w:szCs w:val="24"/>
        </w:rPr>
        <w:t>kupljena s sredstvi EU za delovanje teh prog v prejšnjih obdobjih. Pogostost železniškega prevoza na progah z največjim potencialom za prenos prometa z avtomobilov na vlake se poveča, kar omogoča boljše usklajevanje regionalnih javnih avtobusnih in železni</w:t>
      </w:r>
      <w:r>
        <w:rPr>
          <w:rFonts w:ascii="Times New Roman" w:hAnsi="Times New Roman"/>
          <w:noProof/>
          <w:sz w:val="24"/>
          <w:szCs w:val="24"/>
        </w:rPr>
        <w:t>ških storitev. To reformo podpirajo naslednji posebni ukrepi:</w:t>
      </w:r>
      <w:r>
        <w:rPr>
          <w:rFonts w:ascii="Times New Roman" w:hAnsi="Times New Roman"/>
          <w:b/>
          <w:bCs/>
          <w:noProof/>
          <w:sz w:val="24"/>
          <w:szCs w:val="24"/>
        </w:rPr>
        <w:t xml:space="preserve"> </w:t>
      </w:r>
    </w:p>
    <w:p w:rsidR="009B5602" w:rsidRDefault="00886830">
      <w:pPr>
        <w:numPr>
          <w:ilvl w:val="0"/>
          <w:numId w:val="28"/>
        </w:numPr>
        <w:spacing w:before="120" w:after="160" w:line="257" w:lineRule="auto"/>
        <w:contextualSpacing/>
        <w:jc w:val="both"/>
        <w:rPr>
          <w:rFonts w:eastAsia="Times New Roman"/>
          <w:noProof/>
          <w:sz w:val="24"/>
          <w:szCs w:val="24"/>
        </w:rPr>
      </w:pPr>
      <w:r>
        <w:rPr>
          <w:rFonts w:ascii="Times New Roman" w:hAnsi="Times New Roman"/>
          <w:noProof/>
          <w:sz w:val="24"/>
          <w:szCs w:val="24"/>
        </w:rPr>
        <w:t xml:space="preserve">Nov zakon bo do 31. marca 2023 določil standarde javnega potniškega prevoza in racionaliziral javni red storitev, ki je trenutno razdrobljen in nezadostno usklajen med državo, župani, mesti in </w:t>
      </w:r>
      <w:r>
        <w:rPr>
          <w:rFonts w:ascii="Times New Roman" w:hAnsi="Times New Roman"/>
          <w:noProof/>
          <w:sz w:val="24"/>
          <w:szCs w:val="24"/>
        </w:rPr>
        <w:t>občinami.</w:t>
      </w:r>
    </w:p>
    <w:p w:rsidR="009B5602" w:rsidRDefault="00886830">
      <w:pPr>
        <w:numPr>
          <w:ilvl w:val="0"/>
          <w:numId w:val="28"/>
        </w:numPr>
        <w:spacing w:before="120" w:after="160" w:line="257" w:lineRule="auto"/>
        <w:contextualSpacing/>
        <w:jc w:val="both"/>
        <w:rPr>
          <w:rFonts w:eastAsia="Times New Roman"/>
          <w:noProof/>
          <w:sz w:val="24"/>
          <w:szCs w:val="24"/>
        </w:rPr>
      </w:pPr>
      <w:r>
        <w:rPr>
          <w:rFonts w:ascii="Times New Roman" w:hAnsi="Times New Roman"/>
          <w:noProof/>
          <w:sz w:val="24"/>
          <w:szCs w:val="24"/>
        </w:rPr>
        <w:t xml:space="preserve">Do 31. decembra 2023 se objavijo optimizirani grafični prikazi železniškega prometa. </w:t>
      </w:r>
    </w:p>
    <w:p w:rsidR="009B5602" w:rsidRDefault="00886830">
      <w:pPr>
        <w:numPr>
          <w:ilvl w:val="0"/>
          <w:numId w:val="28"/>
        </w:numPr>
        <w:spacing w:before="120" w:after="160" w:line="257" w:lineRule="auto"/>
        <w:contextualSpacing/>
        <w:jc w:val="both"/>
        <w:rPr>
          <w:rFonts w:eastAsia="Times New Roman"/>
          <w:noProof/>
          <w:sz w:val="24"/>
          <w:szCs w:val="24"/>
        </w:rPr>
      </w:pPr>
      <w:r>
        <w:rPr>
          <w:rFonts w:ascii="Times New Roman" w:hAnsi="Times New Roman"/>
          <w:noProof/>
          <w:sz w:val="24"/>
          <w:szCs w:val="24"/>
        </w:rPr>
        <w:t>Do 31. decembra 2026 se vzpostavi integriran prometni sistem, ki omogoča multimodalni javni potniški prevoz z eno samo vozovnico. Deluje vsaj v 6 okrožjih.</w:t>
      </w:r>
    </w:p>
    <w:p w:rsidR="009B5602" w:rsidRDefault="009B5602">
      <w:pPr>
        <w:spacing w:before="120" w:after="160" w:line="257" w:lineRule="auto"/>
        <w:contextualSpacing/>
        <w:jc w:val="both"/>
        <w:rPr>
          <w:rFonts w:eastAsia="Times New Roman"/>
          <w:noProof/>
          <w:sz w:val="24"/>
          <w:szCs w:val="24"/>
          <w:lang w:val="en-US"/>
        </w:rPr>
      </w:pPr>
    </w:p>
    <w:p w:rsidR="009B5602" w:rsidRDefault="00886830">
      <w:pPr>
        <w:spacing w:before="120" w:after="160" w:line="257" w:lineRule="auto"/>
        <w:contextualSpacing/>
        <w:jc w:val="both"/>
        <w:rPr>
          <w:rFonts w:ascii="Times New Roman" w:eastAsia="Times New Roman" w:hAnsi="Times New Roman"/>
          <w:noProof/>
          <w:sz w:val="24"/>
          <w:szCs w:val="24"/>
        </w:rPr>
      </w:pPr>
      <w:r>
        <w:rPr>
          <w:rFonts w:ascii="Times New Roman" w:hAnsi="Times New Roman"/>
          <w:noProof/>
          <w:sz w:val="24"/>
          <w:szCs w:val="24"/>
        </w:rPr>
        <w:t xml:space="preserve">Zadnji mejnik v zvezi z izvajanjem reforme se zaključi do 30. junija 2026. </w:t>
      </w:r>
    </w:p>
    <w:p w:rsidR="009B5602" w:rsidRDefault="009B5602">
      <w:pPr>
        <w:spacing w:before="120" w:after="160" w:line="257" w:lineRule="auto"/>
        <w:contextualSpacing/>
        <w:jc w:val="both"/>
        <w:rPr>
          <w:rFonts w:eastAsia="Times New Roman"/>
          <w:noProof/>
          <w:sz w:val="24"/>
          <w:szCs w:val="24"/>
          <w:lang w:val="en-US"/>
        </w:rPr>
      </w:pPr>
    </w:p>
    <w:p w:rsidR="009B5602" w:rsidRDefault="00886830">
      <w:pPr>
        <w:spacing w:before="120" w:after="120" w:line="257" w:lineRule="auto"/>
        <w:jc w:val="both"/>
        <w:rPr>
          <w:rFonts w:ascii="Times New Roman" w:eastAsia="Times New Roman" w:hAnsi="Times New Roman"/>
          <w:noProof/>
          <w:sz w:val="24"/>
          <w:szCs w:val="24"/>
        </w:rPr>
      </w:pPr>
      <w:r>
        <w:rPr>
          <w:rFonts w:ascii="Times New Roman" w:hAnsi="Times New Roman"/>
          <w:b/>
          <w:noProof/>
          <w:sz w:val="24"/>
          <w:szCs w:val="24"/>
        </w:rPr>
        <w:t>Reforma 3 o intermodalnem tovornem prometu.</w:t>
      </w:r>
    </w:p>
    <w:p w:rsidR="009B5602" w:rsidRDefault="00886830">
      <w:pPr>
        <w:spacing w:before="120" w:after="120" w:line="257" w:lineRule="auto"/>
        <w:jc w:val="both"/>
        <w:rPr>
          <w:rFonts w:ascii="Times New Roman" w:eastAsia="Times New Roman" w:hAnsi="Times New Roman"/>
          <w:noProof/>
          <w:sz w:val="24"/>
          <w:szCs w:val="24"/>
        </w:rPr>
      </w:pPr>
      <w:r>
        <w:rPr>
          <w:rFonts w:ascii="Times New Roman" w:hAnsi="Times New Roman"/>
          <w:noProof/>
          <w:sz w:val="24"/>
          <w:szCs w:val="24"/>
        </w:rPr>
        <w:t>Reforma podpira večjo intermodalnost z javnimi naročili, usklajevanjem logistike in spodbujanjem uvajanja novih intermodalnih poti. Cil</w:t>
      </w:r>
      <w:r>
        <w:rPr>
          <w:rFonts w:ascii="Times New Roman" w:hAnsi="Times New Roman"/>
          <w:noProof/>
          <w:sz w:val="24"/>
          <w:szCs w:val="24"/>
        </w:rPr>
        <w:t xml:space="preserve">j te reforme je, da se 30 % cestnega prometa, daljšega od 300 km, do leta 2030 preusmeri na železniški ali vodni promet, več kot 50 % pa na leto 2050 (v primerjavi z letom 2005). To stori zlasti s spodbujanjem interesa prevoznikov za preusmeritev cestnega </w:t>
      </w:r>
      <w:r>
        <w:rPr>
          <w:rFonts w:ascii="Times New Roman" w:hAnsi="Times New Roman"/>
          <w:noProof/>
          <w:sz w:val="24"/>
          <w:szCs w:val="24"/>
        </w:rPr>
        <w:t>tovornega prometa na železniški/intermodalni promet ter s preprečevanjem nadaljnjega prenosa načina železniškega prometa. Priprava in odobritev koncepta razvoja intermodalnega prevoza, vključno s predlogom potrebnih zakonodajnih sprememb, omogočata sprejet</w:t>
      </w:r>
      <w:r>
        <w:rPr>
          <w:rFonts w:ascii="Times New Roman" w:hAnsi="Times New Roman"/>
          <w:noProof/>
          <w:sz w:val="24"/>
          <w:szCs w:val="24"/>
        </w:rPr>
        <w:t xml:space="preserve">je ukrepov za sistemski razvoj okolju prijaznih načinov prevoza blaga. Podpora je namenjena odpravi tehničnih težav pri prehodu na intermodalni prevoz in povečanju njegove privlačnosti. </w:t>
      </w:r>
    </w:p>
    <w:p w:rsidR="009B5602" w:rsidRDefault="00886830">
      <w:pPr>
        <w:spacing w:before="120" w:after="120" w:line="257" w:lineRule="auto"/>
        <w:jc w:val="both"/>
        <w:rPr>
          <w:rFonts w:ascii="Times New Roman" w:eastAsia="Times New Roman" w:hAnsi="Times New Roman"/>
          <w:noProof/>
          <w:sz w:val="24"/>
          <w:szCs w:val="24"/>
        </w:rPr>
      </w:pPr>
      <w:r>
        <w:rPr>
          <w:rFonts w:ascii="Times New Roman" w:hAnsi="Times New Roman"/>
          <w:noProof/>
          <w:sz w:val="24"/>
          <w:szCs w:val="24"/>
        </w:rPr>
        <w:t>Izvajanje reforme naj bi se začelo do 31. decembra 2021 in končalo do</w:t>
      </w:r>
      <w:r>
        <w:rPr>
          <w:rFonts w:ascii="Times New Roman" w:hAnsi="Times New Roman"/>
          <w:noProof/>
          <w:sz w:val="24"/>
          <w:szCs w:val="24"/>
        </w:rPr>
        <w:t xml:space="preserve"> 31. decembra 2022.</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noProof/>
          <w:sz w:val="24"/>
          <w:szCs w:val="24"/>
        </w:rPr>
        <w:t>Reforma 4 o uvedbi novih politik za dolgoročno spodbujanje alternativnih goriv v prometnem sektorju.</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Reforma bo podprta z začetkom veljavnosti novih zakonodajnih ukrepov do 31. decembra 2022, s katerimi se bodo reformirale tarife za dis</w:t>
      </w:r>
      <w:r>
        <w:rPr>
          <w:rFonts w:ascii="Times New Roman" w:hAnsi="Times New Roman"/>
          <w:noProof/>
          <w:sz w:val="24"/>
          <w:szCs w:val="24"/>
        </w:rPr>
        <w:t>tribucijo, poenostavili in pospešili postopek izgradnje infrastrukture za alternativni pogon. Prav tako uvedejo „pravice polnilnih postaj“ ter stabilen in predvidljiv večletni okvir za podporo izgradnji ustrezne infrastrukture za alternativni pogon.</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Naložb</w:t>
      </w:r>
      <w:r>
        <w:rPr>
          <w:rFonts w:ascii="Times New Roman" w:hAnsi="Times New Roman"/>
          <w:b/>
          <w:bCs/>
          <w:noProof/>
          <w:sz w:val="24"/>
          <w:szCs w:val="24"/>
        </w:rPr>
        <w:t>a 1 v razvoj nizkoogljične prometne infrastrukture.</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Naložbe podpirajo razogljičenje z elektrifikacijo železniških prog, nadgradnjo železniških prog, gradnjo ali posodobitvijo tramvajskih in trolejbusnih prog ter izgradnjo kolesarske infrastrukture. Izvede </w:t>
      </w:r>
      <w:r>
        <w:rPr>
          <w:rFonts w:ascii="Times New Roman" w:hAnsi="Times New Roman"/>
          <w:noProof/>
          <w:sz w:val="24"/>
          <w:szCs w:val="24"/>
        </w:rPr>
        <w:t>se „preoblikovanje evropskega postopka voznih redov – TTR“ in uvede se nov varnostni sistem, ki temelji na digitalnih tehnologijah, da se omogoči avtomatizacija upravljanja železniškega prometa. Naložba temelji na reformi 1.</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Naložba se izvede do 30. junija</w:t>
      </w:r>
      <w:r>
        <w:rPr>
          <w:rFonts w:ascii="Times New Roman" w:hAnsi="Times New Roman"/>
          <w:noProof/>
          <w:sz w:val="24"/>
          <w:szCs w:val="24"/>
        </w:rPr>
        <w:t xml:space="preserve"> 2026.</w:t>
      </w:r>
    </w:p>
    <w:p w:rsidR="009B5602" w:rsidRPr="00886830" w:rsidRDefault="009B5602">
      <w:pPr>
        <w:spacing w:before="120" w:after="120" w:line="240" w:lineRule="auto"/>
        <w:jc w:val="both"/>
        <w:rPr>
          <w:rFonts w:ascii="Times New Roman" w:hAnsi="Times New Roman"/>
          <w:noProof/>
          <w:sz w:val="24"/>
          <w:szCs w:val="24"/>
          <w:lang w:val="es-ES"/>
        </w:rPr>
      </w:pP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Naložba 2 v spodbujanje čistega potniškega prometa.</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Naložba se izvede s povečanjem privlačnosti železniškega potniškega prometa ter primestnega in mestnega prometa na koncu prodajne verige. Na gosto poseljenih primestnih območjih in na glavnih prometnih koridorjih med večjimi mesti in velemestnimi območji s</w:t>
      </w:r>
      <w:r>
        <w:rPr>
          <w:rFonts w:ascii="Times New Roman" w:hAnsi="Times New Roman"/>
          <w:noProof/>
          <w:sz w:val="24"/>
          <w:szCs w:val="24"/>
        </w:rPr>
        <w:t>e poveča ponudba povezav. Novi ali nadgrajeni železniški vozni park se začne uporabljati. Naložbe se izvajajo v obliki namenskih subvencij na nediskriminatorni podlagi z uporabo orodij za analizo podatkov o prometu in podatkov. Naložba je podprta z reformo</w:t>
      </w:r>
      <w:r>
        <w:rPr>
          <w:rFonts w:ascii="Times New Roman" w:hAnsi="Times New Roman"/>
          <w:noProof/>
          <w:sz w:val="24"/>
          <w:szCs w:val="24"/>
        </w:rPr>
        <w:t xml:space="preserve"> 2.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Naložba se izvede do 30. junija 2025.</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Naložba 3 v razvoj intermodalnega tovornega prometa.</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Naložba podpira nakup intermodalnih prevoznih enot in naprav za natovarjanje, ki vključujejo zasebni kapital, ter vzpostavitev novih intermodalnih poti na izbra</w:t>
      </w:r>
      <w:r>
        <w:rPr>
          <w:rFonts w:ascii="Times New Roman" w:hAnsi="Times New Roman"/>
          <w:noProof/>
          <w:sz w:val="24"/>
          <w:szCs w:val="24"/>
        </w:rPr>
        <w:t>nih progah. Da bi se povečal obseg prevoza v okolju prijaznejšem intermodalnem prevozu, država spodbuja nakup intermodalnih prevoznih enot in naprav za natovarjanje, ki vključujejo zasebni kapital. Hkrati država zagotovi podporo za uvedbo novih intermodaln</w:t>
      </w:r>
      <w:r>
        <w:rPr>
          <w:rFonts w:ascii="Times New Roman" w:hAnsi="Times New Roman"/>
          <w:noProof/>
          <w:sz w:val="24"/>
          <w:szCs w:val="24"/>
        </w:rPr>
        <w:t>ih prog na izbranih progah. Predvidene sheme državne pomoči (pod pogojem, da jih odobri Evropska komisija) predvidevajo le delno financiranje iz mehanizma in izbiro podjetij, ki bodo prejela podporo na podlagi javnih razpisov z jasno opredeljenimi nediskri</w:t>
      </w:r>
      <w:r>
        <w:rPr>
          <w:rFonts w:ascii="Times New Roman" w:hAnsi="Times New Roman"/>
          <w:noProof/>
          <w:sz w:val="24"/>
          <w:szCs w:val="24"/>
        </w:rPr>
        <w:t>minatornimi pravili.</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Naložba se izvede do 30. junija 2026.</w:t>
      </w:r>
    </w:p>
    <w:p w:rsidR="009B5602" w:rsidRPr="00886830" w:rsidRDefault="009B5602">
      <w:pPr>
        <w:spacing w:before="120" w:after="120" w:line="240" w:lineRule="auto"/>
        <w:jc w:val="both"/>
        <w:rPr>
          <w:rFonts w:ascii="Times New Roman" w:hAnsi="Times New Roman"/>
          <w:noProof/>
          <w:sz w:val="24"/>
          <w:szCs w:val="24"/>
          <w:lang w:val="es-ES"/>
        </w:rPr>
      </w:pP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Naložba 4 v podporo izgradnji infrastrukture za alternativni pogon.</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Naložbe so osredotočene na polnilne postaje za električne avtomobile in črpalne postaje za vodik. Vzpostavi se finančni mehanize</w:t>
      </w:r>
      <w:r>
        <w:rPr>
          <w:rFonts w:ascii="Times New Roman" w:hAnsi="Times New Roman"/>
          <w:noProof/>
          <w:sz w:val="24"/>
          <w:szCs w:val="24"/>
        </w:rPr>
        <w:t xml:space="preserve">m shem pomoči za izgradnjo polnilnih mest za električne avtomobile in črpalnih postaj za vodik. Sistem zagotavlja gradnjo skeletne infrastrukture ultra hitrih absorpcijskih mest, razpoložljive polnilne infrastrukture na ravni vseh četrti Slovaške, s čimer </w:t>
      </w:r>
      <w:r>
        <w:rPr>
          <w:rFonts w:ascii="Times New Roman" w:hAnsi="Times New Roman"/>
          <w:noProof/>
          <w:sz w:val="24"/>
          <w:szCs w:val="24"/>
        </w:rPr>
        <w:t>se spodbuja hitrejši razvoj potniškega in tovornega prometa z alternativnimi gorivi, kar vodi k posodobitvi voznega parka, da se zmanjšajo skupne emisije v cestnem prometu. Te naložbe podpira reforma 3.</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Naložba se izvede do 30. junija 2026.</w:t>
      </w:r>
    </w:p>
    <w:p w:rsidR="009B5602" w:rsidRDefault="009B5602">
      <w:pPr>
        <w:tabs>
          <w:tab w:val="left" w:pos="993"/>
        </w:tabs>
        <w:spacing w:before="120" w:after="120" w:line="240" w:lineRule="auto"/>
        <w:jc w:val="both"/>
        <w:rPr>
          <w:rFonts w:ascii="Times New Roman" w:hAnsi="Times New Roman"/>
          <w:noProof/>
          <w:sz w:val="24"/>
          <w:szCs w:val="24"/>
        </w:rPr>
      </w:pPr>
    </w:p>
    <w:p w:rsidR="009B5602" w:rsidRDefault="009B5602">
      <w:pPr>
        <w:spacing w:before="120" w:after="120" w:line="240" w:lineRule="auto"/>
        <w:ind w:left="850"/>
        <w:jc w:val="both"/>
        <w:rPr>
          <w:rFonts w:ascii="Times New Roman" w:hAnsi="Times New Roman"/>
          <w:b/>
          <w:noProof/>
          <w:sz w:val="24"/>
          <w:highlight w:val="red"/>
          <w:u w:val="single"/>
        </w:rPr>
        <w:sectPr w:rsidR="009B5602">
          <w:headerReference w:type="even" r:id="rId42"/>
          <w:headerReference w:type="default" r:id="rId43"/>
          <w:footerReference w:type="even" r:id="rId44"/>
          <w:footerReference w:type="default" r:id="rId45"/>
          <w:headerReference w:type="first" r:id="rId46"/>
          <w:footerReference w:type="first" r:id="rId47"/>
          <w:pgSz w:w="11907" w:h="16839"/>
          <w:pgMar w:top="1418" w:right="1134" w:bottom="1418" w:left="1134" w:header="709" w:footer="709" w:gutter="0"/>
          <w:cols w:space="720"/>
          <w:docGrid w:linePitch="360"/>
        </w:sectPr>
      </w:pPr>
    </w:p>
    <w:p w:rsidR="009B5602" w:rsidRDefault="009B5602">
      <w:pPr>
        <w:tabs>
          <w:tab w:val="left" w:pos="993"/>
        </w:tabs>
        <w:spacing w:before="120" w:after="120" w:line="240" w:lineRule="auto"/>
        <w:ind w:left="850"/>
        <w:jc w:val="both"/>
        <w:rPr>
          <w:rFonts w:ascii="Times New Roman" w:hAnsi="Times New Roman"/>
          <w:b/>
          <w:bCs/>
          <w:noProof/>
          <w:sz w:val="24"/>
          <w:szCs w:val="24"/>
          <w:u w:val="single"/>
        </w:rPr>
      </w:pPr>
    </w:p>
    <w:p w:rsidR="009B5602" w:rsidRDefault="00886830">
      <w:pPr>
        <w:tabs>
          <w:tab w:val="left" w:pos="993"/>
        </w:tabs>
        <w:spacing w:before="120" w:after="120" w:line="240" w:lineRule="auto"/>
        <w:ind w:left="850"/>
        <w:jc w:val="both"/>
        <w:rPr>
          <w:rFonts w:ascii="Times New Roman" w:hAnsi="Times New Roman"/>
          <w:b/>
          <w:noProof/>
          <w:sz w:val="24"/>
          <w:szCs w:val="24"/>
          <w:u w:val="single"/>
        </w:rPr>
      </w:pPr>
      <w:r>
        <w:rPr>
          <w:rFonts w:ascii="Times New Roman" w:hAnsi="Times New Roman"/>
          <w:b/>
          <w:noProof/>
          <w:sz w:val="24"/>
          <w:szCs w:val="24"/>
          <w:u w:val="single"/>
        </w:rPr>
        <w:t xml:space="preserve">A.2 </w:t>
      </w:r>
      <w:r>
        <w:rPr>
          <w:noProof/>
        </w:rPr>
        <w:tab/>
      </w:r>
      <w:r>
        <w:rPr>
          <w:rFonts w:ascii="Times New Roman" w:hAnsi="Times New Roman"/>
          <w:b/>
          <w:noProof/>
          <w:sz w:val="24"/>
          <w:szCs w:val="24"/>
          <w:u w:val="single"/>
        </w:rPr>
        <w:t xml:space="preserve">Mejniki, cilji, kazalniki in časovni razpored za spremljanje in izvajanje nepovratne finančne podpore </w:t>
      </w:r>
    </w:p>
    <w:p w:rsidR="009B5602" w:rsidRDefault="009B5602">
      <w:pPr>
        <w:tabs>
          <w:tab w:val="left" w:pos="993"/>
        </w:tabs>
        <w:spacing w:before="120" w:after="120" w:line="240" w:lineRule="auto"/>
        <w:ind w:left="850"/>
        <w:jc w:val="both"/>
        <w:rPr>
          <w:rFonts w:ascii="Times New Roman" w:hAnsi="Times New Roman"/>
          <w:b/>
          <w:bCs/>
          <w:noProof/>
          <w:sz w:val="24"/>
          <w:szCs w:val="24"/>
          <w:u w:val="single"/>
        </w:rPr>
      </w:pPr>
    </w:p>
    <w:tbl>
      <w:tblPr>
        <w:tblW w:w="0" w:type="auto"/>
        <w:tblLayout w:type="fixed"/>
        <w:tblLook w:val="04A0" w:firstRow="1" w:lastRow="0" w:firstColumn="1" w:lastColumn="0" w:noHBand="0" w:noVBand="1"/>
      </w:tblPr>
      <w:tblGrid>
        <w:gridCol w:w="817"/>
        <w:gridCol w:w="1276"/>
        <w:gridCol w:w="1134"/>
        <w:gridCol w:w="850"/>
        <w:gridCol w:w="1276"/>
        <w:gridCol w:w="1276"/>
        <w:gridCol w:w="992"/>
        <w:gridCol w:w="992"/>
        <w:gridCol w:w="993"/>
        <w:gridCol w:w="992"/>
        <w:gridCol w:w="3966"/>
      </w:tblGrid>
      <w:tr w:rsidR="009B5602">
        <w:trPr>
          <w:trHeight w:val="1530"/>
        </w:trPr>
        <w:tc>
          <w:tcPr>
            <w:tcW w:w="817"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Zap. št.</w:t>
            </w:r>
          </w:p>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 xml:space="preserve"> </w:t>
            </w:r>
          </w:p>
        </w:tc>
        <w:tc>
          <w:tcPr>
            <w:tcW w:w="1276"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Povezani ukrep (reforma ali naložba)</w:t>
            </w:r>
          </w:p>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 xml:space="preserve"> </w:t>
            </w:r>
          </w:p>
        </w:tc>
        <w:tc>
          <w:tcPr>
            <w:tcW w:w="1134"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Mejnik/cilj</w:t>
            </w:r>
          </w:p>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 xml:space="preserve"> </w:t>
            </w:r>
          </w:p>
        </w:tc>
        <w:tc>
          <w:tcPr>
            <w:tcW w:w="850"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Ime</w:t>
            </w:r>
          </w:p>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 xml:space="preserve"> </w:t>
            </w:r>
          </w:p>
        </w:tc>
        <w:tc>
          <w:tcPr>
            <w:tcW w:w="1276"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Kvalitativni kazalniki</w:t>
            </w:r>
            <w:r>
              <w:rPr>
                <w:rFonts w:ascii="Times New Roman" w:hAnsi="Times New Roman"/>
                <w:noProof/>
                <w:sz w:val="20"/>
                <w:szCs w:val="20"/>
              </w:rPr>
              <w:t xml:space="preserve">  </w:t>
            </w:r>
            <w:r>
              <w:rPr>
                <w:rFonts w:ascii="Times New Roman" w:hAnsi="Times New Roman"/>
                <w:b/>
                <w:noProof/>
                <w:sz w:val="20"/>
                <w:szCs w:val="20"/>
              </w:rPr>
              <w:t xml:space="preserve"> (za mejnike)</w:t>
            </w:r>
          </w:p>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 xml:space="preserve"> </w:t>
            </w:r>
          </w:p>
        </w:tc>
        <w:tc>
          <w:tcPr>
            <w:tcW w:w="3260"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Kvantitativni kazalniki</w:t>
            </w:r>
            <w:r>
              <w:rPr>
                <w:rFonts w:ascii="Times New Roman" w:hAnsi="Times New Roman"/>
                <w:noProof/>
                <w:sz w:val="20"/>
                <w:szCs w:val="20"/>
              </w:rPr>
              <w:t xml:space="preserve">  </w:t>
            </w:r>
            <w:r>
              <w:rPr>
                <w:rFonts w:ascii="Times New Roman" w:hAnsi="Times New Roman"/>
                <w:b/>
                <w:noProof/>
                <w:sz w:val="20"/>
                <w:szCs w:val="20"/>
              </w:rPr>
              <w:t xml:space="preserve"> (za cilje)</w:t>
            </w:r>
          </w:p>
        </w:tc>
        <w:tc>
          <w:tcPr>
            <w:tcW w:w="1985" w:type="dxa"/>
            <w:gridSpan w:val="2"/>
            <w:tcBorders>
              <w:top w:val="single" w:sz="8" w:space="0" w:color="auto"/>
              <w:left w:val="nil"/>
              <w:bottom w:val="single" w:sz="8" w:space="0" w:color="auto"/>
              <w:right w:val="single" w:sz="8" w:space="0" w:color="000000"/>
            </w:tcBorders>
            <w:shd w:val="clear" w:color="auto" w:fill="BDD7E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b/>
                <w:bCs/>
                <w:noProof/>
                <w:sz w:val="20"/>
                <w:szCs w:val="20"/>
              </w:rPr>
              <w:t xml:space="preserve">Okvirni časovni razpored za dokončanje </w:t>
            </w:r>
          </w:p>
        </w:tc>
        <w:tc>
          <w:tcPr>
            <w:tcW w:w="3966" w:type="dxa"/>
            <w:vMerge w:val="restart"/>
            <w:tcBorders>
              <w:top w:val="single" w:sz="8" w:space="0" w:color="auto"/>
              <w:left w:val="nil"/>
              <w:right w:val="single" w:sz="8" w:space="0" w:color="auto"/>
            </w:tcBorders>
            <w:shd w:val="clear" w:color="auto" w:fill="BDD7E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Opis in jasna opredelitev vsakega mejnika in cilja</w:t>
            </w:r>
          </w:p>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 xml:space="preserve"> </w:t>
            </w:r>
          </w:p>
        </w:tc>
      </w:tr>
      <w:tr w:rsidR="009B5602">
        <w:trPr>
          <w:trHeight w:val="600"/>
        </w:trPr>
        <w:tc>
          <w:tcPr>
            <w:tcW w:w="817" w:type="dxa"/>
            <w:vMerge/>
            <w:tcBorders>
              <w:left w:val="single" w:sz="8" w:space="0" w:color="auto"/>
              <w:bottom w:val="single" w:sz="8" w:space="0" w:color="auto"/>
              <w:right w:val="single" w:sz="8" w:space="0" w:color="auto"/>
            </w:tcBorders>
            <w:shd w:val="clear" w:color="auto" w:fill="BDD7EE"/>
            <w:vAlign w:val="center"/>
          </w:tcPr>
          <w:p w:rsidR="009B5602" w:rsidRDefault="009B5602">
            <w:pPr>
              <w:spacing w:before="120" w:after="120" w:line="240" w:lineRule="auto"/>
              <w:jc w:val="center"/>
              <w:rPr>
                <w:rFonts w:ascii="Times New Roman" w:hAnsi="Times New Roman"/>
                <w:noProof/>
                <w:sz w:val="20"/>
                <w:szCs w:val="20"/>
              </w:rPr>
            </w:pPr>
          </w:p>
        </w:tc>
        <w:tc>
          <w:tcPr>
            <w:tcW w:w="1276" w:type="dxa"/>
            <w:vMerge/>
            <w:tcBorders>
              <w:left w:val="single" w:sz="8" w:space="0" w:color="auto"/>
              <w:bottom w:val="single" w:sz="8" w:space="0" w:color="auto"/>
              <w:right w:val="single" w:sz="8" w:space="0" w:color="auto"/>
            </w:tcBorders>
            <w:shd w:val="clear" w:color="auto" w:fill="BDD7EE"/>
            <w:vAlign w:val="center"/>
          </w:tcPr>
          <w:p w:rsidR="009B5602" w:rsidRDefault="009B5602">
            <w:pPr>
              <w:spacing w:before="120" w:after="120" w:line="240" w:lineRule="auto"/>
              <w:jc w:val="center"/>
              <w:rPr>
                <w:rFonts w:ascii="Times New Roman" w:hAnsi="Times New Roman"/>
                <w:noProof/>
                <w:sz w:val="20"/>
                <w:szCs w:val="20"/>
              </w:rPr>
            </w:pPr>
          </w:p>
        </w:tc>
        <w:tc>
          <w:tcPr>
            <w:tcW w:w="1134" w:type="dxa"/>
            <w:vMerge/>
            <w:tcBorders>
              <w:left w:val="single" w:sz="8" w:space="0" w:color="auto"/>
              <w:bottom w:val="single" w:sz="8" w:space="0" w:color="auto"/>
              <w:right w:val="single" w:sz="8" w:space="0" w:color="auto"/>
            </w:tcBorders>
            <w:shd w:val="clear" w:color="auto" w:fill="BDD7EE"/>
            <w:vAlign w:val="center"/>
          </w:tcPr>
          <w:p w:rsidR="009B5602" w:rsidRDefault="009B5602">
            <w:pPr>
              <w:spacing w:before="120" w:after="120" w:line="240" w:lineRule="auto"/>
              <w:jc w:val="center"/>
              <w:rPr>
                <w:rFonts w:ascii="Times New Roman" w:hAnsi="Times New Roman"/>
                <w:noProof/>
                <w:sz w:val="20"/>
                <w:szCs w:val="20"/>
              </w:rPr>
            </w:pPr>
          </w:p>
        </w:tc>
        <w:tc>
          <w:tcPr>
            <w:tcW w:w="850" w:type="dxa"/>
            <w:vMerge/>
            <w:tcBorders>
              <w:left w:val="single" w:sz="8" w:space="0" w:color="auto"/>
              <w:bottom w:val="single" w:sz="8" w:space="0" w:color="auto"/>
              <w:right w:val="single" w:sz="8" w:space="0" w:color="auto"/>
            </w:tcBorders>
            <w:shd w:val="clear" w:color="auto" w:fill="BDD7EE"/>
            <w:vAlign w:val="center"/>
          </w:tcPr>
          <w:p w:rsidR="009B5602" w:rsidRDefault="009B5602">
            <w:pPr>
              <w:spacing w:before="120" w:after="120" w:line="240" w:lineRule="auto"/>
              <w:jc w:val="center"/>
              <w:rPr>
                <w:rFonts w:ascii="Times New Roman" w:hAnsi="Times New Roman"/>
                <w:noProof/>
                <w:sz w:val="20"/>
                <w:szCs w:val="20"/>
              </w:rPr>
            </w:pPr>
          </w:p>
        </w:tc>
        <w:tc>
          <w:tcPr>
            <w:tcW w:w="1276" w:type="dxa"/>
            <w:vMerge/>
            <w:tcBorders>
              <w:left w:val="single" w:sz="8" w:space="0" w:color="auto"/>
              <w:bottom w:val="single" w:sz="8" w:space="0" w:color="auto"/>
              <w:right w:val="single" w:sz="8" w:space="0" w:color="auto"/>
            </w:tcBorders>
            <w:shd w:val="clear" w:color="auto" w:fill="BDD7EE"/>
            <w:vAlign w:val="center"/>
          </w:tcPr>
          <w:p w:rsidR="009B5602" w:rsidRDefault="009B5602">
            <w:pPr>
              <w:spacing w:before="120" w:after="120" w:line="240" w:lineRule="auto"/>
              <w:jc w:val="center"/>
              <w:rPr>
                <w:rFonts w:ascii="Times New Roman" w:hAnsi="Times New Roman"/>
                <w:noProof/>
                <w:sz w:val="20"/>
                <w:szCs w:val="20"/>
              </w:rPr>
            </w:pPr>
          </w:p>
        </w:tc>
        <w:tc>
          <w:tcPr>
            <w:tcW w:w="1276" w:type="dxa"/>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merska enota</w:t>
            </w:r>
          </w:p>
        </w:tc>
        <w:tc>
          <w:tcPr>
            <w:tcW w:w="992" w:type="dxa"/>
            <w:tcBorders>
              <w:top w:val="nil"/>
              <w:left w:val="single" w:sz="8" w:space="0" w:color="auto"/>
              <w:bottom w:val="single" w:sz="8" w:space="0" w:color="auto"/>
              <w:right w:val="single" w:sz="8" w:space="0" w:color="auto"/>
            </w:tcBorders>
            <w:shd w:val="clear" w:color="auto" w:fill="BDD7E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Izhodiščna raven</w:t>
            </w:r>
          </w:p>
        </w:tc>
        <w:tc>
          <w:tcPr>
            <w:tcW w:w="992" w:type="dxa"/>
            <w:tcBorders>
              <w:top w:val="nil"/>
              <w:left w:val="single" w:sz="8" w:space="0" w:color="auto"/>
              <w:bottom w:val="single" w:sz="8" w:space="0" w:color="auto"/>
              <w:right w:val="single" w:sz="8" w:space="0" w:color="000000"/>
            </w:tcBorders>
            <w:shd w:val="clear" w:color="auto" w:fill="BDD7E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Ciljna raven</w:t>
            </w:r>
          </w:p>
        </w:tc>
        <w:tc>
          <w:tcPr>
            <w:tcW w:w="993" w:type="dxa"/>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Četrtletje</w:t>
            </w:r>
          </w:p>
        </w:tc>
        <w:tc>
          <w:tcPr>
            <w:tcW w:w="992" w:type="dxa"/>
            <w:tcBorders>
              <w:top w:val="nil"/>
              <w:left w:val="single" w:sz="8" w:space="0" w:color="auto"/>
              <w:bottom w:val="single" w:sz="8" w:space="0" w:color="auto"/>
              <w:right w:val="single" w:sz="8" w:space="0" w:color="000000"/>
            </w:tcBorders>
            <w:shd w:val="clear" w:color="auto" w:fill="BDD7E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b/>
                <w:noProof/>
                <w:sz w:val="20"/>
                <w:szCs w:val="20"/>
              </w:rPr>
              <w:t>Leto</w:t>
            </w:r>
          </w:p>
        </w:tc>
        <w:tc>
          <w:tcPr>
            <w:tcW w:w="3966" w:type="dxa"/>
            <w:vMerge/>
            <w:tcBorders>
              <w:left w:val="single" w:sz="8" w:space="0" w:color="auto"/>
              <w:bottom w:val="single" w:sz="8" w:space="0" w:color="auto"/>
              <w:right w:val="single" w:sz="8" w:space="0" w:color="auto"/>
            </w:tcBorders>
            <w:shd w:val="clear" w:color="auto" w:fill="BDD7EE"/>
            <w:vAlign w:val="center"/>
          </w:tcPr>
          <w:p w:rsidR="009B5602" w:rsidRDefault="009B5602">
            <w:pPr>
              <w:spacing w:before="120" w:after="120" w:line="240" w:lineRule="auto"/>
              <w:jc w:val="center"/>
              <w:rPr>
                <w:rFonts w:ascii="Times New Roman" w:hAnsi="Times New Roman"/>
                <w:noProof/>
                <w:sz w:val="20"/>
                <w:szCs w:val="20"/>
              </w:rPr>
            </w:pPr>
          </w:p>
        </w:tc>
      </w:tr>
      <w:tr w:rsidR="009B5602">
        <w:trPr>
          <w:trHeight w:val="94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Trajnostni promet – Reforma 1: Reforma priprave naložbenih projektov na področju prometa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mejnik</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Naložbeni načrt za projekte železniške infrastrukture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Objava izvedbenega načrta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2021</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Ministrstvo za promet in gradbeništvo v sodelo</w:t>
            </w:r>
            <w:r>
              <w:rPr>
                <w:rFonts w:ascii="Times New Roman" w:hAnsi="Times New Roman"/>
                <w:noProof/>
                <w:color w:val="006100"/>
                <w:sz w:val="20"/>
                <w:szCs w:val="20"/>
              </w:rPr>
              <w:t>vanju z Ministrstvom za finance pripravi in objavi investicijski načrt za projekte železniške infrastrukture, ki vsebuje metodologijo, prednostne naloge in časovni razpored izgradnje infrastrukture. Objavljeni naložbeni načrt za projekte železniške infrast</w:t>
            </w:r>
            <w:r>
              <w:rPr>
                <w:rFonts w:ascii="Times New Roman" w:hAnsi="Times New Roman"/>
                <w:noProof/>
                <w:color w:val="006100"/>
                <w:sz w:val="20"/>
                <w:szCs w:val="20"/>
              </w:rPr>
              <w:t>rukture, ki dajejo prednost projektom glede na njihovo stroškovno učinkovitost, zagotavlja dolgoročno stabilnost njihove priprave in izvajanja projektov železniške infrastrukture.</w:t>
            </w:r>
          </w:p>
        </w:tc>
      </w:tr>
      <w:tr w:rsidR="009B5602">
        <w:trPr>
          <w:trHeight w:val="84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3 – Trajnostni promet – Reforma 1: Reforma priprave naložbenih projektov </w:t>
            </w:r>
            <w:r>
              <w:rPr>
                <w:rFonts w:ascii="Times New Roman" w:hAnsi="Times New Roman"/>
                <w:noProof/>
                <w:color w:val="006100"/>
                <w:sz w:val="20"/>
                <w:szCs w:val="20"/>
              </w:rPr>
              <w:t>na področju prometa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mejnik</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  Metodologija za izbiro, pripravo in izvajanje kolesarskih projektov</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Objava metodologije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Q4</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2021</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Metodologija določa, kako opredeliti projekte z največjo možno stroškovno učinkovitostjo in prispevati k cilju preusmeritve prevoza potnikov z individualnega cestnega prevoza na kolesarjenje. </w:t>
            </w:r>
          </w:p>
        </w:tc>
      </w:tr>
      <w:tr w:rsidR="009B5602">
        <w:trPr>
          <w:trHeight w:val="2416"/>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3</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3 – Trajnostni promet – Reforma 1: Reforma priprave </w:t>
            </w:r>
            <w:r>
              <w:rPr>
                <w:rFonts w:ascii="Times New Roman" w:hAnsi="Times New Roman"/>
                <w:noProof/>
                <w:color w:val="006100"/>
                <w:sz w:val="20"/>
                <w:szCs w:val="20"/>
              </w:rPr>
              <w:t>naložbenih projektov na področju prometa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mejnik</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Sprememba Zakona o železnicah in s tem povezana zakonodaja o parametrih prometne infrastrukture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Začetek veljavnosti spremembe Zakona o železnicah s strani Državnega sveta SR in </w:t>
            </w:r>
          </w:p>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sprejetje spremembe Uredbe št.</w:t>
            </w:r>
            <w:r>
              <w:rPr>
                <w:rFonts w:ascii="Times New Roman" w:hAnsi="Times New Roman"/>
                <w:noProof/>
                <w:color w:val="006100"/>
                <w:sz w:val="20"/>
                <w:szCs w:val="20"/>
              </w:rPr>
              <w:t xml:space="preserve"> 350/2010 zb. o gradnji in tehničnem redu železniških prog s strani Ministrstva za promet in gradnjo] ter začetek veljavnosti zakonodaje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C6EFCE"/>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Q1</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2023</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Zakonodajne spremembe bodo poenostavile in racionalizirale zakonodajne in tehnične zahteve za parametre prometne infrastrukture v skladu z dobro prakso v drugih državah EU in evropsko zakonodajo, ki bo ustvarila pogoje za pospešitev priprav na nadgradnjo ž</w:t>
            </w:r>
            <w:r>
              <w:rPr>
                <w:rFonts w:ascii="Times New Roman" w:hAnsi="Times New Roman"/>
                <w:noProof/>
                <w:color w:val="006100"/>
                <w:sz w:val="20"/>
                <w:szCs w:val="20"/>
              </w:rPr>
              <w:t xml:space="preserve">elezniške infrastrukture, zmanjšala stroške na kilometer posodobljene proge ter omogočila hitrejšo in varnejšo gradnjo železnic. </w:t>
            </w:r>
          </w:p>
        </w:tc>
      </w:tr>
      <w:tr w:rsidR="009B5602">
        <w:trPr>
          <w:trHeight w:val="316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4</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Trajnostni promet – Reforma 2: Reforma javnega potniškega prometa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mejnik</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Nov zakon o javnem potniškem prevozu</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Začetek </w:t>
            </w:r>
            <w:r>
              <w:rPr>
                <w:rFonts w:ascii="Times New Roman" w:hAnsi="Times New Roman"/>
                <w:noProof/>
                <w:color w:val="006100"/>
                <w:sz w:val="20"/>
                <w:szCs w:val="20"/>
              </w:rPr>
              <w:t>veljavnosti Zakona o javnem potniškem prevozu s strani Državnega sveta Slovaške republike in začetek veljavnosti zakonodaje za učinkovito usklajevanje, povezovanje in upravljanje javnega prevoza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Q1</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2023</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Zakon bo standardiziral standarde javnega potniškega prevoza in racionaliziral javni red storitev, ki je trenutno razdrobljen in nezadostno usklajen med državo, župani, mesti in občinami. </w:t>
            </w:r>
          </w:p>
        </w:tc>
      </w:tr>
      <w:tr w:rsidR="009B5602">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5</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3 – Trajnostni promet – Reforma 2: Reforma javnega potniškega </w:t>
            </w:r>
            <w:r>
              <w:rPr>
                <w:rFonts w:ascii="Times New Roman" w:hAnsi="Times New Roman"/>
                <w:noProof/>
                <w:color w:val="006100"/>
                <w:sz w:val="20"/>
                <w:szCs w:val="20"/>
              </w:rPr>
              <w:t>prometa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mejnik</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Izvajanje optimiziranega voznega reda železniškega prometa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Začetek veljavnosti optimiziranega voznega reda železniškega prometa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Q4</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2023</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Ministrstvo za promet in gradbeništvo izvede naročanje storitev železniškega potniškega prevoza v </w:t>
            </w:r>
            <w:r>
              <w:rPr>
                <w:rFonts w:ascii="Times New Roman" w:hAnsi="Times New Roman"/>
                <w:noProof/>
                <w:color w:val="006100"/>
                <w:sz w:val="20"/>
                <w:szCs w:val="20"/>
              </w:rPr>
              <w:t>skladu s končnim načrtom prevoznih storitev do 31. decembra 2023.</w:t>
            </w:r>
          </w:p>
        </w:tc>
      </w:tr>
      <w:tr w:rsidR="009B5602">
        <w:trPr>
          <w:trHeight w:val="2132"/>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6</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Trajnostni promet – Reforma 2: Reforma javnega potniškega prometa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cilj</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Število okrožij, v katerih je vzpostavljena tarifna integracija, ki omogoča potovanje z več načini javnega </w:t>
            </w:r>
            <w:r>
              <w:rPr>
                <w:rFonts w:ascii="Times New Roman" w:hAnsi="Times New Roman"/>
                <w:noProof/>
                <w:color w:val="006100"/>
                <w:sz w:val="20"/>
                <w:szCs w:val="20"/>
              </w:rPr>
              <w:t>prevoza ali prevozniki na vozovnico</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število</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6</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Kvalitativni kazalnik se nanaša na število okrožij, v katerih se ustvari integriran prometni sistem, ki omogoča multimodalni javni potniški prevoz z eno samo vozovnico.</w:t>
            </w:r>
          </w:p>
        </w:tc>
      </w:tr>
      <w:tr w:rsidR="009B5602">
        <w:trPr>
          <w:trHeight w:val="144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7</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3 – Trajnostni promet – </w:t>
            </w:r>
            <w:r>
              <w:rPr>
                <w:rFonts w:ascii="Times New Roman" w:hAnsi="Times New Roman"/>
                <w:noProof/>
                <w:color w:val="006100"/>
                <w:sz w:val="20"/>
                <w:szCs w:val="20"/>
              </w:rPr>
              <w:t>Naložba 1: Razvoj nizkoogljične prometne infrastrukture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cilj</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Dolžina nove kolesarske infrastrukture (km)</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število</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Kvalitativni kazalnik se nanaša na dolžino novo zgrajene kolesarske infrastrukture (v km). Cilj vključuje kolesarske poti in parkirna mesta za kolesa. </w:t>
            </w:r>
          </w:p>
        </w:tc>
      </w:tr>
      <w:tr w:rsidR="009B5602">
        <w:trPr>
          <w:trHeight w:val="573"/>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8</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Trajnostni promet – Naložba 1: Razvoj nizkoogljične prometne infrastrukture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cilj</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Dolžina čiste </w:t>
            </w:r>
            <w:r>
              <w:rPr>
                <w:rFonts w:ascii="Times New Roman" w:hAnsi="Times New Roman"/>
                <w:noProof/>
                <w:color w:val="006100"/>
                <w:sz w:val="20"/>
                <w:szCs w:val="20"/>
              </w:rPr>
              <w:t>železniške infrastrukture za potniški promet, obnovljene ali nadgrajene (v km utežena)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število</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69</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Kvalitativni kazalnik se nanaša na dolžino obnovljene ali nadgrajene železniške infrastrukture od virov načrta za okrevanje in odpornost, pri </w:t>
            </w:r>
            <w:r>
              <w:rPr>
                <w:rFonts w:ascii="Times New Roman" w:hAnsi="Times New Roman"/>
                <w:noProof/>
                <w:color w:val="006100"/>
                <w:sz w:val="20"/>
                <w:szCs w:val="20"/>
              </w:rPr>
              <w:t>čemer se uporabljajo utežni faktorji za različne vrste in razpone projektov (brez odpremnih/varnostnih naprav, ki se štejejo ločeno v okviru cilja 3: dolžina odsekov odpremljenih prog).</w:t>
            </w:r>
          </w:p>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Od splošnega cilja rekonstrukcije ali nadgradnje 77 km železniške inf</w:t>
            </w:r>
            <w:r>
              <w:rPr>
                <w:rFonts w:ascii="Times New Roman" w:hAnsi="Times New Roman"/>
                <w:noProof/>
                <w:color w:val="006100"/>
                <w:sz w:val="20"/>
                <w:szCs w:val="20"/>
              </w:rPr>
              <w:t>rastrukture je vsaj 69 km nadgrajenih ali obnovljenih.   Naložbe vključujejo naslednje elemente:</w:t>
            </w:r>
            <w:r>
              <w:rPr>
                <w:rFonts w:ascii="Times New Roman" w:hAnsi="Times New Roman"/>
                <w:noProof/>
                <w:sz w:val="20"/>
                <w:szCs w:val="20"/>
              </w:rPr>
              <w:t xml:space="preserve">  </w:t>
            </w:r>
            <w:r>
              <w:rPr>
                <w:rFonts w:ascii="Times New Roman" w:hAnsi="Times New Roman"/>
                <w:noProof/>
                <w:color w:val="006100"/>
                <w:sz w:val="20"/>
                <w:szCs w:val="20"/>
              </w:rPr>
              <w:t>popolnoma nadgrajena dvotirna tira na železniškem koridorju s povečanjem na 160 km/h; ena ali dve obnovljeni progi (obnova zgornje/spodnje ali vlečne proge/op</w:t>
            </w:r>
            <w:r>
              <w:rPr>
                <w:rFonts w:ascii="Times New Roman" w:hAnsi="Times New Roman"/>
                <w:noProof/>
                <w:color w:val="006100"/>
                <w:sz w:val="20"/>
                <w:szCs w:val="20"/>
              </w:rPr>
              <w:t>reme; na novo elektrificirana in delno nadgrajena železniška proga z enim tirom; popolnoma nadgrajena tramvajska proga z dvema tiroma, vključno z dodatno opremo; novo zgrajeni trolejbusni vod z enim postajališčem, vključno z oskrbo z električno energijo.</w:t>
            </w:r>
          </w:p>
        </w:tc>
      </w:tr>
      <w:tr w:rsidR="009B5602">
        <w:trPr>
          <w:trHeight w:val="351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9</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Trajnostni promet – Naložba 1: Razvoj nizkoogljične prometne infrastrukture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cilj</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Dolžina odpremljenih odsekov železniških prog (km)</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število</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100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p w:rsidR="009B5602" w:rsidRDefault="009B5602">
            <w:pPr>
              <w:spacing w:before="120" w:after="120" w:line="240" w:lineRule="auto"/>
              <w:jc w:val="center"/>
              <w:rPr>
                <w:rFonts w:ascii="Times New Roman" w:hAnsi="Times New Roman"/>
                <w:noProof/>
                <w:color w:val="006100"/>
                <w:sz w:val="20"/>
                <w:szCs w:val="20"/>
                <w:highlight w:val="yellow"/>
              </w:rPr>
            </w:pPr>
          </w:p>
        </w:tc>
        <w:tc>
          <w:tcPr>
            <w:tcW w:w="3966" w:type="dxa"/>
            <w:tcBorders>
              <w:top w:val="single" w:sz="8" w:space="0" w:color="auto"/>
              <w:left w:val="single" w:sz="8" w:space="0" w:color="auto"/>
              <w:bottom w:val="nil"/>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Kvalitativni kazalnik se nanaša na dolžino železniških prog (v km), na katerih so začele </w:t>
            </w:r>
            <w:r>
              <w:rPr>
                <w:rFonts w:ascii="Times New Roman" w:hAnsi="Times New Roman"/>
                <w:noProof/>
                <w:color w:val="006100"/>
                <w:sz w:val="20"/>
                <w:szCs w:val="20"/>
              </w:rPr>
              <w:t>obratovati naprave za razporejanje/digitalno varnost. Od celotnega cilja razpošiljanja 111 km železniških prog je odpremljenih vsaj 100.</w:t>
            </w:r>
          </w:p>
        </w:tc>
      </w:tr>
      <w:tr w:rsidR="009B5602">
        <w:trPr>
          <w:trHeight w:val="228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10</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Trajnostni promet – Naložba 2: Spodbujanje čistega potniškega prometa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cilj</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Število dobavljenih čistih potniških</w:t>
            </w:r>
            <w:r>
              <w:rPr>
                <w:rFonts w:ascii="Times New Roman" w:hAnsi="Times New Roman"/>
                <w:noProof/>
                <w:color w:val="006100"/>
                <w:sz w:val="20"/>
                <w:szCs w:val="20"/>
              </w:rPr>
              <w:t xml:space="preserve"> tirnih vozil (tehtano)</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število</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5</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2025</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Kvalitativni kazalnik odraža število naročenih čistih javnih potniških tirnih vozil. Železniški vozni park vključuje zaprte električne ali vodikove vlakovne enote; večsistemske električne lokomotive; tramvaji. </w:t>
            </w:r>
          </w:p>
        </w:tc>
      </w:tr>
      <w:tr w:rsidR="009B5602">
        <w:trPr>
          <w:trHeight w:val="228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both"/>
              <w:rPr>
                <w:rFonts w:ascii="Times New Roman" w:hAnsi="Times New Roman"/>
                <w:noProof/>
                <w:sz w:val="20"/>
                <w:szCs w:val="20"/>
              </w:rPr>
            </w:pPr>
            <w:r>
              <w:rPr>
                <w:rFonts w:ascii="Times New Roman" w:hAnsi="Times New Roman"/>
                <w:noProof/>
                <w:color w:val="006100"/>
                <w:sz w:val="20"/>
                <w:szCs w:val="20"/>
              </w:rPr>
              <w:t>11</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3 – Trajnostni promet – Reforma 3: Reforma intermodalnega tovornega prometa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mejnik</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Koncept in pozivi k novim podpornim shemam</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Objava razpisov za nove programe podpore na podlagi koncepta razvoja intermodalnega prevoza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before="120" w:after="120" w:line="240" w:lineRule="auto"/>
              <w:jc w:val="both"/>
              <w:rPr>
                <w:rFonts w:ascii="Times New Roman" w:hAnsi="Times New Roman"/>
                <w:noProof/>
                <w:color w:val="006100"/>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before="120" w:after="120" w:line="240" w:lineRule="auto"/>
              <w:jc w:val="both"/>
              <w:rPr>
                <w:rFonts w:ascii="Times New Roman" w:hAnsi="Times New Roman"/>
                <w:noProof/>
                <w:color w:val="006100"/>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before="120" w:after="120" w:line="240" w:lineRule="auto"/>
              <w:jc w:val="both"/>
              <w:rPr>
                <w:rFonts w:ascii="Times New Roman" w:hAnsi="Times New Roman"/>
                <w:noProof/>
                <w:color w:val="006100"/>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Q4</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2022</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0" w:line="240" w:lineRule="auto"/>
              <w:jc w:val="both"/>
              <w:rPr>
                <w:rFonts w:ascii="Times New Roman" w:eastAsia="Times New Roman" w:hAnsi="Times New Roman"/>
                <w:noProof/>
                <w:color w:val="006100"/>
                <w:sz w:val="20"/>
                <w:szCs w:val="20"/>
              </w:rPr>
            </w:pPr>
            <w:r>
              <w:rPr>
                <w:rFonts w:ascii="Times New Roman" w:hAnsi="Times New Roman"/>
                <w:noProof/>
                <w:sz w:val="20"/>
                <w:szCs w:val="20"/>
              </w:rPr>
              <w:t>Slovaška vlada do 31.</w:t>
            </w:r>
            <w:r>
              <w:rPr>
                <w:rFonts w:ascii="Times New Roman" w:hAnsi="Times New Roman"/>
                <w:noProof/>
                <w:sz w:val="20"/>
                <w:szCs w:val="20"/>
              </w:rPr>
              <w:t xml:space="preserve"> decembra 2021 odobri koncept razvoja intermodalnega prevoza, ki vključuje predloge za zakonodajne spremembe, potrebne za sprejetje ukrepov za sistemski razvoj okolju prijaznih načinov prevoza blaga.</w:t>
            </w:r>
            <w:r>
              <w:rPr>
                <w:rFonts w:ascii="Times New Roman" w:hAnsi="Times New Roman"/>
                <w:noProof/>
                <w:color w:val="006100"/>
                <w:sz w:val="20"/>
                <w:szCs w:val="20"/>
              </w:rPr>
              <w:t xml:space="preserve"> Podpora je namenjena odpravi tehničnih težav pri prehodu</w:t>
            </w:r>
            <w:r>
              <w:rPr>
                <w:rFonts w:ascii="Times New Roman" w:hAnsi="Times New Roman"/>
                <w:noProof/>
                <w:color w:val="006100"/>
                <w:sz w:val="20"/>
                <w:szCs w:val="20"/>
              </w:rPr>
              <w:t xml:space="preserve"> na intermodalni prevoz in povečanju njegove privlačnosti. Na tej podlagi se do 31. decembra 2022 objavijo razpisi za nove sheme podpore, ki bodo pripomogle k izboljšanju razpoložljivosti intermodalnega prevoza na nediskriminatorni podlagi in utrle pot nje</w:t>
            </w:r>
            <w:r>
              <w:rPr>
                <w:rFonts w:ascii="Times New Roman" w:hAnsi="Times New Roman"/>
                <w:noProof/>
                <w:color w:val="006100"/>
                <w:sz w:val="20"/>
                <w:szCs w:val="20"/>
              </w:rPr>
              <w:t xml:space="preserve">govemu razvoju v vseh regijah Slovaške. Poziv odobri Ministrstvo za promet in gradbeništvo.  </w:t>
            </w:r>
          </w:p>
          <w:p w:rsidR="009B5602" w:rsidRDefault="009B5602">
            <w:pPr>
              <w:spacing w:after="160" w:line="259" w:lineRule="auto"/>
              <w:ind w:left="720"/>
              <w:contextualSpacing/>
              <w:rPr>
                <w:rFonts w:ascii="Times New Roman" w:eastAsia="Times New Roman" w:hAnsi="Times New Roman"/>
                <w:noProof/>
                <w:color w:val="006100"/>
                <w:sz w:val="20"/>
                <w:szCs w:val="20"/>
              </w:rPr>
            </w:pPr>
          </w:p>
          <w:p w:rsidR="009B5602" w:rsidRDefault="009B5602">
            <w:pPr>
              <w:spacing w:before="120" w:after="120" w:line="240" w:lineRule="auto"/>
              <w:rPr>
                <w:rFonts w:ascii="Times New Roman" w:hAnsi="Times New Roman"/>
                <w:noProof/>
                <w:color w:val="006100"/>
                <w:sz w:val="20"/>
                <w:szCs w:val="20"/>
              </w:rPr>
            </w:pPr>
          </w:p>
          <w:p w:rsidR="009B5602" w:rsidRDefault="009B5602">
            <w:pPr>
              <w:spacing w:before="120" w:after="120" w:line="240" w:lineRule="auto"/>
              <w:jc w:val="both"/>
              <w:rPr>
                <w:rFonts w:ascii="Times New Roman" w:hAnsi="Times New Roman"/>
                <w:noProof/>
                <w:color w:val="006100"/>
                <w:sz w:val="20"/>
                <w:szCs w:val="20"/>
              </w:rPr>
            </w:pPr>
          </w:p>
        </w:tc>
      </w:tr>
      <w:tr w:rsidR="009B5602">
        <w:trPr>
          <w:trHeight w:val="153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12</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Trajnostni promet – Naložba 3: Razvoj intermodalnega tovornega prometa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cilj</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Število intermodalnih prevoznih enot, nabavljenih v ekvivalentu dvajset čevljev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število</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1 000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 xml:space="preserve">Število naročenih intermodalnih prevoznih enot primarnih uporabnikov (upravljavskih polpriklopnikov, zamenljivih tovorišč, zabojnikov). Intermodalne prevozne enote so izražene v dvajsetčeveljskem ekvivalentu (6,1 m); Osnovna velikost posode ISO 1C – 20’ x </w:t>
            </w:r>
            <w:r>
              <w:rPr>
                <w:rFonts w:ascii="Times New Roman" w:hAnsi="Times New Roman"/>
                <w:noProof/>
                <w:color w:val="006100"/>
                <w:sz w:val="20"/>
                <w:szCs w:val="20"/>
              </w:rPr>
              <w:t xml:space="preserve">8’ x 8’ (naprava).  </w:t>
            </w:r>
          </w:p>
          <w:p w:rsidR="009B5602" w:rsidRDefault="009B5602">
            <w:pPr>
              <w:spacing w:before="120" w:after="120" w:line="240" w:lineRule="auto"/>
              <w:rPr>
                <w:rFonts w:ascii="Times New Roman" w:hAnsi="Times New Roman"/>
                <w:noProof/>
                <w:sz w:val="20"/>
                <w:szCs w:val="20"/>
              </w:rPr>
            </w:pPr>
          </w:p>
        </w:tc>
      </w:tr>
      <w:tr w:rsidR="009B5602">
        <w:trPr>
          <w:trHeight w:val="153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13</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Trajnostni promet – Reforma 4: Uvedba novih politik za dolgoročno spodbujanje alternativnih goriv v prometnem sektorju</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mejnik</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nov sveženj ukrepov za spodbujanje alternativnih pogonov</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Začetek veljavnosti resolucije za </w:t>
            </w:r>
            <w:r>
              <w:rPr>
                <w:rFonts w:ascii="Times New Roman" w:hAnsi="Times New Roman"/>
                <w:noProof/>
                <w:color w:val="006100"/>
                <w:sz w:val="20"/>
                <w:szCs w:val="20"/>
              </w:rPr>
              <w:t>spodbujanje alternativnih pogonov</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Q4</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2022</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Ukrepi pospešijo razvoj alternativnih pogonov v prometu. Ti vključujejo reformo tarif za distribucijo, ukrepe za poenostavitev in pospešitev procesa gradnje infrastrukture za alternativni pogon, uvedbo „pravic do polnilnih mest“ in uvedbo stabilnega in pre</w:t>
            </w:r>
            <w:r>
              <w:rPr>
                <w:rFonts w:ascii="Times New Roman" w:hAnsi="Times New Roman"/>
                <w:noProof/>
                <w:color w:val="006100"/>
                <w:sz w:val="20"/>
                <w:szCs w:val="20"/>
              </w:rPr>
              <w:t xml:space="preserve">dvidljivega večletnega okvira za podporo izgradnji ustrezne infrastrukture za alternativni pogon. </w:t>
            </w:r>
          </w:p>
        </w:tc>
      </w:tr>
      <w:tr w:rsidR="009B5602">
        <w:trPr>
          <w:trHeight w:val="91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14</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3 – Trajnostni promet – Naložba 4: Podpora razvoju infrastrukture za vozila na alternativna goriva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cilj</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Število delujočih polnilnih postaj ali črpalnih </w:t>
            </w:r>
            <w:r>
              <w:rPr>
                <w:rFonts w:ascii="Times New Roman" w:hAnsi="Times New Roman"/>
                <w:noProof/>
                <w:color w:val="006100"/>
                <w:sz w:val="20"/>
                <w:szCs w:val="20"/>
              </w:rPr>
              <w:t>postaj za vodik.</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število</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3 029</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Skupno število javnih polnilnih postaj ali črpalnih postaj za vodik v obratovanju.  Od splošnega cilja, da se začne obratovati 3332 polnilnih postaj, je v uporabi vsaj 3029 polnilnih postaj.  </w:t>
            </w:r>
          </w:p>
          <w:p w:rsidR="009B5602" w:rsidRDefault="009B5602">
            <w:pPr>
              <w:spacing w:before="120" w:after="120" w:line="240" w:lineRule="auto"/>
              <w:rPr>
                <w:rFonts w:ascii="Times New Roman" w:hAnsi="Times New Roman"/>
                <w:noProof/>
                <w:sz w:val="20"/>
                <w:szCs w:val="20"/>
              </w:rPr>
            </w:pPr>
          </w:p>
        </w:tc>
      </w:tr>
    </w:tbl>
    <w:p w:rsidR="009B5602" w:rsidRDefault="009B5602">
      <w:pPr>
        <w:spacing w:before="120" w:after="120" w:line="240" w:lineRule="auto"/>
        <w:jc w:val="both"/>
        <w:rPr>
          <w:rFonts w:ascii="Times New Roman" w:hAnsi="Times New Roman"/>
          <w:noProof/>
          <w:sz w:val="24"/>
        </w:rPr>
        <w:sectPr w:rsidR="009B5602">
          <w:headerReference w:type="even" r:id="rId48"/>
          <w:headerReference w:type="default" r:id="rId49"/>
          <w:footerReference w:type="even" r:id="rId50"/>
          <w:footerReference w:type="default" r:id="rId51"/>
          <w:headerReference w:type="first" r:id="rId52"/>
          <w:footerReference w:type="first" r:id="rId53"/>
          <w:pgSz w:w="16839" w:h="11907" w:orient="landscape"/>
          <w:pgMar w:top="142" w:right="1134" w:bottom="1418" w:left="1134" w:header="709" w:footer="709" w:gutter="0"/>
          <w:cols w:space="720"/>
          <w:docGrid w:linePitch="360"/>
        </w:sectPr>
      </w:pPr>
    </w:p>
    <w:p w:rsidR="009B5602" w:rsidRDefault="00886830">
      <w:pPr>
        <w:keepNext/>
        <w:tabs>
          <w:tab w:val="left" w:pos="850"/>
        </w:tabs>
        <w:spacing w:before="120" w:after="120" w:line="240" w:lineRule="auto"/>
        <w:ind w:firstLine="1"/>
        <w:jc w:val="both"/>
        <w:outlineLvl w:val="0"/>
        <w:rPr>
          <w:rFonts w:ascii="Times New Roman" w:hAnsi="Times New Roman"/>
          <w:b/>
          <w:smallCaps/>
          <w:noProof/>
          <w:sz w:val="24"/>
        </w:rPr>
      </w:pPr>
      <w:r>
        <w:rPr>
          <w:rFonts w:ascii="Times New Roman" w:hAnsi="Times New Roman"/>
          <w:b/>
          <w:smallCaps/>
          <w:noProof/>
          <w:sz w:val="24"/>
        </w:rPr>
        <w:t>KOMPONENTA 4: Razogljičenje industrije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Za zmanjšanje emisij toplogrednih plinov na Slovaškem in izpolnitev nacionalnih ciljev iz celovitega nacionalnega energetskega in podnebnega načrta za obdobje 2021–2030 je potrebno tudi pospešeno ukrepanje industrije. Slovaška je močno industrializirano go</w:t>
      </w:r>
      <w:r>
        <w:rPr>
          <w:rFonts w:ascii="Times New Roman" w:hAnsi="Times New Roman"/>
          <w:noProof/>
          <w:sz w:val="24"/>
        </w:rPr>
        <w:t>spodarstvo, pri čemer energetski in industrijski procesi prispevajo k skupnim emisijam toplogrednih plinov malo nad 70 %. Slovaška se uvršča med države članice z najvišjimi povprečnimi koncentracijami prašnih delcev v zraku v EU, predvsem zaradi staranja i</w:t>
      </w:r>
      <w:r>
        <w:rPr>
          <w:rFonts w:ascii="Times New Roman" w:hAnsi="Times New Roman"/>
          <w:noProof/>
          <w:sz w:val="24"/>
        </w:rPr>
        <w:t xml:space="preserve">ndustrijskih tehnologij in sežiganja trdnih goriv v gospodinjstvih.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V zvezi s tem komponenta 4 slovaškega načrta reforme in odpornosti predlaga razvoj in delovanje programa razogljičenja za industrijski sektor. Ukrepi vodijo k zmanjšanju emisij toplogredn</w:t>
      </w:r>
      <w:r>
        <w:rPr>
          <w:rFonts w:ascii="Times New Roman" w:hAnsi="Times New Roman"/>
          <w:noProof/>
          <w:sz w:val="24"/>
          <w:szCs w:val="24"/>
        </w:rPr>
        <w:t xml:space="preserve">ih plinov v podjetjih, zmanjšanju izgub energije in večji uporabi inovativnih okoljskih tehnologij v industrijski proizvodnji. Komponenta vključuje reformno zavezo slovaške vlade, da bo opustila premogovništvo v regiji Zgornja Nitra. Vključuje tudi zavezo </w:t>
      </w:r>
      <w:r>
        <w:rPr>
          <w:rFonts w:ascii="Times New Roman" w:hAnsi="Times New Roman"/>
          <w:noProof/>
          <w:sz w:val="24"/>
          <w:szCs w:val="24"/>
        </w:rPr>
        <w:t xml:space="preserve">o ukinitvi podpore za proizvodnjo električne energije iz domačega premoga in zaprtje elektrarne na lignit Nováky. Naložbe v opremo slovaškega okoljskega inšpektorata okrepijo zmogljivost spremljanja prizadevanj te institucije za razogljičenje.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szCs w:val="24"/>
        </w:rPr>
        <w:t xml:space="preserve">Komponenta </w:t>
      </w:r>
      <w:r>
        <w:rPr>
          <w:rFonts w:ascii="Times New Roman" w:hAnsi="Times New Roman"/>
          <w:noProof/>
          <w:sz w:val="24"/>
          <w:szCs w:val="24"/>
        </w:rPr>
        <w:t xml:space="preserve">vključuje dve reformi ter eno glavno in eno dopolnilno naložbo.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Te reforme in naložbe prispevajo k cilju zelenega prehoda in podnebnemu cilju. Razogljičenje ima trajen vpliv na okolje in kakovost zraka na Slovaškem. Naložbe krepijo konkurenčnost slovaške </w:t>
      </w:r>
      <w:r>
        <w:rPr>
          <w:rFonts w:ascii="Times New Roman" w:hAnsi="Times New Roman"/>
          <w:noProof/>
          <w:sz w:val="24"/>
          <w:szCs w:val="24"/>
        </w:rPr>
        <w:t>industrije in zagotavljajo delovna mesta na lokalni ravni. Preobrazba regije Zgornja Nitra ima močan kohezijski element, zlasti pri podpori regiji pri prehodu s premoga.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Pričakuje se, da noben ukrep v tej komponenti ne bo znatno škodoval okoljskim ciljem </w:t>
      </w:r>
      <w:r>
        <w:rPr>
          <w:rFonts w:ascii="Times New Roman" w:hAnsi="Times New Roman"/>
          <w:noProof/>
          <w:sz w:val="24"/>
          <w:szCs w:val="24"/>
        </w:rPr>
        <w:t xml:space="preserve">v smislu člena 17 Uredbe (EU) 2020/852, ob upoštevanju opisa ukrepov in ukrepov za ublažitev, določenih v načrtu za okrevanje in odpornost v skladu s tehničnimi smernicami za uporabo načela, da se ne škoduje bistveno (2021/C58/01).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Ukrepi prispevajo k ob</w:t>
      </w:r>
      <w:r>
        <w:rPr>
          <w:rFonts w:ascii="Times New Roman" w:hAnsi="Times New Roman"/>
          <w:noProof/>
          <w:sz w:val="24"/>
          <w:szCs w:val="24"/>
        </w:rPr>
        <w:t>ravnavi priporočila za posamezno državo, naslovljenega na Slovaško leta 2020, in sicer da naj „[u]smeri naložbe na zeleni in digitalni prehod, zlasti na čisto in učinkovito proizvodnjo in rabo energije in virov“ (priporočilo za posamezno državo št. 3 iz le</w:t>
      </w:r>
      <w:r>
        <w:rPr>
          <w:rFonts w:ascii="Times New Roman" w:hAnsi="Times New Roman"/>
          <w:noProof/>
          <w:sz w:val="24"/>
          <w:szCs w:val="24"/>
        </w:rPr>
        <w:t>ta 2020).</w:t>
      </w:r>
    </w:p>
    <w:p w:rsidR="009B5602" w:rsidRDefault="009B5602">
      <w:pPr>
        <w:spacing w:before="120" w:after="120" w:line="240" w:lineRule="auto"/>
        <w:jc w:val="both"/>
        <w:rPr>
          <w:rFonts w:ascii="Times New Roman" w:hAnsi="Times New Roman"/>
          <w:b/>
          <w:noProof/>
          <w:sz w:val="24"/>
          <w:u w:val="single"/>
        </w:rPr>
      </w:pPr>
    </w:p>
    <w:p w:rsidR="009B5602" w:rsidRDefault="00886830">
      <w:pPr>
        <w:spacing w:before="120" w:after="120" w:line="240" w:lineRule="auto"/>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Opis reform in naložb za nepovratno finančno podporo</w:t>
      </w:r>
    </w:p>
    <w:p w:rsidR="009B5602" w:rsidRDefault="00886830">
      <w:pPr>
        <w:spacing w:before="120" w:after="120" w:line="240" w:lineRule="auto"/>
        <w:jc w:val="both"/>
        <w:rPr>
          <w:rFonts w:ascii="Times New Roman" w:hAnsi="Times New Roman"/>
          <w:b/>
          <w:noProof/>
          <w:sz w:val="24"/>
          <w:szCs w:val="24"/>
        </w:rPr>
      </w:pPr>
      <w:r>
        <w:rPr>
          <w:rFonts w:ascii="Times New Roman" w:hAnsi="Times New Roman"/>
          <w:b/>
          <w:noProof/>
          <w:sz w:val="24"/>
          <w:szCs w:val="24"/>
        </w:rPr>
        <w:t>Reforma 1: Prenehanje proizvodnje električne energije iz premoga v elektrarni Nováky in preoblikovanje regije Zgornja Nitra</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Ta reforma vključuje zavezo slovaške vlade k napredku pri preho</w:t>
      </w:r>
      <w:r>
        <w:rPr>
          <w:rFonts w:ascii="Times New Roman" w:hAnsi="Times New Roman"/>
          <w:noProof/>
          <w:sz w:val="24"/>
          <w:szCs w:val="24"/>
        </w:rPr>
        <w:t>du s premoga v regiji Zgornja Nitra.</w:t>
      </w:r>
      <w:r>
        <w:rPr>
          <w:rFonts w:ascii="Arial Narrow" w:hAnsi="Arial Narrow"/>
          <w:noProof/>
        </w:rPr>
        <w:t xml:space="preserve"> </w:t>
      </w:r>
      <w:r>
        <w:rPr>
          <w:rFonts w:ascii="Times New Roman" w:hAnsi="Times New Roman"/>
          <w:noProof/>
          <w:sz w:val="24"/>
          <w:szCs w:val="24"/>
        </w:rPr>
        <w:t>Regionalna elektrarna Nováky ima tretje največje emisije CO</w:t>
      </w:r>
      <w:r>
        <w:rPr>
          <w:rFonts w:ascii="Times New Roman" w:hAnsi="Times New Roman"/>
          <w:noProof/>
          <w:sz w:val="24"/>
          <w:szCs w:val="24"/>
          <w:vertAlign w:val="subscript"/>
        </w:rPr>
        <w:t>2</w:t>
      </w:r>
      <w:r>
        <w:rPr>
          <w:rFonts w:ascii="Times New Roman" w:hAnsi="Times New Roman"/>
          <w:noProof/>
          <w:sz w:val="24"/>
          <w:szCs w:val="24"/>
        </w:rPr>
        <w:t xml:space="preserve"> med napravami v okviru slovaškega sistema EU za trgovanje z emisijami. </w:t>
      </w:r>
    </w:p>
    <w:p w:rsidR="009B5602" w:rsidRDefault="00886830">
      <w:pPr>
        <w:spacing w:before="120" w:after="120" w:line="240" w:lineRule="auto"/>
        <w:jc w:val="both"/>
        <w:rPr>
          <w:rFonts w:ascii="Times New Roman" w:hAnsi="Times New Roman"/>
          <w:noProof/>
          <w:color w:val="000000"/>
          <w:sz w:val="24"/>
          <w:szCs w:val="24"/>
        </w:rPr>
      </w:pPr>
      <w:r>
        <w:rPr>
          <w:rFonts w:ascii="Times New Roman" w:hAnsi="Times New Roman"/>
          <w:noProof/>
          <w:sz w:val="24"/>
          <w:szCs w:val="24"/>
        </w:rPr>
        <w:t xml:space="preserve">Namen tega ukrepa je, da elektrarna na lignit Nováky preneha podpirati proizvodnjo električne energije in preneha proizvajati električno energijo iz lignita. To bo pozitivno vplivalo na okolje in znižalo ceno za končne odjemalce električne energije. </w:t>
      </w:r>
    </w:p>
    <w:p w:rsidR="009B5602" w:rsidRDefault="00886830">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Refor</w:t>
      </w:r>
      <w:r>
        <w:rPr>
          <w:rFonts w:ascii="Times New Roman" w:hAnsi="Times New Roman"/>
          <w:noProof/>
          <w:color w:val="000000"/>
          <w:sz w:val="24"/>
          <w:szCs w:val="24"/>
          <w:shd w:val="clear" w:color="auto" w:fill="FFFFFF"/>
        </w:rPr>
        <w:t>ma se izvede do 31. decembra 2023.</w:t>
      </w:r>
    </w:p>
    <w:p w:rsidR="009B5602" w:rsidRDefault="00886830">
      <w:pPr>
        <w:spacing w:before="120" w:after="120" w:line="240" w:lineRule="auto"/>
        <w:jc w:val="both"/>
        <w:rPr>
          <w:rFonts w:ascii="Times New Roman" w:hAnsi="Times New Roman"/>
          <w:b/>
          <w:noProof/>
          <w:sz w:val="24"/>
          <w:szCs w:val="24"/>
        </w:rPr>
      </w:pPr>
      <w:r>
        <w:rPr>
          <w:rFonts w:ascii="Times New Roman" w:hAnsi="Times New Roman"/>
          <w:b/>
          <w:noProof/>
          <w:sz w:val="24"/>
          <w:szCs w:val="24"/>
        </w:rPr>
        <w:br w:type="page"/>
        <w:t>Reforma 2: Sprejetje konkurenčnega sistema za zmanjšanje emisij toplogrednih plinov v industriji</w:t>
      </w:r>
    </w:p>
    <w:p w:rsidR="009B5602" w:rsidRDefault="00886830">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rPr>
        <w:t>Slovaški organi uvedejo konkurenčni sistem razogljičenja, ki bo odprt za vse industrijske sektorje.</w:t>
      </w:r>
      <w:r>
        <w:rPr>
          <w:rFonts w:ascii="Times New Roman" w:hAnsi="Times New Roman"/>
          <w:noProof/>
          <w:color w:val="000000"/>
          <w:sz w:val="24"/>
          <w:szCs w:val="24"/>
          <w:shd w:val="clear" w:color="auto" w:fill="FFFFFF"/>
        </w:rPr>
        <w:t xml:space="preserve"> </w:t>
      </w:r>
      <w:r>
        <w:rPr>
          <w:rFonts w:ascii="Times New Roman" w:hAnsi="Times New Roman"/>
          <w:noProof/>
          <w:color w:val="000000"/>
          <w:sz w:val="24"/>
          <w:szCs w:val="24"/>
        </w:rPr>
        <w:t>Program razogljičenja p</w:t>
      </w:r>
      <w:r>
        <w:rPr>
          <w:rFonts w:ascii="Times New Roman" w:hAnsi="Times New Roman"/>
          <w:noProof/>
          <w:color w:val="000000"/>
          <w:sz w:val="24"/>
          <w:szCs w:val="24"/>
        </w:rPr>
        <w:t>odpira uvajanje najboljših trenutno razpoložljivih tehnologij v industrijskih procesih.</w:t>
      </w:r>
      <w:r>
        <w:rPr>
          <w:rFonts w:ascii="Times New Roman" w:hAnsi="Times New Roman"/>
          <w:noProof/>
          <w:color w:val="000000"/>
          <w:sz w:val="24"/>
          <w:szCs w:val="24"/>
          <w:shd w:val="clear" w:color="auto" w:fill="FFFFFF"/>
        </w:rPr>
        <w:t xml:space="preserve"> Podpora je namenjena nizkoogljičnim procesom in tehnologijam v industriji ter sprejetju ukrepov za energetsko učinkovitost.</w:t>
      </w:r>
    </w:p>
    <w:p w:rsidR="009B5602" w:rsidRDefault="00886830">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shd w:val="clear" w:color="auto" w:fill="FFFFFF"/>
        </w:rPr>
        <w:t>Slovaška zagotovi, da se zagotovijo stroge z</w:t>
      </w:r>
      <w:r>
        <w:rPr>
          <w:rFonts w:ascii="Times New Roman" w:hAnsi="Times New Roman"/>
          <w:noProof/>
          <w:color w:val="000000"/>
          <w:sz w:val="24"/>
          <w:szCs w:val="24"/>
          <w:shd w:val="clear" w:color="auto" w:fill="FFFFFF"/>
        </w:rPr>
        <w:t xml:space="preserve">ahteve glede skladnosti z okoljsko zakonodajo, tako na nacionalni ravni kot na ravni EU. </w:t>
      </w:r>
      <w:r>
        <w:rPr>
          <w:rFonts w:ascii="Times New Roman" w:hAnsi="Times New Roman"/>
          <w:noProof/>
          <w:color w:val="000000"/>
          <w:sz w:val="24"/>
          <w:szCs w:val="24"/>
        </w:rPr>
        <w:t xml:space="preserve">To vključuje skladnost podprtih dejavnosti in podjetij s tehničnimi smernicami za uporabo načela, da se ne škoduje bistveno (2021/C58/01). </w:t>
      </w:r>
    </w:p>
    <w:p w:rsidR="009B5602" w:rsidRDefault="00886830">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S podporo napravam v okviru</w:t>
      </w:r>
      <w:r>
        <w:rPr>
          <w:rFonts w:ascii="Times New Roman" w:hAnsi="Times New Roman"/>
          <w:noProof/>
          <w:color w:val="000000"/>
          <w:sz w:val="24"/>
          <w:szCs w:val="24"/>
          <w:shd w:val="clear" w:color="auto" w:fill="FFFFFF"/>
        </w:rPr>
        <w:t xml:space="preserve"> sistema EU za trgovanje z emisijami se njihove emisije bistveno zmanjšajo pod referenčno vrednost, ki je relevantna za ponudbo za projekt. Pogoj „znatno pod referenčno vrednostjo“ je del meril za izbor za javno naročilo.</w:t>
      </w:r>
    </w:p>
    <w:p w:rsidR="009B5602" w:rsidRDefault="00886830">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Količina emisij toplogrednih plino</w:t>
      </w:r>
      <w:r>
        <w:rPr>
          <w:rFonts w:ascii="Times New Roman" w:hAnsi="Times New Roman"/>
          <w:noProof/>
          <w:color w:val="000000"/>
          <w:sz w:val="24"/>
          <w:szCs w:val="24"/>
        </w:rPr>
        <w:t>v (v enotah ekvivalenta CO</w:t>
      </w:r>
      <w:r>
        <w:rPr>
          <w:rFonts w:ascii="Times New Roman" w:hAnsi="Times New Roman"/>
          <w:noProof/>
          <w:color w:val="000000"/>
          <w:sz w:val="24"/>
          <w:szCs w:val="24"/>
          <w:vertAlign w:val="subscript"/>
        </w:rPr>
        <w:t>2</w:t>
      </w:r>
      <w:r>
        <w:rPr>
          <w:rFonts w:ascii="Times New Roman" w:hAnsi="Times New Roman"/>
          <w:noProof/>
          <w:color w:val="000000"/>
          <w:sz w:val="24"/>
          <w:szCs w:val="24"/>
        </w:rPr>
        <w:t>, tehtano povprečje) podjetij, ki jih podpira sistem, se v primerjavi s hipotetičnim scenarijem zmanjša za vsaj 30 %.</w:t>
      </w:r>
    </w:p>
    <w:p w:rsidR="009B5602" w:rsidRDefault="00886830">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rPr>
        <w:t>Slovaški organi zagotovijo podatke o razogljičenju za projekte v okviru sistema ( ki morajo biti na voljo najpo</w:t>
      </w:r>
      <w:r>
        <w:rPr>
          <w:rFonts w:ascii="Times New Roman" w:hAnsi="Times New Roman"/>
          <w:noProof/>
          <w:color w:val="000000"/>
          <w:sz w:val="24"/>
          <w:szCs w:val="24"/>
        </w:rPr>
        <w:t>zneje do 30. junija 2026) ali dokažejo, da bodo prihranki emisij toplogrednih plinov zagotovljeni na podlagi predpostavljenih parametrov podprtih tehnologij v okviru ukrepa (na podlagi certifikatov proizvajalcev) ali kombinacije obeh pristopov.</w:t>
      </w:r>
    </w:p>
    <w:p w:rsidR="009B5602" w:rsidRDefault="00886830">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Reforma se </w:t>
      </w:r>
      <w:r>
        <w:rPr>
          <w:rFonts w:ascii="Times New Roman" w:hAnsi="Times New Roman"/>
          <w:noProof/>
          <w:color w:val="000000"/>
          <w:sz w:val="24"/>
          <w:szCs w:val="24"/>
          <w:shd w:val="clear" w:color="auto" w:fill="FFFFFF"/>
        </w:rPr>
        <w:t>izvede do 31. decembra 2022.</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 xml:space="preserve">Naložba 1: Delovanje industrijskega sistema za razogljičenje </w:t>
      </w:r>
    </w:p>
    <w:p w:rsidR="009B5602" w:rsidRDefault="00886830">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Namen ukrepa je zmanjšati emisije toplogrednih plinov s podporo projektom za industrijska podjetja. Dražbeni sistem upošteva pogoje glede naložbenih politik, kot so </w:t>
      </w:r>
      <w:r>
        <w:rPr>
          <w:rFonts w:ascii="Times New Roman" w:hAnsi="Times New Roman"/>
          <w:noProof/>
          <w:color w:val="000000"/>
          <w:sz w:val="24"/>
          <w:szCs w:val="24"/>
          <w:shd w:val="clear" w:color="auto" w:fill="FFFFFF"/>
        </w:rPr>
        <w:t>določeni v Reformi 2 („Sprejetje konkurenčnega programa za zmanjšanje emisij toplogrednih plinov v industriji“). </w:t>
      </w:r>
    </w:p>
    <w:p w:rsidR="009B5602" w:rsidRDefault="00886830">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rPr>
        <w:t>Od splošnega cilja zmanjšanja emisij toplogrednih plinov za 1 369 917 ton ekvivalenta CO</w:t>
      </w:r>
      <w:r>
        <w:rPr>
          <w:rFonts w:ascii="Times New Roman" w:hAnsi="Times New Roman"/>
          <w:noProof/>
          <w:color w:val="000000"/>
          <w:sz w:val="24"/>
          <w:szCs w:val="24"/>
          <w:vertAlign w:val="subscript"/>
        </w:rPr>
        <w:t>2</w:t>
      </w:r>
      <w:r>
        <w:rPr>
          <w:rFonts w:ascii="Times New Roman" w:hAnsi="Times New Roman"/>
          <w:noProof/>
          <w:color w:val="000000"/>
          <w:sz w:val="24"/>
          <w:szCs w:val="24"/>
        </w:rPr>
        <w:t xml:space="preserve"> se s programom razogljičenja poleg hipotetičnega sce</w:t>
      </w:r>
      <w:r>
        <w:rPr>
          <w:rFonts w:ascii="Times New Roman" w:hAnsi="Times New Roman"/>
          <w:noProof/>
          <w:color w:val="000000"/>
          <w:sz w:val="24"/>
          <w:szCs w:val="24"/>
        </w:rPr>
        <w:t>narija, predstavljenega Komisiji, zagotovi zmanjšanje za vsaj 1 232 926 ton ekvivalenta CO</w:t>
      </w:r>
      <w:r>
        <w:rPr>
          <w:rFonts w:ascii="Times New Roman" w:hAnsi="Times New Roman"/>
          <w:noProof/>
          <w:color w:val="000000"/>
          <w:sz w:val="24"/>
          <w:szCs w:val="24"/>
          <w:vertAlign w:val="subscript"/>
        </w:rPr>
        <w:t>2</w:t>
      </w:r>
      <w:r>
        <w:rPr>
          <w:rFonts w:ascii="Times New Roman" w:hAnsi="Times New Roman"/>
          <w:noProof/>
          <w:color w:val="000000"/>
          <w:sz w:val="24"/>
          <w:szCs w:val="24"/>
        </w:rPr>
        <w:t>. Zmanjšanje emisij se ugotovi na podlagi zbiranja podatkov za projekte v okviru programa razogljičenja ali na podlagi parametrov podprtih tehnologij, ki temeljijo n</w:t>
      </w:r>
      <w:r>
        <w:rPr>
          <w:rFonts w:ascii="Times New Roman" w:hAnsi="Times New Roman"/>
          <w:noProof/>
          <w:color w:val="000000"/>
          <w:sz w:val="24"/>
          <w:szCs w:val="24"/>
        </w:rPr>
        <w:t>a certifikatih proizvajalcev ali kombinaciji obeh pristopov. Slovaški organi Komisiji najpozneje do 30. junija 2026 predložijo podatke in potrebno tehnično dokumentacijo o izpolnjevanju cilja razogljičenja.</w:t>
      </w:r>
    </w:p>
    <w:p w:rsidR="009B5602" w:rsidRDefault="00886830">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rPr>
        <w:t xml:space="preserve">Naložba se izvede do 30. junija 2026. </w:t>
      </w:r>
    </w:p>
    <w:p w:rsidR="009B5602" w:rsidRDefault="009B5602">
      <w:pPr>
        <w:spacing w:before="120" w:after="120" w:line="240" w:lineRule="auto"/>
        <w:jc w:val="both"/>
        <w:rPr>
          <w:rFonts w:ascii="Times New Roman" w:hAnsi="Times New Roman"/>
          <w:b/>
          <w:noProof/>
          <w:sz w:val="24"/>
        </w:rPr>
      </w:pPr>
    </w:p>
    <w:p w:rsidR="009B5602" w:rsidRDefault="00886830">
      <w:pPr>
        <w:spacing w:before="120" w:after="120" w:line="240" w:lineRule="auto"/>
        <w:jc w:val="both"/>
        <w:rPr>
          <w:rFonts w:ascii="Times New Roman" w:hAnsi="Times New Roman"/>
          <w:b/>
          <w:noProof/>
          <w:sz w:val="24"/>
          <w:szCs w:val="24"/>
        </w:rPr>
      </w:pPr>
      <w:r>
        <w:rPr>
          <w:rFonts w:ascii="Times New Roman" w:hAnsi="Times New Roman"/>
          <w:b/>
          <w:noProof/>
          <w:sz w:val="24"/>
          <w:szCs w:val="24"/>
        </w:rPr>
        <w:t xml:space="preserve">Naložba 2: Podpora delovanju slovaškega okoljskega inšpektorata, povezanega z razogljičenjem </w:t>
      </w:r>
    </w:p>
    <w:p w:rsidR="009B5602" w:rsidRDefault="00886830">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Namen ukrepa je podpreti naložbe v opremo slovaškega okoljskega inšpektorata za krepitev zmogljivosti te institucije za spremljanje v procesu razogljičenja. Trenu</w:t>
      </w:r>
      <w:r>
        <w:rPr>
          <w:rFonts w:ascii="Times New Roman" w:hAnsi="Times New Roman"/>
          <w:noProof/>
          <w:color w:val="000000"/>
          <w:sz w:val="24"/>
          <w:szCs w:val="24"/>
          <w:shd w:val="clear" w:color="auto" w:fill="FFFFFF"/>
        </w:rPr>
        <w:t>tno pomanjkanje opreme ne omogoča izvajanja potrebnih dejavnosti zaradi pričakovanega povečanja obsega dela inšpektorata.</w:t>
      </w:r>
    </w:p>
    <w:p w:rsidR="009B5602" w:rsidRDefault="00886830">
      <w:pPr>
        <w:spacing w:before="120"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Naložbe prispevajo k posodobitvi opreme in prostorov institucije. To omogoča racionalizacijo operativnih dejavnosti inšpektorata, tudi</w:t>
      </w:r>
      <w:r>
        <w:rPr>
          <w:rFonts w:ascii="Times New Roman" w:hAnsi="Times New Roman"/>
          <w:noProof/>
          <w:color w:val="000000"/>
          <w:sz w:val="24"/>
          <w:szCs w:val="24"/>
          <w:shd w:val="clear" w:color="auto" w:fill="FFFFFF"/>
        </w:rPr>
        <w:t xml:space="preserve"> za misije na terenu. Vozila inšpektorata morajo biti opremljena s pisarniško in merilno tehnologijo, zlasti za inšpekcijske preglede zaščite zraka, varstva voda in ravnanja z odpadki. Naložbe zagotavljajo tudi izboljšave v stavbnih prostorih inšpektorata.</w:t>
      </w:r>
    </w:p>
    <w:p w:rsidR="009B5602" w:rsidRDefault="00886830">
      <w:pPr>
        <w:spacing w:before="120" w:after="120" w:line="240" w:lineRule="auto"/>
        <w:jc w:val="both"/>
        <w:rPr>
          <w:rFonts w:ascii="Times New Roman" w:hAnsi="Times New Roman"/>
          <w:noProof/>
          <w:color w:val="000000"/>
          <w:sz w:val="24"/>
          <w:shd w:val="clear" w:color="auto" w:fill="FFFFFF"/>
        </w:rPr>
      </w:pPr>
      <w:r>
        <w:rPr>
          <w:rFonts w:ascii="Times New Roman" w:hAnsi="Times New Roman"/>
          <w:noProof/>
          <w:color w:val="000000"/>
          <w:sz w:val="24"/>
          <w:szCs w:val="24"/>
          <w:shd w:val="clear" w:color="auto" w:fill="FFFFFF"/>
        </w:rPr>
        <w:t>Izvajanje naložb naj bi se začelo do 1. januarja 2022 in končalo do 30. junija 2025.</w:t>
      </w:r>
    </w:p>
    <w:p w:rsidR="009B5602" w:rsidRPr="00886830" w:rsidRDefault="009B5602">
      <w:pPr>
        <w:spacing w:before="120" w:after="120" w:line="240" w:lineRule="auto"/>
        <w:jc w:val="both"/>
        <w:rPr>
          <w:rFonts w:ascii="Times New Roman" w:hAnsi="Times New Roman"/>
          <w:noProof/>
          <w:color w:val="000000"/>
          <w:sz w:val="24"/>
          <w:shd w:val="clear" w:color="auto" w:fill="FFFFFF"/>
        </w:rPr>
        <w:sectPr w:rsidR="009B5602" w:rsidRPr="00886830">
          <w:headerReference w:type="even" r:id="rId54"/>
          <w:headerReference w:type="default" r:id="rId55"/>
          <w:footerReference w:type="even" r:id="rId56"/>
          <w:footerReference w:type="default" r:id="rId57"/>
          <w:headerReference w:type="first" r:id="rId58"/>
          <w:footerReference w:type="first" r:id="rId59"/>
          <w:pgSz w:w="11907" w:h="16839"/>
          <w:pgMar w:top="1418" w:right="1134" w:bottom="1418" w:left="1134" w:header="709" w:footer="709" w:gutter="0"/>
          <w:cols w:space="720"/>
          <w:docGrid w:linePitch="360"/>
        </w:sectPr>
      </w:pPr>
    </w:p>
    <w:p w:rsidR="009B5602" w:rsidRDefault="00886830">
      <w:pPr>
        <w:tabs>
          <w:tab w:val="left" w:pos="993"/>
        </w:tabs>
        <w:spacing w:before="120" w:after="120" w:line="240" w:lineRule="auto"/>
        <w:ind w:left="850"/>
        <w:jc w:val="both"/>
        <w:rPr>
          <w:rFonts w:ascii="Times New Roman" w:hAnsi="Times New Roman"/>
          <w:b/>
          <w:noProof/>
          <w:sz w:val="24"/>
          <w:szCs w:val="24"/>
          <w:u w:val="single"/>
        </w:rPr>
      </w:pPr>
      <w:r>
        <w:rPr>
          <w:rFonts w:ascii="Times New Roman" w:hAnsi="Times New Roman"/>
          <w:b/>
          <w:noProof/>
          <w:sz w:val="24"/>
          <w:szCs w:val="24"/>
          <w:u w:val="single"/>
        </w:rPr>
        <w:t xml:space="preserve">A.2 </w:t>
      </w:r>
      <w:r>
        <w:rPr>
          <w:noProof/>
        </w:rPr>
        <w:tab/>
      </w:r>
      <w:r>
        <w:rPr>
          <w:rFonts w:ascii="Times New Roman" w:hAnsi="Times New Roman"/>
          <w:b/>
          <w:noProof/>
          <w:sz w:val="24"/>
          <w:szCs w:val="24"/>
          <w:u w:val="single"/>
        </w:rPr>
        <w:t xml:space="preserve">Mejniki, cilji, kazalniki in časovni razpored za spremljanje in izvajanje nepovratne finančne podpore </w:t>
      </w:r>
    </w:p>
    <w:tbl>
      <w:tblPr>
        <w:tblW w:w="15876" w:type="dxa"/>
        <w:tblInd w:w="-459" w:type="dxa"/>
        <w:tblLook w:val="04A0" w:firstRow="1" w:lastRow="0" w:firstColumn="1" w:lastColumn="0" w:noHBand="0" w:noVBand="1"/>
      </w:tblPr>
      <w:tblGrid>
        <w:gridCol w:w="1121"/>
        <w:gridCol w:w="1935"/>
        <w:gridCol w:w="1161"/>
        <w:gridCol w:w="1926"/>
        <w:gridCol w:w="1777"/>
        <w:gridCol w:w="1134"/>
        <w:gridCol w:w="1139"/>
        <w:gridCol w:w="990"/>
        <w:gridCol w:w="1038"/>
        <w:gridCol w:w="925"/>
        <w:gridCol w:w="2730"/>
      </w:tblGrid>
      <w:tr w:rsidR="009B5602">
        <w:trPr>
          <w:trHeight w:val="900"/>
        </w:trPr>
        <w:tc>
          <w:tcPr>
            <w:tcW w:w="1120" w:type="dxa"/>
            <w:vMerge w:val="restart"/>
            <w:tcBorders>
              <w:top w:val="single" w:sz="4" w:space="0" w:color="auto"/>
              <w:left w:val="single" w:sz="4" w:space="0" w:color="auto"/>
              <w:right w:val="single" w:sz="4" w:space="0" w:color="auto"/>
            </w:tcBorders>
            <w:shd w:val="clear" w:color="auto" w:fill="BDD7EE"/>
            <w:vAlign w:val="center"/>
            <w:hideMark/>
          </w:tcPr>
          <w:p w:rsidR="009B5602" w:rsidRDefault="00886830">
            <w:pPr>
              <w:spacing w:before="120" w:after="120" w:line="256" w:lineRule="auto"/>
              <w:jc w:val="center"/>
              <w:rPr>
                <w:rFonts w:ascii="Times New Roman" w:eastAsia="Times New Roman" w:hAnsi="Times New Roman"/>
                <w:b/>
                <w:noProof/>
                <w:sz w:val="20"/>
                <w:szCs w:val="20"/>
              </w:rPr>
            </w:pPr>
            <w:r>
              <w:rPr>
                <w:rFonts w:ascii="Times New Roman" w:hAnsi="Times New Roman"/>
                <w:b/>
                <w:noProof/>
                <w:sz w:val="20"/>
                <w:szCs w:val="20"/>
              </w:rPr>
              <w:t>Zap. št.</w:t>
            </w:r>
          </w:p>
          <w:p w:rsidR="009B5602" w:rsidRDefault="00886830">
            <w:pPr>
              <w:spacing w:after="0" w:line="256" w:lineRule="auto"/>
              <w:rPr>
                <w:rFonts w:ascii="Times New Roman" w:eastAsia="Times New Roman" w:hAnsi="Times New Roman"/>
                <w:b/>
                <w:noProof/>
                <w:sz w:val="20"/>
                <w:szCs w:val="20"/>
              </w:rPr>
            </w:pPr>
            <w:r>
              <w:rPr>
                <w:rFonts w:ascii="Times New Roman" w:hAnsi="Times New Roman"/>
                <w:noProof/>
                <w:sz w:val="20"/>
                <w:szCs w:val="20"/>
              </w:rPr>
              <w:t> </w:t>
            </w:r>
          </w:p>
        </w:tc>
        <w:tc>
          <w:tcPr>
            <w:tcW w:w="1999"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Povezani ukrep (reforma ali naložba)</w:t>
            </w:r>
          </w:p>
          <w:p w:rsidR="009B5602" w:rsidRDefault="00886830">
            <w:pPr>
              <w:spacing w:after="0" w:line="256" w:lineRule="auto"/>
              <w:rPr>
                <w:rFonts w:ascii="Times New Roman" w:eastAsia="Times New Roman" w:hAnsi="Times New Roman"/>
                <w:b/>
                <w:noProof/>
                <w:sz w:val="20"/>
                <w:szCs w:val="20"/>
              </w:rPr>
            </w:pPr>
            <w:r>
              <w:rPr>
                <w:rFonts w:ascii="Times New Roman" w:hAnsi="Times New Roman"/>
                <w:noProof/>
                <w:sz w:val="20"/>
                <w:szCs w:val="20"/>
              </w:rPr>
              <w:t> </w:t>
            </w:r>
          </w:p>
        </w:tc>
        <w:tc>
          <w:tcPr>
            <w:tcW w:w="979"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Mejnik/cilj</w:t>
            </w:r>
          </w:p>
          <w:p w:rsidR="009B5602" w:rsidRDefault="00886830">
            <w:pPr>
              <w:spacing w:after="0" w:line="256" w:lineRule="auto"/>
              <w:rPr>
                <w:rFonts w:ascii="Times New Roman" w:eastAsia="Times New Roman" w:hAnsi="Times New Roman"/>
                <w:b/>
                <w:noProof/>
                <w:sz w:val="20"/>
                <w:szCs w:val="20"/>
              </w:rPr>
            </w:pPr>
            <w:r>
              <w:rPr>
                <w:rFonts w:ascii="Times New Roman" w:hAnsi="Times New Roman"/>
                <w:noProof/>
                <w:sz w:val="20"/>
                <w:szCs w:val="20"/>
              </w:rPr>
              <w:t> </w:t>
            </w:r>
          </w:p>
        </w:tc>
        <w:tc>
          <w:tcPr>
            <w:tcW w:w="1998"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Ime</w:t>
            </w:r>
          </w:p>
          <w:p w:rsidR="009B5602" w:rsidRDefault="00886830">
            <w:pPr>
              <w:spacing w:after="0" w:line="256" w:lineRule="auto"/>
              <w:rPr>
                <w:rFonts w:ascii="Times New Roman" w:eastAsia="Times New Roman" w:hAnsi="Times New Roman"/>
                <w:b/>
                <w:noProof/>
                <w:sz w:val="20"/>
                <w:szCs w:val="20"/>
              </w:rPr>
            </w:pPr>
            <w:r>
              <w:rPr>
                <w:rFonts w:ascii="Times New Roman" w:hAnsi="Times New Roman"/>
                <w:noProof/>
                <w:sz w:val="20"/>
                <w:szCs w:val="20"/>
              </w:rPr>
              <w:t> </w:t>
            </w:r>
          </w:p>
        </w:tc>
        <w:tc>
          <w:tcPr>
            <w:tcW w:w="1842"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Kvalitativni kazalniki (za mejnike)</w:t>
            </w:r>
          </w:p>
          <w:p w:rsidR="009B5602" w:rsidRDefault="00886830">
            <w:pPr>
              <w:spacing w:after="0" w:line="256" w:lineRule="auto"/>
              <w:rPr>
                <w:rFonts w:ascii="Times New Roman" w:eastAsia="Times New Roman" w:hAnsi="Times New Roman"/>
                <w:b/>
                <w:noProof/>
                <w:sz w:val="20"/>
                <w:szCs w:val="20"/>
              </w:rPr>
            </w:pPr>
            <w:r>
              <w:rPr>
                <w:rFonts w:ascii="Times New Roman" w:hAnsi="Times New Roman"/>
                <w:noProof/>
                <w:sz w:val="20"/>
                <w:szCs w:val="20"/>
              </w:rPr>
              <w:t> </w:t>
            </w:r>
          </w:p>
        </w:tc>
        <w:tc>
          <w:tcPr>
            <w:tcW w:w="3258" w:type="dxa"/>
            <w:gridSpan w:val="3"/>
            <w:tcBorders>
              <w:top w:val="single" w:sz="4" w:space="0" w:color="auto"/>
              <w:left w:val="nil"/>
              <w:bottom w:val="single" w:sz="4" w:space="0" w:color="auto"/>
              <w:right w:val="single" w:sz="4" w:space="0" w:color="000000"/>
            </w:tcBorders>
            <w:shd w:val="clear" w:color="auto" w:fill="BDD7EE"/>
            <w:vAlign w:val="center"/>
            <w:hideMark/>
          </w:tcPr>
          <w:p w:rsidR="009B5602" w:rsidRDefault="00886830">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Kvantitativni kazalniki (za cilje)</w:t>
            </w:r>
          </w:p>
        </w:tc>
        <w:tc>
          <w:tcPr>
            <w:tcW w:w="1841" w:type="dxa"/>
            <w:gridSpan w:val="2"/>
            <w:tcBorders>
              <w:top w:val="single" w:sz="4" w:space="0" w:color="auto"/>
              <w:left w:val="nil"/>
              <w:bottom w:val="single" w:sz="4" w:space="0" w:color="auto"/>
              <w:right w:val="single" w:sz="4" w:space="0" w:color="000000"/>
            </w:tcBorders>
            <w:shd w:val="clear" w:color="auto" w:fill="BDD7EE"/>
            <w:vAlign w:val="center"/>
            <w:hideMark/>
          </w:tcPr>
          <w:p w:rsidR="009B5602" w:rsidRDefault="00886830">
            <w:pPr>
              <w:spacing w:after="0" w:line="256" w:lineRule="auto"/>
              <w:jc w:val="center"/>
              <w:rPr>
                <w:rFonts w:ascii="Times New Roman" w:eastAsia="Times New Roman" w:hAnsi="Times New Roman"/>
                <w:b/>
                <w:noProof/>
                <w:sz w:val="20"/>
                <w:szCs w:val="20"/>
              </w:rPr>
            </w:pPr>
            <w:r>
              <w:rPr>
                <w:rFonts w:ascii="Times New Roman" w:hAnsi="Times New Roman"/>
                <w:b/>
                <w:bCs/>
                <w:noProof/>
                <w:sz w:val="20"/>
                <w:szCs w:val="20"/>
              </w:rPr>
              <w:t xml:space="preserve">Okvirni časovni razpored za dokončanje </w:t>
            </w:r>
          </w:p>
        </w:tc>
        <w:tc>
          <w:tcPr>
            <w:tcW w:w="2839"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Opis in jasna opredelitev vsakega mejnika in cilja</w:t>
            </w:r>
          </w:p>
          <w:p w:rsidR="009B5602" w:rsidRDefault="00886830">
            <w:pPr>
              <w:spacing w:after="0" w:line="256" w:lineRule="auto"/>
              <w:rPr>
                <w:rFonts w:ascii="Times New Roman" w:eastAsia="Times New Roman" w:hAnsi="Times New Roman"/>
                <w:b/>
                <w:noProof/>
                <w:sz w:val="20"/>
                <w:szCs w:val="20"/>
              </w:rPr>
            </w:pPr>
            <w:r>
              <w:rPr>
                <w:rFonts w:ascii="Times New Roman" w:hAnsi="Times New Roman"/>
                <w:noProof/>
                <w:sz w:val="20"/>
                <w:szCs w:val="20"/>
              </w:rPr>
              <w:t> </w:t>
            </w:r>
          </w:p>
        </w:tc>
      </w:tr>
      <w:tr w:rsidR="009B5602">
        <w:trPr>
          <w:trHeight w:val="484"/>
        </w:trPr>
        <w:tc>
          <w:tcPr>
            <w:tcW w:w="1120" w:type="dxa"/>
            <w:vMerge/>
            <w:tcBorders>
              <w:left w:val="single" w:sz="4" w:space="0" w:color="auto"/>
              <w:bottom w:val="single" w:sz="4" w:space="0" w:color="auto"/>
              <w:right w:val="single" w:sz="4" w:space="0" w:color="auto"/>
            </w:tcBorders>
            <w:shd w:val="clear" w:color="auto" w:fill="BDD7EE"/>
            <w:vAlign w:val="center"/>
            <w:hideMark/>
          </w:tcPr>
          <w:p w:rsidR="009B5602" w:rsidRDefault="009B5602">
            <w:pPr>
              <w:spacing w:after="0" w:line="256" w:lineRule="auto"/>
              <w:rPr>
                <w:rFonts w:ascii="Times New Roman" w:eastAsia="Times New Roman" w:hAnsi="Times New Roman"/>
                <w:noProof/>
                <w:sz w:val="20"/>
                <w:szCs w:val="20"/>
              </w:rPr>
            </w:pPr>
          </w:p>
        </w:tc>
        <w:tc>
          <w:tcPr>
            <w:tcW w:w="1999" w:type="dxa"/>
            <w:vMerge/>
            <w:tcBorders>
              <w:left w:val="nil"/>
              <w:bottom w:val="single" w:sz="4" w:space="0" w:color="auto"/>
              <w:right w:val="single" w:sz="4" w:space="0" w:color="auto"/>
            </w:tcBorders>
            <w:shd w:val="clear" w:color="auto" w:fill="BDD7EE"/>
            <w:vAlign w:val="center"/>
            <w:hideMark/>
          </w:tcPr>
          <w:p w:rsidR="009B5602" w:rsidRDefault="009B5602">
            <w:pPr>
              <w:spacing w:after="0" w:line="256" w:lineRule="auto"/>
              <w:rPr>
                <w:rFonts w:ascii="Times New Roman" w:eastAsia="Times New Roman" w:hAnsi="Times New Roman"/>
                <w:noProof/>
                <w:sz w:val="20"/>
                <w:szCs w:val="20"/>
              </w:rPr>
            </w:pPr>
          </w:p>
        </w:tc>
        <w:tc>
          <w:tcPr>
            <w:tcW w:w="979" w:type="dxa"/>
            <w:vMerge/>
            <w:tcBorders>
              <w:left w:val="nil"/>
              <w:bottom w:val="single" w:sz="4" w:space="0" w:color="auto"/>
              <w:right w:val="single" w:sz="4" w:space="0" w:color="auto"/>
            </w:tcBorders>
            <w:shd w:val="clear" w:color="auto" w:fill="BDD7EE"/>
            <w:vAlign w:val="center"/>
            <w:hideMark/>
          </w:tcPr>
          <w:p w:rsidR="009B5602" w:rsidRDefault="009B5602">
            <w:pPr>
              <w:spacing w:after="0" w:line="256" w:lineRule="auto"/>
              <w:rPr>
                <w:rFonts w:ascii="Times New Roman" w:eastAsia="Times New Roman" w:hAnsi="Times New Roman"/>
                <w:noProof/>
                <w:sz w:val="20"/>
                <w:szCs w:val="20"/>
              </w:rPr>
            </w:pPr>
          </w:p>
        </w:tc>
        <w:tc>
          <w:tcPr>
            <w:tcW w:w="1998" w:type="dxa"/>
            <w:vMerge/>
            <w:tcBorders>
              <w:left w:val="nil"/>
              <w:bottom w:val="single" w:sz="4" w:space="0" w:color="auto"/>
              <w:right w:val="single" w:sz="4" w:space="0" w:color="auto"/>
            </w:tcBorders>
            <w:shd w:val="clear" w:color="auto" w:fill="BDD7EE"/>
            <w:vAlign w:val="center"/>
            <w:hideMark/>
          </w:tcPr>
          <w:p w:rsidR="009B5602" w:rsidRDefault="009B5602">
            <w:pPr>
              <w:spacing w:after="0" w:line="256" w:lineRule="auto"/>
              <w:rPr>
                <w:rFonts w:ascii="Times New Roman" w:eastAsia="Times New Roman" w:hAnsi="Times New Roman"/>
                <w:noProof/>
                <w:sz w:val="20"/>
                <w:szCs w:val="20"/>
              </w:rPr>
            </w:pPr>
          </w:p>
        </w:tc>
        <w:tc>
          <w:tcPr>
            <w:tcW w:w="1842" w:type="dxa"/>
            <w:vMerge/>
            <w:tcBorders>
              <w:left w:val="nil"/>
              <w:bottom w:val="single" w:sz="4" w:space="0" w:color="auto"/>
              <w:right w:val="single" w:sz="4" w:space="0" w:color="auto"/>
            </w:tcBorders>
            <w:shd w:val="clear" w:color="auto" w:fill="BDD7EE"/>
            <w:vAlign w:val="center"/>
            <w:hideMark/>
          </w:tcPr>
          <w:p w:rsidR="009B5602" w:rsidRDefault="009B5602">
            <w:pPr>
              <w:spacing w:after="0" w:line="256" w:lineRule="auto"/>
              <w:rPr>
                <w:rFonts w:ascii="Times New Roman" w:eastAsia="Times New Roman" w:hAnsi="Times New Roman"/>
                <w:noProof/>
                <w:sz w:val="20"/>
                <w:szCs w:val="20"/>
              </w:rPr>
            </w:pPr>
          </w:p>
        </w:tc>
        <w:tc>
          <w:tcPr>
            <w:tcW w:w="1134"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 xml:space="preserve">merska enota </w:t>
            </w:r>
          </w:p>
        </w:tc>
        <w:tc>
          <w:tcPr>
            <w:tcW w:w="1134"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Izhodiščna raven</w:t>
            </w:r>
          </w:p>
        </w:tc>
        <w:tc>
          <w:tcPr>
            <w:tcW w:w="990"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 xml:space="preserve">ciljna raven </w:t>
            </w:r>
          </w:p>
        </w:tc>
        <w:tc>
          <w:tcPr>
            <w:tcW w:w="916"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Četrtletje</w:t>
            </w:r>
          </w:p>
        </w:tc>
        <w:tc>
          <w:tcPr>
            <w:tcW w:w="925"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line="256" w:lineRule="auto"/>
              <w:jc w:val="center"/>
              <w:rPr>
                <w:rFonts w:ascii="Times New Roman" w:eastAsia="Times New Roman" w:hAnsi="Times New Roman"/>
                <w:b/>
                <w:noProof/>
                <w:sz w:val="20"/>
                <w:szCs w:val="20"/>
              </w:rPr>
            </w:pPr>
            <w:r>
              <w:rPr>
                <w:rFonts w:ascii="Times New Roman" w:hAnsi="Times New Roman"/>
                <w:b/>
                <w:noProof/>
                <w:sz w:val="20"/>
                <w:szCs w:val="20"/>
              </w:rPr>
              <w:t>Leto</w:t>
            </w:r>
          </w:p>
        </w:tc>
        <w:tc>
          <w:tcPr>
            <w:tcW w:w="2839" w:type="dxa"/>
            <w:vMerge/>
            <w:tcBorders>
              <w:left w:val="nil"/>
              <w:bottom w:val="single" w:sz="4" w:space="0" w:color="auto"/>
              <w:right w:val="single" w:sz="4" w:space="0" w:color="auto"/>
            </w:tcBorders>
            <w:shd w:val="clear" w:color="auto" w:fill="BDD7EE"/>
            <w:vAlign w:val="center"/>
            <w:hideMark/>
          </w:tcPr>
          <w:p w:rsidR="009B5602" w:rsidRDefault="009B5602">
            <w:pPr>
              <w:spacing w:after="0" w:line="256" w:lineRule="auto"/>
              <w:rPr>
                <w:rFonts w:ascii="Times New Roman" w:eastAsia="Times New Roman" w:hAnsi="Times New Roman"/>
                <w:noProof/>
                <w:sz w:val="20"/>
                <w:szCs w:val="20"/>
              </w:rPr>
            </w:pPr>
          </w:p>
        </w:tc>
      </w:tr>
      <w:tr w:rsidR="009B5602">
        <w:trPr>
          <w:trHeight w:val="1734"/>
        </w:trPr>
        <w:tc>
          <w:tcPr>
            <w:tcW w:w="1120"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w:t>
            </w:r>
          </w:p>
        </w:tc>
        <w:tc>
          <w:tcPr>
            <w:tcW w:w="199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4 – Razogljičenje industrije – Reforma 1: Prenehanje </w:t>
            </w:r>
          </w:p>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proizvodnje električne energije iz premoga v elektrarni Nováky in preoblikovanje regije Zgornja Nitra</w:t>
            </w:r>
          </w:p>
          <w:p w:rsidR="009B5602" w:rsidRDefault="009B5602">
            <w:pPr>
              <w:spacing w:after="0" w:line="256" w:lineRule="auto"/>
              <w:rPr>
                <w:rFonts w:ascii="Times New Roman" w:eastAsia="Times New Roman" w:hAnsi="Times New Roman"/>
                <w:noProof/>
                <w:color w:val="006100"/>
                <w:sz w:val="20"/>
                <w:szCs w:val="20"/>
              </w:rPr>
            </w:pPr>
          </w:p>
        </w:tc>
        <w:tc>
          <w:tcPr>
            <w:tcW w:w="97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99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Prehod s premoga v regiji Zgornja Nitra</w:t>
            </w:r>
          </w:p>
        </w:tc>
        <w:tc>
          <w:tcPr>
            <w:tcW w:w="1842"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Prenehanje proizvodnje električne energije iz lignita v elektrarni Nováky</w:t>
            </w:r>
          </w:p>
        </w:tc>
        <w:tc>
          <w:tcPr>
            <w:tcW w:w="1134"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134"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90"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925"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2023</w:t>
            </w:r>
          </w:p>
        </w:tc>
        <w:tc>
          <w:tcPr>
            <w:tcW w:w="283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V okviru preoblikovanja regije Zgornja Nitra za elektrarno Nováky:</w:t>
            </w:r>
          </w:p>
          <w:p w:rsidR="009B5602" w:rsidRDefault="00886830">
            <w:pPr>
              <w:numPr>
                <w:ilvl w:val="0"/>
                <w:numId w:val="27"/>
              </w:numPr>
              <w:spacing w:before="120" w:after="0" w:line="256" w:lineRule="auto"/>
              <w:contextualSpacing/>
              <w:rPr>
                <w:rFonts w:ascii="Times New Roman" w:eastAsia="Times New Roman" w:hAnsi="Times New Roman"/>
                <w:noProof/>
                <w:color w:val="006100"/>
                <w:sz w:val="20"/>
                <w:szCs w:val="20"/>
              </w:rPr>
            </w:pPr>
            <w:r>
              <w:rPr>
                <w:rFonts w:ascii="Times New Roman" w:hAnsi="Times New Roman"/>
                <w:noProof/>
                <w:color w:val="006100"/>
                <w:sz w:val="20"/>
                <w:szCs w:val="20"/>
              </w:rPr>
              <w:t>Slovaški organi ukinejo podporo za proizvodnjo električne energije iz lignita.</w:t>
            </w:r>
          </w:p>
          <w:p w:rsidR="009B5602" w:rsidRDefault="00886830">
            <w:pPr>
              <w:numPr>
                <w:ilvl w:val="0"/>
                <w:numId w:val="27"/>
              </w:numPr>
              <w:spacing w:before="120" w:after="0" w:line="256" w:lineRule="auto"/>
              <w:contextualSpacing/>
              <w:rPr>
                <w:rFonts w:ascii="Times New Roman" w:eastAsia="Times New Roman" w:hAnsi="Times New Roman"/>
                <w:noProof/>
                <w:color w:val="006100"/>
                <w:sz w:val="20"/>
                <w:szCs w:val="20"/>
              </w:rPr>
            </w:pPr>
            <w:r>
              <w:rPr>
                <w:rFonts w:ascii="Times New Roman" w:hAnsi="Times New Roman"/>
                <w:noProof/>
                <w:color w:val="006100"/>
                <w:sz w:val="20"/>
                <w:szCs w:val="20"/>
              </w:rPr>
              <w:t>Proizvodnja električne</w:t>
            </w:r>
            <w:r>
              <w:rPr>
                <w:rFonts w:ascii="Times New Roman" w:hAnsi="Times New Roman"/>
                <w:noProof/>
                <w:color w:val="006100"/>
                <w:sz w:val="20"/>
                <w:szCs w:val="20"/>
              </w:rPr>
              <w:t xml:space="preserve"> energije iz lignita se prekine.</w:t>
            </w:r>
          </w:p>
          <w:p w:rsidR="009B5602" w:rsidRDefault="009B5602">
            <w:pPr>
              <w:spacing w:after="0" w:line="256" w:lineRule="auto"/>
              <w:rPr>
                <w:rFonts w:ascii="Times New Roman" w:eastAsia="Times New Roman" w:hAnsi="Times New Roman"/>
                <w:noProof/>
                <w:color w:val="006100"/>
                <w:sz w:val="20"/>
                <w:szCs w:val="20"/>
              </w:rPr>
            </w:pPr>
          </w:p>
        </w:tc>
      </w:tr>
      <w:tr w:rsidR="009B5602">
        <w:trPr>
          <w:trHeight w:val="1500"/>
        </w:trPr>
        <w:tc>
          <w:tcPr>
            <w:tcW w:w="1120"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line="256" w:lineRule="auto"/>
              <w:jc w:val="center"/>
              <w:rPr>
                <w:rFonts w:ascii="Times New Roman" w:eastAsia="Times New Roman" w:hAnsi="Times New Roman"/>
                <w:noProof/>
                <w:color w:val="006100"/>
                <w:sz w:val="20"/>
                <w:szCs w:val="20"/>
                <w:highlight w:val="yellow"/>
              </w:rPr>
            </w:pPr>
            <w:r>
              <w:rPr>
                <w:rFonts w:ascii="Times New Roman" w:hAnsi="Times New Roman"/>
                <w:noProof/>
                <w:color w:val="006100"/>
                <w:sz w:val="20"/>
                <w:szCs w:val="20"/>
              </w:rPr>
              <w:t>2</w:t>
            </w:r>
          </w:p>
        </w:tc>
        <w:tc>
          <w:tcPr>
            <w:tcW w:w="1999"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56" w:lineRule="auto"/>
              <w:rPr>
                <w:rFonts w:ascii="Times New Roman" w:eastAsia="Times New Roman" w:hAnsi="Times New Roman"/>
                <w:noProof/>
                <w:color w:val="006100"/>
                <w:sz w:val="20"/>
                <w:szCs w:val="20"/>
                <w:highlight w:val="yellow"/>
              </w:rPr>
            </w:pPr>
          </w:p>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4 – Razogljičenje industrije – Reforma 2: Konkurenčni sistem za zmanjšanje emisij toplogrednih plinov v industriji</w:t>
            </w:r>
          </w:p>
          <w:p w:rsidR="009B5602" w:rsidRDefault="009B5602">
            <w:pPr>
              <w:spacing w:after="0" w:line="256" w:lineRule="auto"/>
              <w:rPr>
                <w:rFonts w:ascii="Times New Roman" w:eastAsia="Times New Roman" w:hAnsi="Times New Roman"/>
                <w:noProof/>
                <w:color w:val="006100"/>
                <w:sz w:val="20"/>
                <w:szCs w:val="20"/>
              </w:rPr>
            </w:pPr>
          </w:p>
          <w:p w:rsidR="009B5602" w:rsidRDefault="009B5602">
            <w:pPr>
              <w:spacing w:after="0" w:line="256" w:lineRule="auto"/>
              <w:rPr>
                <w:rFonts w:ascii="Times New Roman" w:eastAsia="Times New Roman" w:hAnsi="Times New Roman"/>
                <w:noProof/>
                <w:color w:val="006100"/>
                <w:sz w:val="20"/>
                <w:szCs w:val="20"/>
                <w:highlight w:val="yellow"/>
              </w:rPr>
            </w:pPr>
          </w:p>
        </w:tc>
        <w:tc>
          <w:tcPr>
            <w:tcW w:w="97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99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Sprejetje industrijskega razogljičenja</w:t>
            </w:r>
          </w:p>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shema</w:t>
            </w:r>
          </w:p>
        </w:tc>
        <w:tc>
          <w:tcPr>
            <w:tcW w:w="1842"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Sprejetje programa za industrijsko razogljičenje s strani Ministrstva za okolje  </w:t>
            </w:r>
          </w:p>
        </w:tc>
        <w:tc>
          <w:tcPr>
            <w:tcW w:w="1134" w:type="dxa"/>
            <w:tcBorders>
              <w:top w:val="nil"/>
              <w:left w:val="nil"/>
              <w:bottom w:val="single" w:sz="4" w:space="0" w:color="auto"/>
              <w:right w:val="single" w:sz="4" w:space="0" w:color="auto"/>
            </w:tcBorders>
            <w:shd w:val="clear" w:color="auto" w:fill="C6EFCE"/>
            <w:noWrap/>
            <w:vAlign w:val="center"/>
            <w:hideMark/>
          </w:tcPr>
          <w:p w:rsidR="009B5602" w:rsidRDefault="009B5602">
            <w:pPr>
              <w:spacing w:before="120" w:after="120" w:line="240" w:lineRule="auto"/>
              <w:jc w:val="both"/>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noWrap/>
            <w:vAlign w:val="center"/>
            <w:hideMark/>
          </w:tcPr>
          <w:p w:rsidR="009B5602" w:rsidRDefault="009B5602">
            <w:pPr>
              <w:spacing w:after="0" w:line="256" w:lineRule="auto"/>
              <w:rPr>
                <w:rFonts w:ascii="Times New Roman" w:hAnsi="Times New Roman"/>
                <w:noProof/>
                <w:sz w:val="20"/>
                <w:szCs w:val="20"/>
                <w:lang w:eastAsia="sk-SK"/>
              </w:rPr>
            </w:pPr>
          </w:p>
        </w:tc>
        <w:tc>
          <w:tcPr>
            <w:tcW w:w="990" w:type="dxa"/>
            <w:tcBorders>
              <w:top w:val="nil"/>
              <w:left w:val="nil"/>
              <w:bottom w:val="single" w:sz="4" w:space="0" w:color="auto"/>
              <w:right w:val="single" w:sz="4" w:space="0" w:color="auto"/>
            </w:tcBorders>
            <w:shd w:val="clear" w:color="auto" w:fill="C6EFCE"/>
            <w:noWrap/>
            <w:vAlign w:val="center"/>
            <w:hideMark/>
          </w:tcPr>
          <w:p w:rsidR="009B5602" w:rsidRDefault="009B5602">
            <w:pPr>
              <w:spacing w:after="0" w:line="256" w:lineRule="auto"/>
              <w:rPr>
                <w:rFonts w:ascii="Times New Roman" w:hAnsi="Times New Roman"/>
                <w:noProof/>
                <w:sz w:val="20"/>
                <w:szCs w:val="20"/>
                <w:lang w:eastAsia="sk-SK"/>
              </w:rPr>
            </w:pP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925"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2839"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0" w:line="256"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 xml:space="preserve">Ministrstvo za okolje sprejme program za razogljičenje industrije, ki zagotavlja učinkovite rezultate. Konkurenčni program razogljičenja se uvede z </w:t>
            </w:r>
            <w:r>
              <w:rPr>
                <w:rFonts w:ascii="Times New Roman" w:hAnsi="Times New Roman"/>
                <w:noProof/>
                <w:color w:val="006100"/>
                <w:sz w:val="20"/>
                <w:szCs w:val="20"/>
              </w:rPr>
              <w:t>nediskriminatornim, preglednim in odprtim postopkom zbiranja ponudb, ki je odprt za vse industrijske sektorje. Podpora je namenjena nizkoogljičnim procesom in tehnologijam v industriji ter sprejetju ukrepov za energetsko učinkovitost.</w:t>
            </w:r>
          </w:p>
          <w:p w:rsidR="009B5602" w:rsidRDefault="00886830">
            <w:pPr>
              <w:spacing w:before="120" w:after="0" w:line="256"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Naložbena politika sh</w:t>
            </w:r>
            <w:r>
              <w:rPr>
                <w:rFonts w:ascii="Times New Roman" w:hAnsi="Times New Roman"/>
                <w:noProof/>
                <w:color w:val="006100"/>
                <w:sz w:val="20"/>
                <w:szCs w:val="20"/>
              </w:rPr>
              <w:t>eme vključuje vsaj naslednja merila za upravičenost in izbiro projektov:</w:t>
            </w:r>
          </w:p>
          <w:p w:rsidR="009B5602" w:rsidRDefault="00886830">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hAnsi="Times New Roman"/>
                <w:noProof/>
                <w:color w:val="006100"/>
                <w:sz w:val="20"/>
                <w:szCs w:val="20"/>
              </w:rPr>
              <w:t>cilj najnižje cene na tono prihranjenega toplogrednega plina;</w:t>
            </w:r>
          </w:p>
          <w:p w:rsidR="009B5602" w:rsidRDefault="00886830">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hAnsi="Times New Roman"/>
                <w:noProof/>
                <w:color w:val="006100"/>
                <w:sz w:val="20"/>
                <w:szCs w:val="20"/>
              </w:rPr>
              <w:t>zagotavljanje skladnosti podprtih dejavnosti in podjetij s pravnim redom EU in nacionalnimi okoljskimi zakoni ter tehničn</w:t>
            </w:r>
            <w:r>
              <w:rPr>
                <w:rFonts w:ascii="Times New Roman" w:hAnsi="Times New Roman"/>
                <w:noProof/>
                <w:color w:val="006100"/>
                <w:sz w:val="20"/>
                <w:szCs w:val="20"/>
              </w:rPr>
              <w:t xml:space="preserve">imi smernicami za uporabo načela, da se ne škoduje bistveno (2021/C58/01), ter določitev ciljev razogljičenja. </w:t>
            </w:r>
          </w:p>
          <w:p w:rsidR="009B5602" w:rsidRDefault="00886830">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hAnsi="Times New Roman"/>
                <w:noProof/>
                <w:color w:val="006100"/>
                <w:sz w:val="20"/>
                <w:szCs w:val="20"/>
              </w:rPr>
              <w:t>podpora samo najboljšim razpoložljivim projektom, skladnim s tehnologijo;</w:t>
            </w:r>
          </w:p>
          <w:p w:rsidR="009B5602" w:rsidRDefault="00886830">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hAnsi="Times New Roman"/>
                <w:noProof/>
                <w:color w:val="006100"/>
                <w:sz w:val="20"/>
                <w:szCs w:val="20"/>
              </w:rPr>
              <w:t xml:space="preserve">naprave sistema EU za trgovanje z emisijami, ki prejemajo podporo, </w:t>
            </w:r>
            <w:r>
              <w:rPr>
                <w:rFonts w:ascii="Times New Roman" w:hAnsi="Times New Roman"/>
                <w:noProof/>
                <w:color w:val="006100"/>
                <w:sz w:val="20"/>
                <w:szCs w:val="20"/>
              </w:rPr>
              <w:t>zmanjšajo svoje emisije bistveno pod referenčno vrednost, ki je relevantna za ponudbo za projekt. Pogoj „znatno pod referenčno vrednostjo“ je del meril za izbor za javno naročilo. </w:t>
            </w:r>
          </w:p>
          <w:p w:rsidR="009B5602" w:rsidRDefault="00886830">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hAnsi="Times New Roman"/>
                <w:noProof/>
                <w:color w:val="006100"/>
                <w:sz w:val="20"/>
                <w:szCs w:val="20"/>
              </w:rPr>
              <w:t>fosilna goriva se ne podpirajo.</w:t>
            </w:r>
          </w:p>
          <w:p w:rsidR="009B5602" w:rsidRDefault="00886830">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hAnsi="Times New Roman"/>
                <w:noProof/>
                <w:color w:val="006100"/>
                <w:sz w:val="20"/>
                <w:szCs w:val="20"/>
              </w:rPr>
              <w:t>količina emisij toplogrednih plinov (v enot</w:t>
            </w:r>
            <w:r>
              <w:rPr>
                <w:rFonts w:ascii="Times New Roman" w:hAnsi="Times New Roman"/>
                <w:noProof/>
                <w:color w:val="006100"/>
                <w:sz w:val="20"/>
                <w:szCs w:val="20"/>
              </w:rPr>
              <w:t>ah ekvivalenta CO</w:t>
            </w:r>
            <w:r>
              <w:rPr>
                <w:rFonts w:ascii="Times New Roman" w:hAnsi="Times New Roman"/>
                <w:noProof/>
                <w:color w:val="006100"/>
                <w:sz w:val="20"/>
                <w:szCs w:val="20"/>
                <w:vertAlign w:val="subscript"/>
              </w:rPr>
              <w:t>2</w:t>
            </w:r>
            <w:r>
              <w:rPr>
                <w:rFonts w:ascii="Times New Roman" w:hAnsi="Times New Roman"/>
                <w:noProof/>
                <w:color w:val="006100"/>
                <w:sz w:val="20"/>
                <w:szCs w:val="20"/>
              </w:rPr>
              <w:t>, tehtano povprečje) podjetij, ki jih podpira sistem, se zmanjša za vsaj 30 %.</w:t>
            </w:r>
          </w:p>
          <w:p w:rsidR="009B5602" w:rsidRDefault="009B5602">
            <w:pPr>
              <w:spacing w:before="120" w:after="0" w:line="256" w:lineRule="auto"/>
              <w:contextualSpacing/>
              <w:jc w:val="both"/>
              <w:rPr>
                <w:rFonts w:ascii="Times New Roman" w:eastAsia="Times New Roman" w:hAnsi="Times New Roman"/>
                <w:noProof/>
                <w:color w:val="006100"/>
                <w:sz w:val="20"/>
                <w:szCs w:val="20"/>
              </w:rPr>
            </w:pPr>
          </w:p>
          <w:p w:rsidR="009B5602" w:rsidRDefault="00886830">
            <w:pPr>
              <w:spacing w:line="254"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Slovaški organi najpozneje do 30. junija 2026 zagotovijo pravočasno predložitev podatkov za vse podprte projekte ali dokažejo, da bodo prihranki emisij toplog</w:t>
            </w:r>
            <w:r>
              <w:rPr>
                <w:rFonts w:ascii="Times New Roman" w:hAnsi="Times New Roman"/>
                <w:noProof/>
                <w:color w:val="006100"/>
                <w:sz w:val="20"/>
                <w:szCs w:val="20"/>
              </w:rPr>
              <w:t>rednih plinov doseženi na podlagi domnevnih parametrov podprtih tehnologij (na podlagi certifikatov proizvajalcev) ali kombinacije obeh pristopov. Predhodna količinska opredelitev zmanjšanja emisij toplogrednih plinov s projekti razogljičenja lahko temelji</w:t>
            </w:r>
            <w:r>
              <w:rPr>
                <w:rFonts w:ascii="Times New Roman" w:hAnsi="Times New Roman"/>
                <w:noProof/>
                <w:color w:val="006100"/>
                <w:sz w:val="20"/>
                <w:szCs w:val="20"/>
              </w:rPr>
              <w:t xml:space="preserve"> na tehničnih dokumentih, v katerih so navedeni ključni parametri, poraba energije in vhodni materiali podprtih tehnologij.</w:t>
            </w:r>
          </w:p>
          <w:p w:rsidR="009B5602" w:rsidRDefault="00886830">
            <w:pPr>
              <w:spacing w:before="120" w:after="0" w:line="256"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Slovaški organi Komisiji sporočijo izhodiščne scenarije in predvideni učinek podprtih tehnologij po izbiri projektov.</w:t>
            </w:r>
          </w:p>
          <w:p w:rsidR="009B5602" w:rsidRDefault="009B5602">
            <w:pPr>
              <w:spacing w:before="120" w:after="0" w:line="256" w:lineRule="auto"/>
              <w:jc w:val="both"/>
              <w:rPr>
                <w:rFonts w:ascii="Times New Roman" w:eastAsia="Times New Roman" w:hAnsi="Times New Roman"/>
                <w:noProof/>
                <w:color w:val="006100"/>
                <w:sz w:val="20"/>
                <w:szCs w:val="20"/>
              </w:rPr>
            </w:pPr>
          </w:p>
          <w:p w:rsidR="009B5602" w:rsidRDefault="009B5602">
            <w:pPr>
              <w:spacing w:before="120" w:after="0" w:line="256" w:lineRule="auto"/>
              <w:jc w:val="both"/>
              <w:rPr>
                <w:rFonts w:ascii="Times New Roman" w:eastAsia="Times New Roman" w:hAnsi="Times New Roman"/>
                <w:noProof/>
                <w:color w:val="006100"/>
                <w:sz w:val="20"/>
                <w:szCs w:val="20"/>
              </w:rPr>
            </w:pPr>
          </w:p>
        </w:tc>
      </w:tr>
      <w:tr w:rsidR="009B5602">
        <w:trPr>
          <w:trHeight w:val="126"/>
        </w:trPr>
        <w:tc>
          <w:tcPr>
            <w:tcW w:w="1120"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3</w:t>
            </w:r>
          </w:p>
        </w:tc>
        <w:tc>
          <w:tcPr>
            <w:tcW w:w="1999"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56" w:lineRule="auto"/>
              <w:rPr>
                <w:rFonts w:ascii="Times New Roman" w:eastAsia="Times New Roman" w:hAnsi="Times New Roman"/>
                <w:noProof/>
                <w:color w:val="006100"/>
                <w:sz w:val="20"/>
                <w:szCs w:val="20"/>
              </w:rPr>
            </w:pPr>
          </w:p>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4 – </w:t>
            </w:r>
            <w:r>
              <w:rPr>
                <w:rFonts w:ascii="Times New Roman" w:hAnsi="Times New Roman"/>
                <w:noProof/>
                <w:color w:val="006100"/>
                <w:sz w:val="20"/>
                <w:szCs w:val="20"/>
              </w:rPr>
              <w:t>Razogljičenje industrije – Naložba 1:  Delovanje industrijskega sistema za razogljičenje</w:t>
            </w:r>
          </w:p>
        </w:tc>
        <w:tc>
          <w:tcPr>
            <w:tcW w:w="97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mejnik</w:t>
            </w:r>
          </w:p>
        </w:tc>
        <w:tc>
          <w:tcPr>
            <w:tcW w:w="199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Zaključek izvajanja projektov razogljičenja industrije, ki se sofinancirajo iz sklada RRF</w:t>
            </w:r>
          </w:p>
        </w:tc>
        <w:tc>
          <w:tcPr>
            <w:tcW w:w="1842"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Sprejetje seznama zaključenih projektov razogljičenja s strani Minis</w:t>
            </w:r>
            <w:r>
              <w:rPr>
                <w:rFonts w:ascii="Times New Roman" w:hAnsi="Times New Roman"/>
                <w:noProof/>
                <w:color w:val="006100"/>
                <w:sz w:val="20"/>
                <w:szCs w:val="20"/>
              </w:rPr>
              <w:t>trstva za okolje</w:t>
            </w:r>
          </w:p>
        </w:tc>
        <w:tc>
          <w:tcPr>
            <w:tcW w:w="1134" w:type="dxa"/>
            <w:tcBorders>
              <w:top w:val="nil"/>
              <w:left w:val="nil"/>
              <w:bottom w:val="single" w:sz="4" w:space="0" w:color="auto"/>
              <w:right w:val="single" w:sz="4" w:space="0" w:color="auto"/>
            </w:tcBorders>
            <w:shd w:val="clear" w:color="auto" w:fill="C6EFCE"/>
            <w:noWrap/>
            <w:vAlign w:val="center"/>
            <w:hideMark/>
          </w:tcPr>
          <w:p w:rsidR="009B5602" w:rsidRDefault="009B5602">
            <w:pPr>
              <w:spacing w:after="0" w:line="256" w:lineRule="auto"/>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noWrap/>
            <w:vAlign w:val="center"/>
            <w:hideMark/>
          </w:tcPr>
          <w:p w:rsidR="009B5602" w:rsidRDefault="009B5602">
            <w:pPr>
              <w:spacing w:after="0" w:line="256" w:lineRule="auto"/>
              <w:rPr>
                <w:rFonts w:ascii="Times New Roman" w:eastAsia="Times New Roman" w:hAnsi="Times New Roman"/>
                <w:noProof/>
                <w:color w:val="006100"/>
                <w:sz w:val="20"/>
                <w:szCs w:val="20"/>
              </w:rPr>
            </w:pPr>
          </w:p>
        </w:tc>
        <w:tc>
          <w:tcPr>
            <w:tcW w:w="990" w:type="dxa"/>
            <w:tcBorders>
              <w:top w:val="nil"/>
              <w:left w:val="nil"/>
              <w:bottom w:val="single" w:sz="4" w:space="0" w:color="auto"/>
              <w:right w:val="single" w:sz="4" w:space="0" w:color="auto"/>
            </w:tcBorders>
            <w:shd w:val="clear" w:color="auto" w:fill="C6EFCE"/>
            <w:noWrap/>
            <w:vAlign w:val="center"/>
            <w:hideMark/>
          </w:tcPr>
          <w:p w:rsidR="009B5602" w:rsidRDefault="009B5602">
            <w:pPr>
              <w:spacing w:after="0" w:line="256" w:lineRule="auto"/>
              <w:rPr>
                <w:rFonts w:ascii="Times New Roman" w:eastAsia="Times New Roman" w:hAnsi="Times New Roman"/>
                <w:noProof/>
                <w:color w:val="006100"/>
                <w:sz w:val="20"/>
                <w:szCs w:val="20"/>
              </w:rPr>
            </w:pP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925"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2839"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0" w:line="256"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Ministrstvo za okolje sprejme seznam zaključenih projektov, podprtih v okviru programa razogljičenja, ki je podlaga za merjenje zmanjšanja emisij toplogrednih plinov v okviru ukrepa. Zmanjšanje emisij se ugotovi na podlagi zbira</w:t>
            </w:r>
            <w:r>
              <w:rPr>
                <w:rFonts w:ascii="Times New Roman" w:hAnsi="Times New Roman"/>
                <w:noProof/>
                <w:color w:val="006100"/>
                <w:sz w:val="20"/>
                <w:szCs w:val="20"/>
              </w:rPr>
              <w:t>nja podatkov za projekte v okviru programa razogljičenja ali na podlagi domnevnih parametrov podprtih tehnologij v okviru ukrepa, ki temeljijo na certifikatih proizvajalcev, ali kombinacije obeh pristopov. V okviru splošnega cilja zmanjšanja emisij toplogr</w:t>
            </w:r>
            <w:r>
              <w:rPr>
                <w:rFonts w:ascii="Times New Roman" w:hAnsi="Times New Roman"/>
                <w:noProof/>
                <w:color w:val="006100"/>
                <w:sz w:val="20"/>
                <w:szCs w:val="20"/>
              </w:rPr>
              <w:t>ednih plinov za 1 369 917 ton ekvivalenta CO</w:t>
            </w:r>
            <w:r>
              <w:rPr>
                <w:rFonts w:ascii="Times New Roman" w:hAnsi="Times New Roman"/>
                <w:noProof/>
                <w:color w:val="006100"/>
                <w:sz w:val="20"/>
                <w:szCs w:val="20"/>
                <w:vertAlign w:val="subscript"/>
              </w:rPr>
              <w:t>2</w:t>
            </w:r>
            <w:r>
              <w:rPr>
                <w:rFonts w:ascii="Times New Roman" w:hAnsi="Times New Roman"/>
                <w:noProof/>
                <w:color w:val="006100"/>
                <w:sz w:val="20"/>
                <w:szCs w:val="20"/>
              </w:rPr>
              <w:t xml:space="preserve"> se s programom za razogljičenje zagotovi vsaj zmanjšanje za 1 232 926 ton ekvivalenta CO2. </w:t>
            </w:r>
          </w:p>
          <w:p w:rsidR="009B5602" w:rsidRDefault="009B5602">
            <w:pPr>
              <w:spacing w:before="120" w:after="0" w:line="256" w:lineRule="auto"/>
              <w:jc w:val="both"/>
              <w:rPr>
                <w:rFonts w:ascii="Times New Roman" w:eastAsia="Times New Roman" w:hAnsi="Times New Roman"/>
                <w:noProof/>
                <w:color w:val="006100"/>
                <w:sz w:val="20"/>
                <w:szCs w:val="20"/>
              </w:rPr>
            </w:pPr>
          </w:p>
        </w:tc>
      </w:tr>
      <w:tr w:rsidR="009B5602">
        <w:trPr>
          <w:trHeight w:val="2127"/>
        </w:trPr>
        <w:tc>
          <w:tcPr>
            <w:tcW w:w="1120" w:type="dxa"/>
            <w:tcBorders>
              <w:top w:val="single" w:sz="4" w:space="0" w:color="auto"/>
              <w:left w:val="single" w:sz="4" w:space="0" w:color="auto"/>
              <w:bottom w:val="single" w:sz="4" w:space="0" w:color="auto"/>
              <w:right w:val="single" w:sz="4" w:space="0" w:color="auto"/>
            </w:tcBorders>
            <w:shd w:val="clear" w:color="auto" w:fill="C6EFCE"/>
            <w:noWrap/>
            <w:vAlign w:val="center"/>
          </w:tcPr>
          <w:p w:rsidR="009B5602" w:rsidRDefault="009B5602">
            <w:pPr>
              <w:spacing w:after="0" w:line="256" w:lineRule="auto"/>
              <w:jc w:val="center"/>
              <w:rPr>
                <w:rFonts w:ascii="Times New Roman" w:eastAsia="Times New Roman" w:hAnsi="Times New Roman"/>
                <w:noProof/>
                <w:color w:val="006100"/>
                <w:sz w:val="20"/>
                <w:szCs w:val="20"/>
              </w:rPr>
            </w:pPr>
          </w:p>
          <w:p w:rsidR="009B5602" w:rsidRDefault="009B5602">
            <w:pPr>
              <w:spacing w:after="0" w:line="256" w:lineRule="auto"/>
              <w:jc w:val="center"/>
              <w:rPr>
                <w:rFonts w:ascii="Times New Roman" w:eastAsia="Times New Roman" w:hAnsi="Times New Roman"/>
                <w:noProof/>
                <w:color w:val="006100"/>
                <w:sz w:val="20"/>
                <w:szCs w:val="20"/>
              </w:rPr>
            </w:pPr>
          </w:p>
          <w:p w:rsidR="009B5602" w:rsidRDefault="00886830">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4</w:t>
            </w:r>
          </w:p>
          <w:p w:rsidR="009B5602" w:rsidRDefault="009B5602">
            <w:pPr>
              <w:spacing w:after="0" w:line="256" w:lineRule="auto"/>
              <w:jc w:val="center"/>
              <w:rPr>
                <w:rFonts w:ascii="Times New Roman" w:eastAsia="Times New Roman" w:hAnsi="Times New Roman"/>
                <w:noProof/>
                <w:color w:val="006100"/>
                <w:sz w:val="20"/>
                <w:szCs w:val="20"/>
              </w:rPr>
            </w:pPr>
          </w:p>
          <w:p w:rsidR="009B5602" w:rsidRDefault="009B5602">
            <w:pPr>
              <w:spacing w:after="0" w:line="256" w:lineRule="auto"/>
              <w:jc w:val="center"/>
              <w:rPr>
                <w:rFonts w:ascii="Times New Roman" w:eastAsia="Times New Roman" w:hAnsi="Times New Roman"/>
                <w:noProof/>
                <w:color w:val="006100"/>
                <w:sz w:val="20"/>
                <w:szCs w:val="20"/>
              </w:rPr>
            </w:pPr>
          </w:p>
          <w:p w:rsidR="009B5602" w:rsidRDefault="009B5602">
            <w:pPr>
              <w:spacing w:after="0" w:line="256" w:lineRule="auto"/>
              <w:jc w:val="center"/>
              <w:rPr>
                <w:rFonts w:ascii="Times New Roman" w:eastAsia="Times New Roman" w:hAnsi="Times New Roman"/>
                <w:noProof/>
                <w:color w:val="006100"/>
                <w:sz w:val="20"/>
                <w:szCs w:val="20"/>
              </w:rPr>
            </w:pPr>
          </w:p>
          <w:p w:rsidR="009B5602" w:rsidRDefault="009B5602">
            <w:pPr>
              <w:spacing w:after="0" w:line="256" w:lineRule="auto"/>
              <w:jc w:val="center"/>
              <w:rPr>
                <w:rFonts w:ascii="Times New Roman" w:eastAsia="Times New Roman" w:hAnsi="Times New Roman"/>
                <w:noProof/>
                <w:color w:val="006100"/>
                <w:sz w:val="20"/>
                <w:szCs w:val="20"/>
              </w:rPr>
            </w:pPr>
          </w:p>
        </w:tc>
        <w:tc>
          <w:tcPr>
            <w:tcW w:w="1999" w:type="dxa"/>
            <w:tcBorders>
              <w:top w:val="single" w:sz="4" w:space="0" w:color="auto"/>
              <w:left w:val="nil"/>
              <w:bottom w:val="single" w:sz="4" w:space="0" w:color="auto"/>
              <w:right w:val="single" w:sz="4" w:space="0" w:color="auto"/>
            </w:tcBorders>
            <w:shd w:val="clear" w:color="auto" w:fill="C6EFCE"/>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4 – Razogljičenje industrije – Naložba 2: Zagotavljanje delovanja slovaškega okoljskega inšpektorata v povezavi z razogljičenjem </w:t>
            </w:r>
          </w:p>
          <w:p w:rsidR="009B5602" w:rsidRDefault="009B5602">
            <w:pPr>
              <w:spacing w:after="0" w:line="256" w:lineRule="auto"/>
              <w:rPr>
                <w:rFonts w:ascii="Times New Roman" w:eastAsia="Times New Roman" w:hAnsi="Times New Roman"/>
                <w:noProof/>
                <w:color w:val="006100"/>
                <w:sz w:val="20"/>
                <w:szCs w:val="20"/>
              </w:rPr>
            </w:pPr>
          </w:p>
          <w:p w:rsidR="009B5602" w:rsidRDefault="009B5602">
            <w:pPr>
              <w:spacing w:after="0" w:line="256" w:lineRule="auto"/>
              <w:rPr>
                <w:rFonts w:ascii="Times New Roman" w:eastAsia="Times New Roman" w:hAnsi="Times New Roman"/>
                <w:noProof/>
                <w:color w:val="006100"/>
                <w:sz w:val="20"/>
                <w:szCs w:val="20"/>
              </w:rPr>
            </w:pPr>
          </w:p>
        </w:tc>
        <w:tc>
          <w:tcPr>
            <w:tcW w:w="979" w:type="dxa"/>
            <w:tcBorders>
              <w:top w:val="single" w:sz="4" w:space="0" w:color="auto"/>
              <w:left w:val="nil"/>
              <w:bottom w:val="single" w:sz="4" w:space="0" w:color="auto"/>
              <w:right w:val="single" w:sz="4" w:space="0" w:color="auto"/>
            </w:tcBorders>
            <w:shd w:val="clear" w:color="auto" w:fill="C6EFCE"/>
            <w:noWrap/>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998" w:type="dxa"/>
            <w:tcBorders>
              <w:top w:val="single" w:sz="4" w:space="0" w:color="auto"/>
              <w:left w:val="nil"/>
              <w:bottom w:val="single" w:sz="4" w:space="0" w:color="auto"/>
              <w:right w:val="single" w:sz="4" w:space="0" w:color="auto"/>
            </w:tcBorders>
            <w:shd w:val="clear" w:color="auto" w:fill="C6EFCE"/>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Naložbe za povečanje zmogljivosti slovaškega inšpektorata za okolje </w:t>
            </w:r>
          </w:p>
        </w:tc>
        <w:tc>
          <w:tcPr>
            <w:tcW w:w="1842" w:type="dxa"/>
            <w:tcBorders>
              <w:top w:val="single" w:sz="4" w:space="0" w:color="auto"/>
              <w:left w:val="nil"/>
              <w:bottom w:val="single" w:sz="4" w:space="0" w:color="auto"/>
              <w:right w:val="single" w:sz="4" w:space="0" w:color="auto"/>
            </w:tcBorders>
            <w:shd w:val="clear" w:color="auto" w:fill="C6EFCE"/>
            <w:vAlign w:val="center"/>
            <w:hideMark/>
          </w:tcPr>
          <w:p w:rsidR="009B5602" w:rsidRDefault="00886830">
            <w:pPr>
              <w:spacing w:after="0" w:line="256" w:lineRule="auto"/>
              <w:rPr>
                <w:rFonts w:ascii="Times New Roman" w:eastAsia="Times New Roman" w:hAnsi="Times New Roman"/>
                <w:noProof/>
                <w:color w:val="006100"/>
                <w:sz w:val="20"/>
                <w:szCs w:val="20"/>
              </w:rPr>
            </w:pPr>
            <w:r>
              <w:rPr>
                <w:rFonts w:ascii="Times New Roman" w:hAnsi="Times New Roman"/>
                <w:noProof/>
                <w:color w:val="006100"/>
                <w:sz w:val="20"/>
                <w:szCs w:val="20"/>
              </w:rPr>
              <w:t>Zaključek naložbenih dejavnosti RRF s strani slo</w:t>
            </w:r>
            <w:r>
              <w:rPr>
                <w:rFonts w:ascii="Times New Roman" w:hAnsi="Times New Roman"/>
                <w:noProof/>
                <w:color w:val="006100"/>
                <w:sz w:val="20"/>
                <w:szCs w:val="20"/>
              </w:rPr>
              <w:t xml:space="preserve">vaškega inšpektorata za okolje </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rsidR="009B5602" w:rsidRDefault="009B5602">
            <w:pPr>
              <w:spacing w:after="0" w:line="256" w:lineRule="auto"/>
              <w:rPr>
                <w:rFonts w:ascii="Times New Roman" w:eastAsia="Times New Roman" w:hAnsi="Times New Roman"/>
                <w:noProof/>
                <w:color w:val="006100"/>
                <w:sz w:val="20"/>
                <w:szCs w:val="20"/>
              </w:rPr>
            </w:pPr>
          </w:p>
        </w:tc>
        <w:tc>
          <w:tcPr>
            <w:tcW w:w="1134" w:type="dxa"/>
            <w:tcBorders>
              <w:top w:val="single" w:sz="4" w:space="0" w:color="auto"/>
              <w:left w:val="nil"/>
              <w:bottom w:val="single" w:sz="4" w:space="0" w:color="auto"/>
              <w:right w:val="single" w:sz="4" w:space="0" w:color="auto"/>
            </w:tcBorders>
            <w:shd w:val="clear" w:color="auto" w:fill="C6EFCE"/>
            <w:noWrap/>
            <w:vAlign w:val="center"/>
          </w:tcPr>
          <w:p w:rsidR="009B5602" w:rsidRDefault="009B5602">
            <w:pPr>
              <w:spacing w:after="0" w:line="256" w:lineRule="auto"/>
              <w:rPr>
                <w:rFonts w:ascii="Times New Roman" w:eastAsia="Times New Roman" w:hAnsi="Times New Roman"/>
                <w:noProof/>
                <w:color w:val="006100"/>
                <w:sz w:val="20"/>
                <w:szCs w:val="20"/>
              </w:rPr>
            </w:pPr>
          </w:p>
        </w:tc>
        <w:tc>
          <w:tcPr>
            <w:tcW w:w="990" w:type="dxa"/>
            <w:tcBorders>
              <w:top w:val="single" w:sz="4" w:space="0" w:color="auto"/>
              <w:left w:val="nil"/>
              <w:bottom w:val="single" w:sz="4" w:space="0" w:color="auto"/>
              <w:right w:val="single" w:sz="4" w:space="0" w:color="auto"/>
            </w:tcBorders>
            <w:shd w:val="clear" w:color="auto" w:fill="C6EFCE"/>
            <w:noWrap/>
            <w:vAlign w:val="center"/>
          </w:tcPr>
          <w:p w:rsidR="009B5602" w:rsidRDefault="009B5602">
            <w:pPr>
              <w:spacing w:after="0" w:line="256" w:lineRule="auto"/>
              <w:rPr>
                <w:rFonts w:ascii="Times New Roman" w:eastAsia="Times New Roman" w:hAnsi="Times New Roman"/>
                <w:noProof/>
                <w:color w:val="006100"/>
                <w:sz w:val="20"/>
                <w:szCs w:val="20"/>
              </w:rPr>
            </w:pPr>
          </w:p>
        </w:tc>
        <w:tc>
          <w:tcPr>
            <w:tcW w:w="916" w:type="dxa"/>
            <w:tcBorders>
              <w:top w:val="single" w:sz="4" w:space="0" w:color="auto"/>
              <w:left w:val="nil"/>
              <w:bottom w:val="single" w:sz="4" w:space="0" w:color="auto"/>
              <w:right w:val="single" w:sz="4" w:space="0" w:color="auto"/>
            </w:tcBorders>
            <w:shd w:val="clear" w:color="auto" w:fill="C6EFCE"/>
            <w:noWrap/>
            <w:vAlign w:val="center"/>
            <w:hideMark/>
          </w:tcPr>
          <w:p w:rsidR="009B5602" w:rsidRDefault="00886830">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Q2</w:t>
            </w:r>
          </w:p>
          <w:p w:rsidR="009B5602" w:rsidRDefault="009B5602">
            <w:pPr>
              <w:spacing w:after="0" w:line="256" w:lineRule="auto"/>
              <w:jc w:val="center"/>
              <w:rPr>
                <w:rFonts w:ascii="Times New Roman" w:eastAsia="Times New Roman" w:hAnsi="Times New Roman"/>
                <w:noProof/>
                <w:color w:val="006100"/>
                <w:sz w:val="20"/>
                <w:szCs w:val="20"/>
              </w:rPr>
            </w:pPr>
          </w:p>
        </w:tc>
        <w:tc>
          <w:tcPr>
            <w:tcW w:w="925" w:type="dxa"/>
            <w:tcBorders>
              <w:top w:val="single" w:sz="4" w:space="0" w:color="auto"/>
              <w:left w:val="nil"/>
              <w:bottom w:val="single" w:sz="4" w:space="0" w:color="auto"/>
              <w:right w:val="single" w:sz="4" w:space="0" w:color="auto"/>
            </w:tcBorders>
            <w:shd w:val="clear" w:color="auto" w:fill="C6EFCE"/>
            <w:noWrap/>
            <w:vAlign w:val="center"/>
            <w:hideMark/>
          </w:tcPr>
          <w:p w:rsidR="009B5602" w:rsidRDefault="00886830">
            <w:pPr>
              <w:spacing w:after="0" w:line="256"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p w:rsidR="009B5602" w:rsidRDefault="009B5602">
            <w:pPr>
              <w:spacing w:after="0" w:line="256" w:lineRule="auto"/>
              <w:jc w:val="center"/>
              <w:rPr>
                <w:rFonts w:ascii="Times New Roman" w:eastAsia="Times New Roman" w:hAnsi="Times New Roman"/>
                <w:noProof/>
                <w:color w:val="006100"/>
                <w:sz w:val="20"/>
                <w:szCs w:val="20"/>
              </w:rPr>
            </w:pPr>
          </w:p>
        </w:tc>
        <w:tc>
          <w:tcPr>
            <w:tcW w:w="2839" w:type="dxa"/>
            <w:tcBorders>
              <w:top w:val="single" w:sz="4" w:space="0" w:color="auto"/>
              <w:left w:val="nil"/>
              <w:bottom w:val="single" w:sz="4" w:space="0" w:color="auto"/>
              <w:right w:val="single" w:sz="4" w:space="0" w:color="auto"/>
            </w:tcBorders>
            <w:shd w:val="clear" w:color="auto" w:fill="C6EFCE"/>
            <w:vAlign w:val="center"/>
          </w:tcPr>
          <w:p w:rsidR="009B5602" w:rsidRDefault="00886830">
            <w:pPr>
              <w:spacing w:before="120" w:after="0" w:line="256"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Naložbe bodo posodobile opremo in objekte slovaškega inšpektorata za okolje. Nova inšpekcijska vozila so opremljena s pisarniško in merilno tehnologijo, zlasti za inšpekcijske preglede zaščite zraka, varstva vod</w:t>
            </w:r>
            <w:r>
              <w:rPr>
                <w:rFonts w:ascii="Times New Roman" w:hAnsi="Times New Roman"/>
                <w:noProof/>
                <w:color w:val="006100"/>
                <w:sz w:val="20"/>
                <w:szCs w:val="20"/>
              </w:rPr>
              <w:t>a in ravnanja z odpadki. Naložbe bodo zagotovile izboljšave v stavbnih prostorih inšpektorata.</w:t>
            </w:r>
          </w:p>
          <w:p w:rsidR="009B5602" w:rsidRDefault="009B5602">
            <w:pPr>
              <w:spacing w:before="120" w:after="0" w:line="256" w:lineRule="auto"/>
              <w:jc w:val="both"/>
              <w:rPr>
                <w:rFonts w:ascii="Times New Roman" w:eastAsia="Times New Roman" w:hAnsi="Times New Roman"/>
                <w:noProof/>
                <w:color w:val="006100"/>
                <w:sz w:val="20"/>
                <w:szCs w:val="20"/>
              </w:rPr>
            </w:pPr>
          </w:p>
        </w:tc>
      </w:tr>
    </w:tbl>
    <w:p w:rsidR="009B5602" w:rsidRDefault="009B5602">
      <w:pPr>
        <w:spacing w:before="120" w:after="120" w:line="240" w:lineRule="auto"/>
        <w:jc w:val="both"/>
        <w:rPr>
          <w:rFonts w:ascii="Times New Roman" w:hAnsi="Times New Roman"/>
          <w:noProof/>
          <w:sz w:val="24"/>
        </w:rPr>
      </w:pPr>
    </w:p>
    <w:p w:rsidR="009B5602" w:rsidRDefault="00886830">
      <w:pPr>
        <w:spacing w:before="120" w:after="120" w:line="240" w:lineRule="auto"/>
        <w:jc w:val="both"/>
        <w:rPr>
          <w:noProof/>
        </w:rPr>
      </w:pPr>
      <w:r>
        <w:rPr>
          <w:rFonts w:ascii="Times New Roman" w:hAnsi="Times New Roman"/>
          <w:noProof/>
          <w:sz w:val="24"/>
        </w:rPr>
        <w:fldChar w:fldCharType="begin"/>
      </w:r>
      <w:r>
        <w:rPr>
          <w:rFonts w:ascii="Times New Roman" w:hAnsi="Times New Roman"/>
          <w:noProof/>
          <w:sz w:val="24"/>
        </w:rPr>
        <w:instrText xml:space="preserve"> LINK Excel.Sheet.12 "\\\\NET1.cec.eu.int\\homes\\085\\garcpbl\\Desktop\\CID - Components.xlsx" "T1 Milestones&amp;Targets (4)!R3C1:R8C11" \a \f 4 \h  \* MERGEFORMAT </w:instrText>
      </w:r>
      <w:r>
        <w:rPr>
          <w:rFonts w:ascii="Times New Roman" w:hAnsi="Times New Roman"/>
          <w:noProof/>
          <w:sz w:val="24"/>
        </w:rPr>
        <w:fldChar w:fldCharType="separate"/>
      </w:r>
    </w:p>
    <w:p w:rsidR="009B5602" w:rsidRDefault="00886830">
      <w:pPr>
        <w:jc w:val="both"/>
        <w:rPr>
          <w:rFonts w:ascii="Times New Roman" w:hAnsi="Times New Roman"/>
          <w:noProof/>
          <w:sz w:val="24"/>
        </w:rPr>
        <w:sectPr w:rsidR="009B5602">
          <w:headerReference w:type="even" r:id="rId60"/>
          <w:headerReference w:type="default" r:id="rId61"/>
          <w:footerReference w:type="even" r:id="rId62"/>
          <w:footerReference w:type="default" r:id="rId63"/>
          <w:headerReference w:type="first" r:id="rId64"/>
          <w:footerReference w:type="first" r:id="rId65"/>
          <w:pgSz w:w="16839" w:h="11907" w:orient="landscape"/>
          <w:pgMar w:top="426" w:right="1134" w:bottom="1418" w:left="1134" w:header="709" w:footer="709" w:gutter="0"/>
          <w:cols w:space="720"/>
          <w:docGrid w:linePitch="360"/>
        </w:sectPr>
      </w:pPr>
      <w:r>
        <w:rPr>
          <w:rFonts w:ascii="Times New Roman" w:hAnsi="Times New Roman"/>
          <w:noProof/>
          <w:sz w:val="24"/>
        </w:rPr>
        <w:fldChar w:fldCharType="end"/>
      </w:r>
    </w:p>
    <w:p w:rsidR="009B5602" w:rsidRDefault="00886830">
      <w:pPr>
        <w:keepNext/>
        <w:tabs>
          <w:tab w:val="left" w:pos="850"/>
        </w:tabs>
        <w:spacing w:before="120" w:after="120" w:line="240" w:lineRule="auto"/>
        <w:ind w:firstLine="1"/>
        <w:jc w:val="both"/>
        <w:outlineLvl w:val="0"/>
        <w:rPr>
          <w:rFonts w:ascii="Times New Roman" w:hAnsi="Times New Roman"/>
          <w:b/>
          <w:smallCaps/>
          <w:noProof/>
          <w:sz w:val="24"/>
        </w:rPr>
      </w:pPr>
      <w:r>
        <w:rPr>
          <w:rFonts w:ascii="Times New Roman" w:hAnsi="Times New Roman"/>
          <w:b/>
          <w:smallCaps/>
          <w:noProof/>
          <w:sz w:val="24"/>
        </w:rPr>
        <w:t xml:space="preserve">KOMPONENTA 5: Prilagajanje </w:t>
      </w:r>
      <w:r>
        <w:rPr>
          <w:rFonts w:ascii="Times New Roman" w:hAnsi="Times New Roman"/>
          <w:b/>
          <w:smallCaps/>
          <w:noProof/>
          <w:sz w:val="24"/>
        </w:rPr>
        <w:t>podnebnim spremembam</w:t>
      </w:r>
    </w:p>
    <w:p w:rsidR="009B5602" w:rsidRDefault="009B5602">
      <w:pPr>
        <w:spacing w:before="120" w:after="120" w:line="240" w:lineRule="auto"/>
        <w:jc w:val="both"/>
        <w:rPr>
          <w:rFonts w:ascii="Times New Roman" w:hAnsi="Times New Roman"/>
          <w:noProof/>
          <w:sz w:val="24"/>
          <w:szCs w:val="24"/>
        </w:rPr>
      </w:pP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Cilj komponente 5 „Prilagajanje podnebnim spremembam“ slovaškega načrta za obnovo in odpornost je povečati odpornost ekosistemov in naselij na negativne učinke podnebnih sprememb z reformami sistema gospodarjenja z vodami, upravljanje</w:t>
      </w:r>
      <w:r>
        <w:rPr>
          <w:rFonts w:ascii="Times New Roman" w:hAnsi="Times New Roman"/>
          <w:noProof/>
          <w:sz w:val="24"/>
          <w:szCs w:val="24"/>
        </w:rPr>
        <w:t xml:space="preserve">m zemljišč, varstvom narave in biotsko raznovrstnostjo, izvajanjem zelenih elementov v krajini in naložbami v vodotesnost ter razvojem zelene infrastrukture, vključno s sajenjem.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Komponenta vključuje dve reformi in eno naložbo.</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Pričakuje se, da noben ukre</w:t>
      </w:r>
      <w:r>
        <w:rPr>
          <w:rFonts w:ascii="Times New Roman" w:hAnsi="Times New Roman"/>
          <w:noProof/>
          <w:sz w:val="24"/>
          <w:szCs w:val="24"/>
        </w:rPr>
        <w:t>p v tej komponenti ne bo znatno škodoval okoljskim ciljem v smislu člena 17 Uredbe (EU) 2020/852, ob upoštevanju opisa ukrepov in ukrepov za ublažitev, določenih v načrtu za okrevanje in odpornost v skladu s tehničnimi smernicami za uporabo načela, da se n</w:t>
      </w:r>
      <w:r>
        <w:rPr>
          <w:rFonts w:ascii="Times New Roman" w:hAnsi="Times New Roman"/>
          <w:noProof/>
          <w:sz w:val="24"/>
          <w:szCs w:val="24"/>
        </w:rPr>
        <w:t xml:space="preserve">e škoduje bistveno (2021/C58/01).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szCs w:val="24"/>
        </w:rPr>
        <w:t>Cilji te komponente so skladni z nacionalno strategijo za okoljsko politiko do leta 2030, strategijo za prilagoditev Slovaške republike podnebnim spremembam, strategijo za vizijo in razvoj Slovaške do leta 2030 – dolgoro</w:t>
      </w:r>
      <w:r>
        <w:rPr>
          <w:rFonts w:ascii="Times New Roman" w:hAnsi="Times New Roman"/>
          <w:noProof/>
          <w:sz w:val="24"/>
          <w:szCs w:val="24"/>
        </w:rPr>
        <w:t xml:space="preserve">čno strategijo trajnostnega razvoja Slovaške – Slovaška 2030 ter strategijami in dolgoročnimi cilji Evropske unije, zlasti evropskim zelenim dogovorom, in so del teh strategij.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szCs w:val="24"/>
        </w:rPr>
        <w:t xml:space="preserve"> </w:t>
      </w:r>
    </w:p>
    <w:p w:rsidR="009B5602" w:rsidRDefault="00886830">
      <w:pPr>
        <w:spacing w:before="120" w:after="120" w:line="240" w:lineRule="auto"/>
        <w:jc w:val="both"/>
        <w:rPr>
          <w:rFonts w:ascii="Times New Roman" w:hAnsi="Times New Roman"/>
          <w:noProof/>
          <w:sz w:val="24"/>
        </w:rPr>
      </w:pPr>
      <w:r>
        <w:rPr>
          <w:rFonts w:ascii="Times New Roman" w:hAnsi="Times New Roman"/>
          <w:b/>
          <w:bCs/>
          <w:noProof/>
          <w:sz w:val="24"/>
          <w:szCs w:val="24"/>
          <w:u w:val="single"/>
        </w:rPr>
        <w:t xml:space="preserve">A.1 </w:t>
      </w:r>
      <w:r>
        <w:rPr>
          <w:rFonts w:ascii="Times New Roman" w:hAnsi="Times New Roman"/>
          <w:noProof/>
          <w:sz w:val="24"/>
        </w:rPr>
        <w:tab/>
      </w:r>
      <w:r>
        <w:rPr>
          <w:rFonts w:ascii="Times New Roman" w:hAnsi="Times New Roman"/>
          <w:b/>
          <w:bCs/>
          <w:noProof/>
          <w:sz w:val="24"/>
          <w:szCs w:val="24"/>
          <w:u w:val="single"/>
        </w:rPr>
        <w:t>Opis reform in naložb za nepovratno finančno podporo</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Reforma 1 o prosto</w:t>
      </w:r>
      <w:r>
        <w:rPr>
          <w:rFonts w:ascii="Times New Roman" w:hAnsi="Times New Roman"/>
          <w:b/>
          <w:bCs/>
          <w:noProof/>
          <w:sz w:val="24"/>
          <w:szCs w:val="24"/>
        </w:rPr>
        <w:t>rskem načrtovanju.</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Reforma zagotavlja podlago za zaščito krajinskih struktur, ekološko stabilnost in biotsko raznovrstnost v dokumentaciji načrtovanja rabe zemljišč in nadaljnjih postopkih odobritve za izdajo dovoljenj za zgradbe in dejavnosti. Akt skupaj </w:t>
      </w:r>
      <w:r>
        <w:rPr>
          <w:rFonts w:ascii="Times New Roman" w:hAnsi="Times New Roman"/>
          <w:noProof/>
          <w:sz w:val="24"/>
          <w:szCs w:val="24"/>
        </w:rPr>
        <w:t>z nadaljnjimi metodološkimi dokumenti in zemljevidi zagotavlja tehnično podlago za dokumentacijo načrtovanja rabe prostora in naknadne postopke odobritve za izdajo dovoljenj za zgradbe in dejavnosti. To pomembno vpliva na ohranjanje krajinskih struktur, ek</w:t>
      </w:r>
      <w:r>
        <w:rPr>
          <w:rFonts w:ascii="Times New Roman" w:hAnsi="Times New Roman"/>
          <w:noProof/>
          <w:sz w:val="24"/>
          <w:szCs w:val="24"/>
        </w:rPr>
        <w:t>ološko stabilnost in zaščito biotske raznovrstnosti. Njihova izguba bi ogrozila sposobnost prilagajanja podnebnim spremembam.</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Reforma se izvede do 31. decembra 2022.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Reforma 2 o varstvu narave in upravljanju voda.</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Cilj reforme je izboljšati stanje habitatov na zavarovanih območjih, s čimer se zagotovi njihov dolgoročni vse večji prispevek k varstvu krajine pred podnebnimi spremembami in njihova lastna odpornost na škodljive učinke podnebnih sprememb. Do 31. decembra</w:t>
      </w:r>
      <w:r>
        <w:rPr>
          <w:rFonts w:ascii="Times New Roman" w:hAnsi="Times New Roman"/>
          <w:noProof/>
          <w:sz w:val="24"/>
          <w:szCs w:val="24"/>
        </w:rPr>
        <w:t xml:space="preserve"> 2023 začneta veljati spremenjeni Zakon o varstvu narave in krajine ter zakonodaja o vodah. Ta zakonodaja krepi institucionalno varstvo narave, čim bolj zmanjšuje spore glede pristojnosti na zaščitenih območjih, poenostavlja sistem varstva, vključuje omrež</w:t>
      </w:r>
      <w:r>
        <w:rPr>
          <w:rFonts w:ascii="Times New Roman" w:hAnsi="Times New Roman"/>
          <w:noProof/>
          <w:sz w:val="24"/>
          <w:szCs w:val="24"/>
        </w:rPr>
        <w:t>ja zaščitenih območij (nacionalnih, evropskih in mednarodnih) ter ustvarja pogoje za določanje območij v nacionalnih parkih. Rezultat je sodoben sistem, katerega glavni cilj je zaščititi naravo in biotsko raznovrstnost na zadevnih ozemljih ter zagotoviti s</w:t>
      </w:r>
      <w:r>
        <w:rPr>
          <w:rFonts w:ascii="Times New Roman" w:hAnsi="Times New Roman"/>
          <w:noProof/>
          <w:sz w:val="24"/>
          <w:szCs w:val="24"/>
        </w:rPr>
        <w:t>tabilen dolgoročni prispevek ekosistemov k prilagajanju podnebnim spremembam in blažitvi njihovih posledic. Hkrati reforma omogoča oživitev vodotokov in ustvarja prostor za ekološko upravljanje, obnovo rečnega prostora in postopno varstvo pred poplavami ob</w:t>
      </w:r>
      <w:r>
        <w:rPr>
          <w:rFonts w:ascii="Times New Roman" w:hAnsi="Times New Roman"/>
          <w:noProof/>
          <w:sz w:val="24"/>
          <w:szCs w:val="24"/>
        </w:rPr>
        <w:t xml:space="preserve"> upoštevanju varstva narave in zadrževanja vode na podeželju.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Reforma se izvede do 31. decembra 2023. </w:t>
      </w:r>
    </w:p>
    <w:p w:rsidR="009B5602" w:rsidRDefault="009B5602">
      <w:pPr>
        <w:spacing w:before="120" w:after="120" w:line="240" w:lineRule="auto"/>
        <w:jc w:val="both"/>
        <w:rPr>
          <w:rFonts w:ascii="Times New Roman" w:hAnsi="Times New Roman"/>
          <w:noProof/>
          <w:sz w:val="24"/>
          <w:szCs w:val="24"/>
        </w:rPr>
      </w:pP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bCs/>
          <w:noProof/>
          <w:sz w:val="24"/>
          <w:szCs w:val="24"/>
        </w:rPr>
        <w:t>Naložba 1 za prilagajanje regij podnebnim spremembam s poudarkom na ohranjanju narave in razvoju biotske raznovrstnosti.</w:t>
      </w:r>
    </w:p>
    <w:p w:rsidR="009B5602" w:rsidRDefault="00886830">
      <w:pPr>
        <w:spacing w:before="120" w:after="120" w:line="240" w:lineRule="auto"/>
        <w:jc w:val="both"/>
        <w:rPr>
          <w:rFonts w:ascii="Arial Narrow" w:eastAsia="Arial Narrow" w:hAnsi="Arial Narrow" w:cs="Arial Narrow"/>
          <w:noProof/>
          <w:color w:val="000000"/>
        </w:rPr>
      </w:pPr>
      <w:r>
        <w:rPr>
          <w:rFonts w:ascii="Times New Roman" w:hAnsi="Times New Roman"/>
          <w:noProof/>
          <w:sz w:val="24"/>
          <w:szCs w:val="24"/>
        </w:rPr>
        <w:t>Cilj naložbe je zagotoviti dol</w:t>
      </w:r>
      <w:r>
        <w:rPr>
          <w:rFonts w:ascii="Times New Roman" w:hAnsi="Times New Roman"/>
          <w:noProof/>
          <w:sz w:val="24"/>
          <w:szCs w:val="24"/>
        </w:rPr>
        <w:t>goročni trajnostni prispevek ekosistemov k prilagajanju podnebnim spremembam in blažitvi njihovih posledic (odprava poplav, preprečevanje suš) z zaščito ekosistemov. Prerazporeditev premoženja omogoča, da se nova območja zajamejo z najvišjo stopnjo varstva</w:t>
      </w:r>
      <w:r>
        <w:rPr>
          <w:rFonts w:ascii="Times New Roman" w:hAnsi="Times New Roman"/>
          <w:noProof/>
          <w:sz w:val="24"/>
          <w:szCs w:val="24"/>
        </w:rPr>
        <w:t>, s čimer se poveča odpornost ekosistemov. Omejevanje sečnje in razvoj ohranjanja narave omogočata preprečevanje poplav in suš, preoblikovanje regij iz intenzivne rabe naravnih virov v mehki turizem z višjo dodano vrednostjo, hkrati pa krepi ekosistemske s</w:t>
      </w:r>
      <w:r>
        <w:rPr>
          <w:rFonts w:ascii="Times New Roman" w:hAnsi="Times New Roman"/>
          <w:noProof/>
          <w:sz w:val="24"/>
          <w:szCs w:val="24"/>
        </w:rPr>
        <w:t xml:space="preserve">toritve. Obnovljeni vodotoki, vključno z mokrišči, zagotavljajo zadrževanje vode na podeželju in njeno postopno sproščanje. Postanejo pomembni elementi krajine, ki podpirajo ohranjanje biotske raznovrstnosti in obnovo habitatov. </w:t>
      </w:r>
    </w:p>
    <w:p w:rsidR="009B5602" w:rsidRDefault="00886830">
      <w:p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Naložba se izvede do 30. junija 2026. </w:t>
      </w:r>
    </w:p>
    <w:p w:rsidR="009B5602" w:rsidRPr="00886830" w:rsidRDefault="009B5602">
      <w:pPr>
        <w:spacing w:before="120" w:after="0" w:line="240" w:lineRule="auto"/>
        <w:jc w:val="both"/>
        <w:rPr>
          <w:rFonts w:ascii="Times New Roman" w:eastAsia="Times New Roman" w:hAnsi="Times New Roman"/>
          <w:noProof/>
          <w:sz w:val="24"/>
          <w:szCs w:val="24"/>
          <w:lang w:val="es-ES"/>
        </w:rPr>
        <w:sectPr w:rsidR="009B5602" w:rsidRPr="00886830">
          <w:headerReference w:type="even" r:id="rId66"/>
          <w:headerReference w:type="default" r:id="rId67"/>
          <w:footerReference w:type="even" r:id="rId68"/>
          <w:footerReference w:type="default" r:id="rId69"/>
          <w:headerReference w:type="first" r:id="rId70"/>
          <w:footerReference w:type="first" r:id="rId71"/>
          <w:pgSz w:w="11907" w:h="16839"/>
          <w:pgMar w:top="1134" w:right="1418" w:bottom="1134" w:left="1418" w:header="709" w:footer="709" w:gutter="0"/>
          <w:cols w:space="720"/>
          <w:docGrid w:linePitch="360"/>
        </w:sectPr>
      </w:pPr>
    </w:p>
    <w:p w:rsidR="009B5602" w:rsidRDefault="00886830">
      <w:pPr>
        <w:framePr w:w="15588" w:wrap="auto" w:hAnchor="text"/>
        <w:spacing w:before="120" w:after="120" w:line="240" w:lineRule="auto"/>
        <w:ind w:left="850"/>
        <w:jc w:val="both"/>
        <w:rPr>
          <w:rFonts w:ascii="Times New Roman" w:hAnsi="Times New Roman"/>
          <w:noProof/>
          <w:sz w:val="24"/>
          <w:szCs w:val="24"/>
        </w:rPr>
      </w:pPr>
      <w:r>
        <w:rPr>
          <w:rFonts w:ascii="Times New Roman" w:hAnsi="Times New Roman"/>
          <w:b/>
          <w:bCs/>
          <w:noProof/>
          <w:sz w:val="24"/>
          <w:szCs w:val="24"/>
          <w:u w:val="single"/>
        </w:rPr>
        <w:t xml:space="preserve">A.2 </w:t>
      </w:r>
      <w:r>
        <w:rPr>
          <w:noProof/>
        </w:rPr>
        <w:tab/>
      </w:r>
      <w:r>
        <w:rPr>
          <w:rFonts w:ascii="Times New Roman" w:hAnsi="Times New Roman"/>
          <w:b/>
          <w:bCs/>
          <w:noProof/>
          <w:sz w:val="24"/>
          <w:szCs w:val="24"/>
          <w:u w:val="single"/>
        </w:rPr>
        <w:t>Mejniki, cilji, kazalniki in časovni razpored za spremljanje in izvajanje nepovratne finančne podpore</w:t>
      </w:r>
    </w:p>
    <w:p w:rsidR="009B5602" w:rsidRDefault="009B5602">
      <w:pPr>
        <w:framePr w:w="15588" w:wrap="auto" w:hAnchor="text"/>
        <w:spacing w:before="120" w:after="120" w:line="240" w:lineRule="auto"/>
        <w:ind w:left="850"/>
        <w:jc w:val="both"/>
        <w:rPr>
          <w:rFonts w:ascii="Times New Roman" w:hAnsi="Times New Roman"/>
          <w:b/>
          <w:bCs/>
          <w:noProof/>
          <w:sz w:val="24"/>
          <w:szCs w:val="24"/>
          <w:u w:val="single"/>
        </w:rPr>
      </w:pPr>
    </w:p>
    <w:tbl>
      <w:tblPr>
        <w:tblW w:w="0" w:type="auto"/>
        <w:tblInd w:w="135" w:type="dxa"/>
        <w:tblLayout w:type="fixed"/>
        <w:tblLook w:val="04A0" w:firstRow="1" w:lastRow="0" w:firstColumn="1" w:lastColumn="0" w:noHBand="0" w:noVBand="1"/>
      </w:tblPr>
      <w:tblGrid>
        <w:gridCol w:w="824"/>
        <w:gridCol w:w="1381"/>
        <w:gridCol w:w="845"/>
        <w:gridCol w:w="1031"/>
        <w:gridCol w:w="1562"/>
        <w:gridCol w:w="1418"/>
        <w:gridCol w:w="1276"/>
        <w:gridCol w:w="1134"/>
        <w:gridCol w:w="992"/>
        <w:gridCol w:w="709"/>
        <w:gridCol w:w="3678"/>
      </w:tblGrid>
      <w:tr w:rsidR="009B5602">
        <w:trPr>
          <w:trHeight w:val="690"/>
        </w:trPr>
        <w:tc>
          <w:tcPr>
            <w:tcW w:w="824"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Zap. št.</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381"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Povezani ukrep (reforma ali naložba)</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845"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Mejnik/cilj</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031"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Ime</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562"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Kvalitativni kazalniki</w:t>
            </w:r>
            <w:r>
              <w:rPr>
                <w:rFonts w:ascii="Times New Roman" w:hAnsi="Times New Roman"/>
                <w:noProof/>
                <w:sz w:val="20"/>
                <w:szCs w:val="20"/>
              </w:rPr>
              <w:t xml:space="preserve">  </w:t>
            </w:r>
            <w:r>
              <w:rPr>
                <w:rFonts w:ascii="Times New Roman" w:hAnsi="Times New Roman"/>
                <w:b/>
                <w:bCs/>
                <w:noProof/>
                <w:sz w:val="20"/>
                <w:szCs w:val="20"/>
              </w:rPr>
              <w:t xml:space="preserve"> (za mejnike)</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3828"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Kvantitativni kazalniki</w:t>
            </w:r>
            <w:r>
              <w:rPr>
                <w:rFonts w:ascii="Times New Roman" w:hAnsi="Times New Roman"/>
                <w:noProof/>
                <w:sz w:val="20"/>
                <w:szCs w:val="20"/>
              </w:rPr>
              <w:t xml:space="preserve">  </w:t>
            </w:r>
            <w:r>
              <w:rPr>
                <w:rFonts w:ascii="Times New Roman" w:hAnsi="Times New Roman"/>
                <w:b/>
                <w:bCs/>
                <w:noProof/>
                <w:sz w:val="20"/>
                <w:szCs w:val="20"/>
              </w:rPr>
              <w:t xml:space="preserve"> (za cilje)</w:t>
            </w:r>
          </w:p>
        </w:tc>
        <w:tc>
          <w:tcPr>
            <w:tcW w:w="1701" w:type="dxa"/>
            <w:gridSpan w:val="2"/>
            <w:tcBorders>
              <w:top w:val="single" w:sz="8" w:space="0" w:color="auto"/>
              <w:left w:val="nil"/>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Okvirni časovni razpored za dokončanje </w:t>
            </w:r>
          </w:p>
        </w:tc>
        <w:tc>
          <w:tcPr>
            <w:tcW w:w="3678" w:type="dxa"/>
            <w:vMerge w:val="restart"/>
            <w:tcBorders>
              <w:top w:val="single" w:sz="8" w:space="0" w:color="auto"/>
              <w:left w:val="nil"/>
              <w:right w:val="single" w:sz="8" w:space="0" w:color="auto"/>
            </w:tcBorders>
            <w:shd w:val="clear" w:color="auto" w:fill="BDD7EE"/>
            <w:vAlign w:val="center"/>
          </w:tcPr>
          <w:p w:rsidR="009B5602" w:rsidRDefault="00886830">
            <w:pPr>
              <w:rPr>
                <w:rFonts w:ascii="Times New Roman" w:hAnsi="Times New Roman"/>
                <w:noProof/>
                <w:sz w:val="20"/>
                <w:szCs w:val="20"/>
              </w:rPr>
            </w:pPr>
            <w:r>
              <w:rPr>
                <w:rFonts w:ascii="Times New Roman" w:hAnsi="Times New Roman"/>
                <w:b/>
                <w:bCs/>
                <w:noProof/>
                <w:sz w:val="20"/>
                <w:szCs w:val="20"/>
              </w:rPr>
              <w:t>Opis in jasna opredelitev vsakega mejnika in cilja</w:t>
            </w:r>
          </w:p>
          <w:p w:rsidR="009B5602" w:rsidRDefault="00886830">
            <w:pPr>
              <w:rPr>
                <w:rFonts w:ascii="Times New Roman" w:hAnsi="Times New Roman"/>
                <w:noProof/>
                <w:sz w:val="20"/>
                <w:szCs w:val="20"/>
              </w:rPr>
            </w:pPr>
            <w:r>
              <w:rPr>
                <w:rFonts w:ascii="Times New Roman" w:hAnsi="Times New Roman"/>
                <w:noProof/>
                <w:sz w:val="20"/>
                <w:szCs w:val="20"/>
              </w:rPr>
              <w:t xml:space="preserve"> </w:t>
            </w:r>
          </w:p>
        </w:tc>
      </w:tr>
      <w:tr w:rsidR="009B5602">
        <w:trPr>
          <w:trHeight w:val="660"/>
        </w:trPr>
        <w:tc>
          <w:tcPr>
            <w:tcW w:w="824"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381"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845"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031"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562"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Merska enota</w:t>
            </w:r>
          </w:p>
        </w:tc>
        <w:tc>
          <w:tcPr>
            <w:tcW w:w="1276" w:type="dxa"/>
            <w:tcBorders>
              <w:top w:val="nil"/>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Ozadje</w:t>
            </w:r>
          </w:p>
        </w:tc>
        <w:tc>
          <w:tcPr>
            <w:tcW w:w="1134" w:type="dxa"/>
            <w:tcBorders>
              <w:top w:val="nil"/>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cilj</w:t>
            </w:r>
          </w:p>
        </w:tc>
        <w:tc>
          <w:tcPr>
            <w:tcW w:w="992" w:type="dxa"/>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Četrtletje</w:t>
            </w:r>
          </w:p>
        </w:tc>
        <w:tc>
          <w:tcPr>
            <w:tcW w:w="709" w:type="dxa"/>
            <w:tcBorders>
              <w:top w:val="nil"/>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Leto</w:t>
            </w:r>
          </w:p>
        </w:tc>
        <w:tc>
          <w:tcPr>
            <w:tcW w:w="3678" w:type="dxa"/>
            <w:vMerge/>
            <w:tcBorders>
              <w:left w:val="single" w:sz="8" w:space="0" w:color="auto"/>
              <w:bottom w:val="single" w:sz="8" w:space="0" w:color="auto"/>
              <w:right w:val="single" w:sz="8" w:space="0" w:color="auto"/>
            </w:tcBorders>
            <w:shd w:val="clear" w:color="auto" w:fill="BDD7EE"/>
            <w:vAlign w:val="center"/>
          </w:tcPr>
          <w:p w:rsidR="009B5602" w:rsidRDefault="009B5602">
            <w:pPr>
              <w:rPr>
                <w:rFonts w:ascii="Times New Roman" w:hAnsi="Times New Roman"/>
                <w:noProof/>
                <w:sz w:val="20"/>
                <w:szCs w:val="20"/>
              </w:rPr>
            </w:pPr>
          </w:p>
        </w:tc>
      </w:tr>
      <w:tr w:rsidR="009B5602">
        <w:trPr>
          <w:trHeight w:val="1395"/>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5 – Prilagajanje podnebnim spremembam – Reforma 1: Reforma prostorskega načrtovanja</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reforma prostorskega načrtovanja </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Zakona o prostorskem načrtovanju v parlamentu</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Ministrstvo za okolje d</w:t>
            </w:r>
            <w:r>
              <w:rPr>
                <w:rFonts w:ascii="Times New Roman" w:hAnsi="Times New Roman"/>
                <w:noProof/>
                <w:color w:val="006100"/>
                <w:sz w:val="20"/>
                <w:szCs w:val="20"/>
              </w:rPr>
              <w:t>o 31. decembra 2022 pripravi akt, ki ga nato potrdi Državni svet Slovaške republike. Akt se do 31. decembra 2022 dopolni z razvojem metodologije za ocenjevanje vrednosti krajine in ekosistemov, katere cilj je zagotoviti, da se pri teritorialnem odločanju i</w:t>
            </w:r>
            <w:r>
              <w:rPr>
                <w:rFonts w:ascii="Times New Roman" w:hAnsi="Times New Roman"/>
                <w:noProof/>
                <w:color w:val="006100"/>
                <w:sz w:val="20"/>
                <w:szCs w:val="20"/>
              </w:rPr>
              <w:t>n postopkih gradnje upoštevajo vidiki prilagajanja podnebnim spremembam, ter spodbujati izvajanje ukrepov za preprečevanje poplav, ki temeljijo na naravi, in ukrepov za preprečevanje suše in izgube biotske raznovrstnosti.</w:t>
            </w:r>
          </w:p>
        </w:tc>
      </w:tr>
      <w:tr w:rsidR="009B5602">
        <w:trPr>
          <w:trHeight w:val="1905"/>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5 – Prilagajanje podnebnim </w:t>
            </w:r>
            <w:r>
              <w:rPr>
                <w:rFonts w:ascii="Times New Roman" w:hAnsi="Times New Roman"/>
                <w:noProof/>
                <w:color w:val="006100"/>
                <w:sz w:val="20"/>
                <w:szCs w:val="20"/>
              </w:rPr>
              <w:t>spremembam – Reforma 2: Reforma ohranjanja narave in gospodarjenja z vodnimi viri na podeželju</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r>
              <w:rPr>
                <w:rFonts w:ascii="Times New Roman" w:hAnsi="Times New Roman"/>
                <w:noProof/>
                <w:sz w:val="20"/>
                <w:szCs w:val="20"/>
              </w:rPr>
              <w:t xml:space="preserve"> </w:t>
            </w:r>
            <w:r>
              <w:rPr>
                <w:rFonts w:ascii="Times New Roman" w:hAnsi="Times New Roman"/>
                <w:noProof/>
                <w:color w:val="006100"/>
                <w:sz w:val="20"/>
                <w:szCs w:val="20"/>
              </w:rPr>
              <w:t>Učinkovitejša uporaba naravovarstvenih ukrepov v pokrajinah na zaščitenih območjih in oživitev vodotokov</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Začetek veljavnosti spremenjenega Zakona o var</w:t>
            </w:r>
            <w:r>
              <w:rPr>
                <w:rFonts w:ascii="Times New Roman" w:hAnsi="Times New Roman"/>
                <w:noProof/>
                <w:color w:val="006100"/>
                <w:sz w:val="20"/>
                <w:szCs w:val="20"/>
              </w:rPr>
              <w:t>stvu narave in krajine ter zakonodaje o vodah</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2023</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Ministrstvo za okolje pripravi spremembo Zakona o varstvu narave, ki začne veljati januarja 2022, čemur sledi priprava predloga za nov model delovanja zavarovanih območij (do 31. decembra 2022).</w:t>
            </w:r>
            <w:r>
              <w:rPr>
                <w:rFonts w:ascii="Times New Roman" w:hAnsi="Times New Roman"/>
                <w:noProof/>
                <w:color w:val="006100"/>
                <w:sz w:val="20"/>
                <w:szCs w:val="20"/>
              </w:rPr>
              <w:t xml:space="preserve"> Reforma gospodarjenja z vodami v državi utira pot oživitvi vodotokov in s tem poveča varstvo pred poplavami v državi. Ministrstvo za okolje do 31. decembra 2022 pripravi nov koncept vodne politike in do 31. decembra 2023 spremeni zakon o vodah, ki določa </w:t>
            </w:r>
            <w:r>
              <w:rPr>
                <w:rFonts w:ascii="Times New Roman" w:hAnsi="Times New Roman"/>
                <w:noProof/>
                <w:color w:val="006100"/>
                <w:sz w:val="20"/>
                <w:szCs w:val="20"/>
              </w:rPr>
              <w:t>tehnične standarde, ki omogočajo obnovo vodotokov na način, ki bo čim bolj povečal zadrževanje vode v državi, upočasnjeval odtok vode in obnavljal zaloge podtalnice.</w:t>
            </w:r>
          </w:p>
        </w:tc>
      </w:tr>
      <w:tr w:rsidR="009B5602">
        <w:trPr>
          <w:trHeight w:val="75"/>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3</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5 – Prilagajanje podnebnim spremembam – Naložba 1: Prilagajanje regij podnebnim </w:t>
            </w:r>
            <w:r>
              <w:rPr>
                <w:rFonts w:ascii="Times New Roman" w:hAnsi="Times New Roman"/>
                <w:noProof/>
                <w:color w:val="006100"/>
                <w:sz w:val="20"/>
                <w:szCs w:val="20"/>
              </w:rPr>
              <w:t>spremembam s poudarkom na ohranjanju narave in razvoju biotske raznovrstnosti</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Sanacija vodotokov (v km obnovljenih vodotokov)</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52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2024</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Km obnovljenih vodotokov. Od splošnega cilja sanacije 57 km vodotokov se vsaj 52 km rehabilitira.</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Skupina za oživitev pripravi prednostne naloge in določi natančne oddelke za ponovno vzpostavitev tokov. </w:t>
            </w:r>
            <w:r>
              <w:rPr>
                <w:rFonts w:ascii="Times New Roman" w:hAnsi="Times New Roman"/>
                <w:noProof/>
                <w:sz w:val="20"/>
                <w:szCs w:val="20"/>
              </w:rPr>
              <w:t>Vlagatelj na podlagi tehnične dokumentacije projekte predloži redno, in sicer od 30. junija 2022 do 31. decembra 2023.</w:t>
            </w:r>
          </w:p>
        </w:tc>
      </w:tr>
      <w:tr w:rsidR="009B5602">
        <w:trPr>
          <w:trHeight w:val="75"/>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4</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5 – Prilagajanje podnebnim </w:t>
            </w:r>
            <w:r>
              <w:rPr>
                <w:rFonts w:ascii="Times New Roman" w:hAnsi="Times New Roman"/>
                <w:noProof/>
                <w:color w:val="006100"/>
                <w:sz w:val="20"/>
                <w:szCs w:val="20"/>
              </w:rPr>
              <w:t>spremembam – Naložba 1: Prilagajanje regij podnebnim spremembam s poudarkom na ohranjanju narave in razvoju biotske raznovrstnosti</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Sanacija vodotokov</w:t>
            </w:r>
          </w:p>
          <w:p w:rsidR="009B5602" w:rsidRDefault="00886830">
            <w:pPr>
              <w:rPr>
                <w:rFonts w:ascii="Times New Roman" w:hAnsi="Times New Roman"/>
                <w:noProof/>
                <w:sz w:val="20"/>
                <w:szCs w:val="20"/>
              </w:rPr>
            </w:pPr>
            <w:r>
              <w:rPr>
                <w:rFonts w:ascii="Times New Roman" w:hAnsi="Times New Roman"/>
                <w:noProof/>
                <w:color w:val="006100"/>
                <w:sz w:val="20"/>
                <w:szCs w:val="20"/>
              </w:rPr>
              <w:t>(v km obnovljenih vodotokov)</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Km saniranih vodotokov</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52</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90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2026</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Km obnovljenih vodotokov.  </w:t>
            </w:r>
            <w:r>
              <w:rPr>
                <w:rFonts w:ascii="Times New Roman" w:hAnsi="Times New Roman"/>
                <w:noProof/>
                <w:color w:val="006100"/>
                <w:sz w:val="20"/>
                <w:szCs w:val="20"/>
              </w:rPr>
              <w:t>Od splošnega cilja sanacije 97 km vodotokov se vsaj 90 km rehabilitira.</w:t>
            </w:r>
          </w:p>
          <w:p w:rsidR="009B5602" w:rsidRDefault="00886830">
            <w:pPr>
              <w:rPr>
                <w:rFonts w:ascii="Times New Roman" w:hAnsi="Times New Roman"/>
                <w:noProof/>
                <w:sz w:val="20"/>
                <w:szCs w:val="20"/>
              </w:rPr>
            </w:pPr>
            <w:r>
              <w:rPr>
                <w:rFonts w:ascii="Times New Roman" w:hAnsi="Times New Roman"/>
                <w:noProof/>
                <w:color w:val="006100"/>
                <w:sz w:val="20"/>
                <w:szCs w:val="20"/>
              </w:rPr>
              <w:t>Skupina za oživitev pripravi prednostne naloge in določi natančne oddelke za ponovno vzpostavitev tokov. Vlagatelj na podlagi tehnične dokumentacije predloži projekte na tekoči osnovi,</w:t>
            </w:r>
            <w:r>
              <w:rPr>
                <w:rFonts w:ascii="Times New Roman" w:hAnsi="Times New Roman"/>
                <w:noProof/>
                <w:color w:val="006100"/>
                <w:sz w:val="20"/>
                <w:szCs w:val="20"/>
              </w:rPr>
              <w:t xml:space="preserve"> ki se začnejo do 30. junija 2023 in končajo do 31. decembra 2025.   </w:t>
            </w:r>
          </w:p>
        </w:tc>
      </w:tr>
      <w:tr w:rsidR="009B5602">
        <w:trPr>
          <w:trHeight w:val="1590"/>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5</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6 – Prilagajanje podnebnim spremembam – Naložba 1: Prilagajanje regij podnebnim spremembam s poudarkom na ohranjanju narave in razvoju biotske raznovrstnosti</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Nepremičninska </w:t>
            </w:r>
            <w:r>
              <w:rPr>
                <w:rFonts w:ascii="Times New Roman" w:hAnsi="Times New Roman"/>
                <w:noProof/>
                <w:sz w:val="20"/>
                <w:szCs w:val="20"/>
              </w:rPr>
              <w:t>poravnava z zasebnimi lastniki zemljišč (na zemljišču, naseljenem v ha)</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14 000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2023</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  Splošni cilj je doseči nepremičninske poravnave za površino 14750 ha, pri čemer so nepremičninske poravnave dosežene vsaj 14000 ha.  </w:t>
            </w:r>
          </w:p>
          <w:p w:rsidR="009B5602" w:rsidRDefault="00886830">
            <w:pPr>
              <w:rPr>
                <w:rFonts w:ascii="Times New Roman" w:hAnsi="Times New Roman"/>
                <w:noProof/>
                <w:sz w:val="20"/>
                <w:szCs w:val="20"/>
              </w:rPr>
            </w:pPr>
            <w:r>
              <w:rPr>
                <w:rFonts w:ascii="Times New Roman" w:hAnsi="Times New Roman"/>
                <w:noProof/>
                <w:color w:val="006100"/>
                <w:sz w:val="20"/>
                <w:szCs w:val="20"/>
              </w:rPr>
              <w:t>Delovna skupina na Ministrstvu za okolje in ŠOP SR do 30. junija 2022 pripravi metodologijo za določanje vrednosti in cene zemljišča. Razpisi za nakup zemljišč na zaščitenih območjih, predvsem v nacionalnih parkih, se redno objavljajo na podlagi območij/oz</w:t>
            </w:r>
            <w:r>
              <w:rPr>
                <w:rFonts w:ascii="Times New Roman" w:hAnsi="Times New Roman"/>
                <w:noProof/>
                <w:color w:val="006100"/>
                <w:sz w:val="20"/>
                <w:szCs w:val="20"/>
              </w:rPr>
              <w:t xml:space="preserve">emelj, in sicer od 31. marca 2023 do 30. junija 2023. </w:t>
            </w:r>
          </w:p>
        </w:tc>
      </w:tr>
      <w:tr w:rsidR="009B5602">
        <w:trPr>
          <w:trHeight w:val="1260"/>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6</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6 – Prilagajanje podnebnim spremembam – Naložba 1: Prilagajanje regij podnebnim spremembam s poudarkom na ohranjanju narave in razvoju biotske raznovrstnosti</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Nepremičninska poravnava z </w:t>
            </w:r>
            <w:r>
              <w:rPr>
                <w:rFonts w:ascii="Times New Roman" w:hAnsi="Times New Roman"/>
                <w:noProof/>
                <w:sz w:val="20"/>
                <w:szCs w:val="20"/>
              </w:rPr>
              <w:t>zasebnimi lastniki zemljišč (na zemljišču, naseljenem v ha)</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14 000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27 000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2025</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  Splošni cilj je doseči nepremičninske poravnave za površino 29509 ha, pri čemer so nepremičninske poravnave dosežene vsaj 27000 ha.  </w:t>
            </w:r>
          </w:p>
          <w:p w:rsidR="009B5602" w:rsidRDefault="00886830">
            <w:pPr>
              <w:rPr>
                <w:rFonts w:ascii="Times New Roman" w:hAnsi="Times New Roman"/>
                <w:noProof/>
                <w:sz w:val="20"/>
                <w:szCs w:val="20"/>
              </w:rPr>
            </w:pPr>
            <w:r>
              <w:rPr>
                <w:rFonts w:ascii="Times New Roman" w:hAnsi="Times New Roman"/>
                <w:noProof/>
                <w:color w:val="006100"/>
                <w:sz w:val="20"/>
                <w:szCs w:val="20"/>
              </w:rPr>
              <w:t>Do 30. septembra 2022 delovna</w:t>
            </w:r>
            <w:r>
              <w:rPr>
                <w:rFonts w:ascii="Times New Roman" w:hAnsi="Times New Roman"/>
                <w:noProof/>
                <w:color w:val="006100"/>
                <w:sz w:val="20"/>
                <w:szCs w:val="20"/>
              </w:rPr>
              <w:t xml:space="preserve"> skupina Ministrstva za okolje in ŠOP SR pripravi metodologijo za določanje vrednosti in cene zemljišča. Razpisi za nakup zemljišč na zaščitenih območjih, predvsem v nacionalnih parkih, se redno objavljajo na podlagi območij/ozemelj, in sicer od 30. junija</w:t>
            </w:r>
            <w:r>
              <w:rPr>
                <w:rFonts w:ascii="Times New Roman" w:hAnsi="Times New Roman"/>
                <w:noProof/>
                <w:color w:val="006100"/>
                <w:sz w:val="20"/>
                <w:szCs w:val="20"/>
              </w:rPr>
              <w:t xml:space="preserve"> 2022 do 30. decembra 2025.</w:t>
            </w:r>
          </w:p>
        </w:tc>
      </w:tr>
      <w:tr w:rsidR="009B5602">
        <w:trPr>
          <w:trHeight w:val="1545"/>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7</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6 – Prilagajanje podnebnim spremembam – Naložba 1: Prilagajanje regij podnebnim spremembam s poudarkom na ohranjanju narave in razvoju biotske raznovrstnosti</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Seznam izbranih projektov za regiji Muránska Planina in </w:t>
            </w:r>
            <w:r>
              <w:rPr>
                <w:rFonts w:ascii="Times New Roman" w:hAnsi="Times New Roman"/>
                <w:noProof/>
                <w:color w:val="006100"/>
                <w:sz w:val="20"/>
                <w:szCs w:val="20"/>
              </w:rPr>
              <w:t>Polonina</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Usmerjevalni odbor na podlagi odprte razprave z ustreznimi lokalnimi akterji izbere projekte za dve regiji Muránska Planina in Polonina v skladu z načelom, da se ne škoduje bistveno.</w:t>
            </w:r>
          </w:p>
        </w:tc>
      </w:tr>
    </w:tbl>
    <w:p w:rsidR="009B5602" w:rsidRPr="00886830" w:rsidRDefault="009B5602">
      <w:pPr>
        <w:framePr w:w="15588" w:wrap="auto" w:hAnchor="text"/>
        <w:spacing w:before="120" w:after="120" w:line="240" w:lineRule="auto"/>
        <w:jc w:val="both"/>
        <w:rPr>
          <w:rFonts w:ascii="Times New Roman" w:hAnsi="Times New Roman"/>
          <w:noProof/>
          <w:sz w:val="24"/>
          <w:szCs w:val="24"/>
        </w:rPr>
        <w:sectPr w:rsidR="009B5602" w:rsidRPr="00886830">
          <w:headerReference w:type="even" r:id="rId72"/>
          <w:headerReference w:type="default" r:id="rId73"/>
          <w:footerReference w:type="even" r:id="rId74"/>
          <w:footerReference w:type="default" r:id="rId75"/>
          <w:headerReference w:type="first" r:id="rId76"/>
          <w:footerReference w:type="first" r:id="rId77"/>
          <w:pgSz w:w="16839" w:h="11907" w:orient="landscape"/>
          <w:pgMar w:top="1418" w:right="1134" w:bottom="1418" w:left="851" w:header="709" w:footer="709" w:gutter="0"/>
          <w:cols w:space="720"/>
          <w:docGrid w:linePitch="360"/>
        </w:sectPr>
      </w:pPr>
    </w:p>
    <w:p w:rsidR="009B5602" w:rsidRDefault="00886830">
      <w:pPr>
        <w:keepNext/>
        <w:tabs>
          <w:tab w:val="left" w:pos="993"/>
        </w:tabs>
        <w:spacing w:before="12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KOMPONENTA 6: Dostopnost, razvoj in kakovost vključujočega izobraževanja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Cilj komponente je izboljšati dostopnost in vključenost rednega predšolskega in šolskega izobraževanja na Slovaškem. Komponenta bo izboljšala dostop do </w:t>
      </w:r>
      <w:r>
        <w:rPr>
          <w:rFonts w:ascii="Times New Roman" w:hAnsi="Times New Roman"/>
          <w:noProof/>
          <w:sz w:val="24"/>
        </w:rPr>
        <w:t>predšolske vzgoje z zagotavljanjem, da so otroci, stari 5 let, vključeni v predšolski sistem, in z uvedbo zakonite pravice do predšolske vzgoje za štiri– in triletnike. Komponenta je reforma sistema financiranja predšolskega izobraževanja in uvedba sistema</w:t>
      </w:r>
      <w:r>
        <w:rPr>
          <w:rFonts w:ascii="Times New Roman" w:hAnsi="Times New Roman"/>
          <w:noProof/>
          <w:sz w:val="24"/>
        </w:rPr>
        <w:t xml:space="preserve"> vključujočih ukrepov za podporo izobraževanju. Komponenta lahko prispeva k zmanjšanju zgodnjega opuščanja šolanja s spodbujanjem šolskega svetovanja in svetovalnega sistema na nižji sekundarni ravni ter k izboljšanju vključevanja romskih otrok z omejevanj</w:t>
      </w:r>
      <w:r>
        <w:rPr>
          <w:rFonts w:ascii="Times New Roman" w:hAnsi="Times New Roman"/>
          <w:noProof/>
          <w:sz w:val="24"/>
        </w:rPr>
        <w:t>em segregacije v šolah. Komponenta odpravlja pomanjkljivosti v rezultatih izobraževanja zaradi pandemije in otrokom s posebnimi izobraževalnimi potrebami pomaga z bolj ciljno usmerjenimi podpornimi ukrepi.</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Pričakuje se, da noben ukrep v tej komponenti ne bo znatno škodoval okoljskim ciljem v smislu člena 17 Uredbe (EU) 2020/852, ob upoštevanju opisa ukrepov in ukrepov za ublažitev, določenih v načrtu za okrevanje in odpornost v skladu s tehničnimi smernicami</w:t>
      </w:r>
      <w:r>
        <w:rPr>
          <w:rFonts w:ascii="Times New Roman" w:hAnsi="Times New Roman"/>
          <w:noProof/>
          <w:sz w:val="24"/>
          <w:szCs w:val="24"/>
        </w:rPr>
        <w:t xml:space="preserve"> za uporabo načela, da se ne škoduje bistveno (2021/C58/01).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Komponenta prispeva k obravnavanju priporočil za posamezno državo, naslovljenih na Slovaško v zadnjih dveh letih, o potrebi po izboljšanju kakovosti in vključenosti izobraževanja na vseh ravneh</w:t>
      </w:r>
      <w:r>
        <w:rPr>
          <w:rFonts w:ascii="Times New Roman" w:hAnsi="Times New Roman"/>
          <w:noProof/>
          <w:sz w:val="24"/>
        </w:rPr>
        <w:t xml:space="preserve"> ter spodbujanju znanj in spretnosti.</w:t>
      </w:r>
      <w:r>
        <w:rPr>
          <w:rFonts w:ascii="Times New Roman" w:hAnsi="Times New Roman"/>
          <w:iCs/>
          <w:noProof/>
          <w:sz w:val="24"/>
        </w:rPr>
        <w:t xml:space="preserve"> </w:t>
      </w:r>
      <w:r>
        <w:rPr>
          <w:rFonts w:ascii="Times New Roman" w:hAnsi="Times New Roman"/>
          <w:i/>
          <w:iCs/>
          <w:noProof/>
          <w:sz w:val="24"/>
        </w:rPr>
        <w:t xml:space="preserve">izboljšala dostop do cenovno dostopnega in kakovostnega otroškega varstva ter dolgotrajne oskrbe; spodbujala vključevanje prikrajšanih skupin, zlasti Romov; </w:t>
      </w:r>
      <w:r>
        <w:rPr>
          <w:rFonts w:ascii="Times New Roman" w:hAnsi="Times New Roman"/>
          <w:noProof/>
          <w:sz w:val="24"/>
        </w:rPr>
        <w:t>(Priporočilo za posamezno državo št. 2 iz leta 2019).</w:t>
      </w:r>
    </w:p>
    <w:p w:rsidR="009B5602" w:rsidRDefault="00886830">
      <w:pPr>
        <w:spacing w:before="120" w:after="120" w:line="240" w:lineRule="auto"/>
        <w:jc w:val="both"/>
        <w:rPr>
          <w:rFonts w:ascii="Times New Roman" w:hAnsi="Times New Roman"/>
          <w:b/>
          <w:i/>
          <w:noProof/>
          <w:sz w:val="24"/>
        </w:rPr>
      </w:pPr>
      <w:r>
        <w:rPr>
          <w:rFonts w:ascii="Times New Roman" w:hAnsi="Times New Roman"/>
          <w:b/>
          <w:noProof/>
          <w:sz w:val="24"/>
          <w:u w:val="single"/>
        </w:rPr>
        <w:t xml:space="preserve">A.1 </w:t>
      </w:r>
      <w:r>
        <w:rPr>
          <w:rFonts w:ascii="Times New Roman" w:hAnsi="Times New Roman"/>
          <w:b/>
          <w:noProof/>
          <w:sz w:val="24"/>
          <w:u w:val="single"/>
        </w:rPr>
        <w:tab/>
        <w:t>Op</w:t>
      </w:r>
      <w:r>
        <w:rPr>
          <w:rFonts w:ascii="Times New Roman" w:hAnsi="Times New Roman"/>
          <w:b/>
          <w:noProof/>
          <w:sz w:val="24"/>
          <w:u w:val="single"/>
        </w:rPr>
        <w:t>is reform in naložb za nepovratno finančno podporo</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Reforma 1: Zagotavljanje pogojev za izvajanje obveznega predšolskega izobraževanja za otroke od petega leta starosti dalje in uvedba zakonske pravice do mesta v vrtcu ali drugih izvajalcih predšolskega izo</w:t>
      </w:r>
      <w:r>
        <w:rPr>
          <w:rFonts w:ascii="Times New Roman" w:hAnsi="Times New Roman"/>
          <w:b/>
          <w:noProof/>
          <w:sz w:val="24"/>
        </w:rPr>
        <w:t xml:space="preserve">braževanja od tretjega leta starosti dalje </w:t>
      </w:r>
      <w:r>
        <w:rPr>
          <w:rFonts w:ascii="Times New Roman" w:hAnsi="Times New Roman"/>
          <w:noProof/>
          <w:sz w:val="24"/>
        </w:rPr>
        <w:t>Z reformo se uvedejo spremembe ustreznih zakonskih določb, ki uvajajo zakonsko pravico, da se otrokom, starim tri leta, dovoli vstop v vrtec ali drugo ustanovo, ki zagotavlja predšolsko vzgojo. Reforma naj bi spre</w:t>
      </w:r>
      <w:r>
        <w:rPr>
          <w:rFonts w:ascii="Times New Roman" w:hAnsi="Times New Roman"/>
          <w:noProof/>
          <w:sz w:val="24"/>
        </w:rPr>
        <w:t>menila predpisano financiranje vrtcev na podlagi dejanskih stroškov osebja in operativnih stroškov zadevnega instrumenta. Pedagoško osebje in specializirano osebje morajo v učnem programu za predšolsko in predšolsko izobraževanje izpopolniti znanja in spre</w:t>
      </w:r>
      <w:r>
        <w:rPr>
          <w:rFonts w:ascii="Times New Roman" w:hAnsi="Times New Roman"/>
          <w:noProof/>
          <w:sz w:val="24"/>
        </w:rPr>
        <w:t>tnosti v visokošolskem izobraževanju. Reforma vključuje tudi ukrepe za povečanje zmogljivosti vrtcev, da se vsakemu otroku v starosti od treh let do 1. septembra 2025 dovoli udeležba v predšolskem izobraževanju.  Cilj je zagotoviti vsaj 12 352 mest v objek</w:t>
      </w:r>
      <w:r>
        <w:rPr>
          <w:rFonts w:ascii="Times New Roman" w:hAnsi="Times New Roman"/>
          <w:noProof/>
          <w:sz w:val="24"/>
        </w:rPr>
        <w:t>tih in pri tem v povprečju doseči vsaj 30 % prihrankov primarne energije v prenovljenih prostorih.</w:t>
      </w:r>
    </w:p>
    <w:p w:rsidR="009B5602" w:rsidRDefault="00886830">
      <w:pPr>
        <w:tabs>
          <w:tab w:val="left" w:pos="993"/>
        </w:tabs>
        <w:spacing w:before="120" w:after="120" w:line="240" w:lineRule="auto"/>
        <w:jc w:val="both"/>
        <w:rPr>
          <w:rFonts w:ascii="Times New Roman" w:hAnsi="Times New Roman"/>
          <w:noProof/>
          <w:sz w:val="24"/>
        </w:rPr>
      </w:pPr>
      <w:r>
        <w:rPr>
          <w:rFonts w:ascii="Times New Roman" w:hAnsi="Times New Roman"/>
          <w:noProof/>
          <w:sz w:val="24"/>
        </w:rPr>
        <w:t>Reforma se izvede do 31. decembra 2025.</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Reforma 2: Opredelitev pojma posebnih izobraževalnih potreb otrok in učencev ter razvoj modela za upravičene podporne</w:t>
      </w:r>
      <w:r>
        <w:rPr>
          <w:rFonts w:ascii="Times New Roman" w:hAnsi="Times New Roman"/>
          <w:b/>
          <w:noProof/>
          <w:sz w:val="24"/>
        </w:rPr>
        <w:t xml:space="preserve"> ukrepe v izobraževanju, vključno z njihovim sistemom financiranja</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Z reformo se spremeni opredelitev posebnih izobraževalnih potreb učencev z novo opredelitvijo otroka ali učenca, ki se sooča z ovirami pri dostopu do izobraževanja, izobraževanja in učenja</w:t>
      </w:r>
      <w:r>
        <w:rPr>
          <w:rFonts w:ascii="Times New Roman" w:hAnsi="Times New Roman"/>
          <w:noProof/>
          <w:sz w:val="24"/>
        </w:rPr>
        <w:t xml:space="preserve"> ter potrebuje zagotavljanje in uporabo podpornih ukrepov za izpolnitev svojega izobraževalnega potenciala. Vertikalni model podpore se oblikuje z uvedbo novih upravičenih podpornih ukrepov za vse otroke. Za izvajanje reforme se učiteljem zagotovi učno in </w:t>
      </w:r>
      <w:r>
        <w:rPr>
          <w:rFonts w:ascii="Times New Roman" w:hAnsi="Times New Roman"/>
          <w:noProof/>
          <w:sz w:val="24"/>
        </w:rPr>
        <w:t>metodološko gradivo prek programov nadaljnjega usposabljanja. Na usposabljanjih in drugih informacijskih dejavnostih v okviru te reforme bo sodelovalo 10 000 učiteljev in strokovnega osebja.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se izvede do 31. decembra 2025.</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Reforma 3: Reforma sistem</w:t>
      </w:r>
      <w:r>
        <w:rPr>
          <w:rFonts w:ascii="Times New Roman" w:hAnsi="Times New Roman"/>
          <w:b/>
          <w:noProof/>
          <w:sz w:val="24"/>
        </w:rPr>
        <w:t xml:space="preserve">a svetovanja in preprečevanja ter zagotavljanje sistematičnega zbiranja podatkov na področju spodbujanja duševnega zdravja za otroke, učence in študente. </w:t>
      </w:r>
      <w:r>
        <w:rPr>
          <w:rFonts w:ascii="Times New Roman" w:hAnsi="Times New Roman"/>
          <w:noProof/>
          <w:sz w:val="24"/>
        </w:rPr>
        <w:t xml:space="preserve">Cilj reforme je preusmeriti novoustanovljene svetovalne in preventivne centre, da bodo delovali bliže </w:t>
      </w:r>
      <w:r>
        <w:rPr>
          <w:rFonts w:ascii="Times New Roman" w:hAnsi="Times New Roman"/>
          <w:noProof/>
          <w:sz w:val="24"/>
        </w:rPr>
        <w:t>šolam. S spremembo ustreznih pravnih aktov ti centri zagotavljajo poklicne dejavnosti, ne da bi opredelili zdravstveno prikrajšanost, kot je trenutno, kar povzroča diskriminacijo. Spremembo v svetovalnem sistemu spremljajo nadaljnji podporni ukrepi, kot so</w:t>
      </w:r>
      <w:r>
        <w:rPr>
          <w:rFonts w:ascii="Times New Roman" w:hAnsi="Times New Roman"/>
          <w:noProof/>
          <w:sz w:val="24"/>
        </w:rPr>
        <w:t>: sprememba v financiranju ustanavljanja na podlagi poklicnih dejavnosti.</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se izvede do 31. marca 2023.</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 xml:space="preserve">Reforma 4: Izvajanje orodij za preprečevanje zgodnjega opuščanja šolanja in prilagoditev študijskega programa tipa F. </w:t>
      </w:r>
      <w:r>
        <w:rPr>
          <w:rFonts w:ascii="Times New Roman" w:hAnsi="Times New Roman"/>
          <w:noProof/>
          <w:sz w:val="24"/>
        </w:rPr>
        <w:t>Reforma vključuje spremembe</w:t>
      </w:r>
      <w:r>
        <w:rPr>
          <w:rFonts w:ascii="Times New Roman" w:hAnsi="Times New Roman"/>
          <w:noProof/>
          <w:sz w:val="24"/>
        </w:rPr>
        <w:t xml:space="preserve"> ustreznih zakonodajnih določb, katerih cilj je povečati možnost mladih, da brez dokončanja nižje srednješolske izobrazbe dosežejo višjo stopnjo izobrazbe, tako da se zagotovi možnost dokončanja nižje srednješolske izobrazbe v srednjih poklicnih šolah (NSO</w:t>
      </w:r>
      <w:r>
        <w:rPr>
          <w:rFonts w:ascii="Times New Roman" w:hAnsi="Times New Roman"/>
          <w:noProof/>
          <w:sz w:val="24"/>
        </w:rPr>
        <w:t>V) v dvo- in triletnem kombiniranem programu. Z zakonodajnimi spremembami se optimizirajo tudi študijski programi tipa F, tako da se obveznost določitve načrtov uspešnosti srednjih šol razširi na nižje discipline srednjega poklicnega izobraževanja.  Vsebin</w:t>
      </w:r>
      <w:r>
        <w:rPr>
          <w:rFonts w:ascii="Times New Roman" w:hAnsi="Times New Roman"/>
          <w:noProof/>
          <w:sz w:val="24"/>
        </w:rPr>
        <w:t>a študijskih programov tipa F se nato prilagodi na podlagi ponudbe trga dela. Pričakuje se, da se bo do 30. junija 2025 vsaj 30 % nižjih srednjih poklicnih šol (NSOV) uskladilo s ponudbo trga dela.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Izvajanje reforme naj bi se začelo do 31. marca 2023 in ko</w:t>
      </w:r>
      <w:r>
        <w:rPr>
          <w:rFonts w:ascii="Times New Roman" w:hAnsi="Times New Roman"/>
          <w:noProof/>
          <w:sz w:val="24"/>
        </w:rPr>
        <w:t>nčalo do 30. junija 2025.</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Reforma 5: Spodbujanje odprave segregacije v šolah</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Glavni cilj reforme je uvesti pravno opredelitev segregacije, ki naj bi se uporabljala na vseh šolah na Slovaškem. Odprava segregacije v šolah se izvaja z razvojem metodoloških s</w:t>
      </w:r>
      <w:r>
        <w:rPr>
          <w:rFonts w:ascii="Times New Roman" w:hAnsi="Times New Roman"/>
          <w:noProof/>
          <w:sz w:val="24"/>
        </w:rPr>
        <w:t xml:space="preserve">mernic za različne izobraževalne akterje (kot so ustvarjalci, šole in šolske ustanove, direktorji in učitelji) za preprečevanje in odpravo ločenega izobraževanja. Sprejeta metodologija se uporablja v vsaki šoli.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se izvede do 31. decembra 2025.</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Ref</w:t>
      </w:r>
      <w:r>
        <w:rPr>
          <w:rFonts w:ascii="Times New Roman" w:hAnsi="Times New Roman"/>
          <w:b/>
          <w:noProof/>
          <w:sz w:val="24"/>
        </w:rPr>
        <w:t>orma 6:</w:t>
      </w:r>
      <w:r>
        <w:rPr>
          <w:rFonts w:ascii="Times New Roman" w:hAnsi="Times New Roman"/>
          <w:b/>
          <w:i/>
          <w:noProof/>
          <w:sz w:val="24"/>
        </w:rPr>
        <w:t xml:space="preserve"> </w:t>
      </w:r>
      <w:r>
        <w:rPr>
          <w:rFonts w:ascii="Times New Roman" w:hAnsi="Times New Roman"/>
          <w:b/>
          <w:noProof/>
          <w:sz w:val="24"/>
        </w:rPr>
        <w:t xml:space="preserve">Kompenzacijski ukrepi za ublažitev posledic pandemije v izobraževanju za osnovnošolce in srednješolce. </w:t>
      </w:r>
      <w:r>
        <w:rPr>
          <w:rFonts w:ascii="Times New Roman" w:hAnsi="Times New Roman"/>
          <w:noProof/>
          <w:sz w:val="24"/>
        </w:rPr>
        <w:t>Reforma uvaja program poučevanja predvsem za učence, pri katerih obstaja tveganje neuspeha pri šolskih izpitih zaradi omejenih možnosti za sodelo</w:t>
      </w:r>
      <w:r>
        <w:rPr>
          <w:rFonts w:ascii="Times New Roman" w:hAnsi="Times New Roman"/>
          <w:noProof/>
          <w:sz w:val="24"/>
        </w:rPr>
        <w:t xml:space="preserve">vanje v izobraževanju med pandemijo. Osredotoča se zlasti na teme s tako imenovanih „glavnih izobraževalnih področij“. Šola zagotovi izbor učencev, pri katerih obstaja tveganje šolskega neuspeha, in komunikacijo s pravnimi zastopniki učencev.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Za reševanje</w:t>
      </w:r>
      <w:r>
        <w:rPr>
          <w:rFonts w:ascii="Times New Roman" w:hAnsi="Times New Roman"/>
          <w:noProof/>
          <w:sz w:val="24"/>
        </w:rPr>
        <w:t xml:space="preserve"> problema pomanjkanja izčrpnih podatkov o poteku učenja na daljavo ministrstvo za izobraževanje objavi razpis za izvedbo obsežnih pedagoških raziskav, da se analizira vpliv pandemije na izobraževanje in njene posledice za izobraževalne politike.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Izvajanje </w:t>
      </w:r>
      <w:r>
        <w:rPr>
          <w:rFonts w:ascii="Times New Roman" w:hAnsi="Times New Roman"/>
          <w:noProof/>
          <w:sz w:val="24"/>
        </w:rPr>
        <w:t>reforme naj bi se začelo do 30. septembra 2021 in končalo do 31. decembra 2024.</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 xml:space="preserve">Naložba 1: Odprava ovir v šolskih stavbah. </w:t>
      </w:r>
      <w:r>
        <w:rPr>
          <w:rFonts w:ascii="Times New Roman" w:hAnsi="Times New Roman"/>
          <w:noProof/>
          <w:sz w:val="24"/>
        </w:rPr>
        <w:t>Cilj je odpraviti fizične, informacijske in tehnološke ovire v šoli v 252 velikih srednjih šolah, da bi prikrajšanim otrokom omogočili izobraževanje v prijetnem okolju. Pred naložbo se izvede: 1) kompleksna analiza za kartiranje potreb po odpravi ovir in z</w:t>
      </w:r>
      <w:r>
        <w:rPr>
          <w:rFonts w:ascii="Times New Roman" w:hAnsi="Times New Roman"/>
          <w:noProof/>
          <w:sz w:val="24"/>
        </w:rPr>
        <w:t xml:space="preserve">agotovitev priročnika. V priročniku so opredeljeni standardi za odpravo ovir za zadovoljevanje dejanskih potreb otrok, učencev in študentov, ki so zdravstveno prikrajšani, ter za spoštovanje načel univerzalnega oblikovanja.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naj bi se začela izvaja</w:t>
      </w:r>
      <w:r>
        <w:rPr>
          <w:rFonts w:ascii="Times New Roman" w:hAnsi="Times New Roman"/>
          <w:noProof/>
          <w:sz w:val="24"/>
        </w:rPr>
        <w:t>ti do 31. marca 2022 in bo zaključena do 30. junija 2025.</w:t>
      </w:r>
    </w:p>
    <w:p w:rsidR="009B5602" w:rsidRDefault="009B5602">
      <w:pPr>
        <w:tabs>
          <w:tab w:val="left" w:pos="993"/>
        </w:tabs>
        <w:spacing w:before="120" w:after="120" w:line="240" w:lineRule="auto"/>
        <w:ind w:hanging="142"/>
        <w:jc w:val="both"/>
        <w:rPr>
          <w:rFonts w:ascii="Times New Roman" w:hAnsi="Times New Roman"/>
          <w:noProof/>
          <w:sz w:val="24"/>
        </w:rPr>
      </w:pPr>
    </w:p>
    <w:p w:rsidR="009B5602" w:rsidRDefault="009B5602">
      <w:pPr>
        <w:tabs>
          <w:tab w:val="left" w:pos="993"/>
        </w:tabs>
        <w:spacing w:before="120" w:after="120" w:line="240" w:lineRule="auto"/>
        <w:ind w:left="426" w:right="-143" w:hanging="142"/>
        <w:jc w:val="both"/>
        <w:rPr>
          <w:rFonts w:ascii="Times New Roman" w:hAnsi="Times New Roman"/>
          <w:noProof/>
          <w:sz w:val="24"/>
        </w:rPr>
      </w:pPr>
    </w:p>
    <w:p w:rsidR="009B5602" w:rsidRDefault="009B5602">
      <w:pPr>
        <w:tabs>
          <w:tab w:val="left" w:pos="993"/>
        </w:tabs>
        <w:spacing w:before="120" w:after="120" w:line="240" w:lineRule="auto"/>
        <w:jc w:val="both"/>
        <w:rPr>
          <w:rFonts w:ascii="Times New Roman" w:hAnsi="Times New Roman"/>
          <w:b/>
          <w:noProof/>
          <w:sz w:val="24"/>
          <w:u w:val="single"/>
        </w:rPr>
        <w:sectPr w:rsidR="009B5602">
          <w:headerReference w:type="even" r:id="rId78"/>
          <w:headerReference w:type="default" r:id="rId79"/>
          <w:footerReference w:type="even" r:id="rId80"/>
          <w:footerReference w:type="default" r:id="rId81"/>
          <w:headerReference w:type="first" r:id="rId82"/>
          <w:footerReference w:type="first" r:id="rId83"/>
          <w:pgSz w:w="11907" w:h="16839"/>
          <w:pgMar w:top="1134" w:right="1418" w:bottom="1134" w:left="1418" w:header="709" w:footer="709" w:gutter="0"/>
          <w:cols w:space="720"/>
          <w:docGrid w:linePitch="360"/>
        </w:sectPr>
      </w:pPr>
    </w:p>
    <w:p w:rsidR="009B5602" w:rsidRDefault="00886830">
      <w:pPr>
        <w:tabs>
          <w:tab w:val="left" w:pos="993"/>
        </w:tabs>
        <w:spacing w:before="120" w:after="120" w:line="240" w:lineRule="auto"/>
        <w:ind w:right="-285" w:hanging="142"/>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Mejniki, cilji, kazalniki in časovni razpored za spremljanje in izvajanje nepovratne finančne podpore</w:t>
      </w:r>
    </w:p>
    <w:p w:rsidR="009B5602" w:rsidRDefault="009B5602">
      <w:pPr>
        <w:tabs>
          <w:tab w:val="left" w:pos="993"/>
        </w:tabs>
        <w:spacing w:before="120" w:after="120" w:line="240" w:lineRule="auto"/>
        <w:jc w:val="both"/>
        <w:rPr>
          <w:rFonts w:ascii="Times New Roman" w:hAnsi="Times New Roman"/>
          <w:b/>
          <w:noProof/>
          <w:sz w:val="24"/>
          <w:szCs w:val="24"/>
          <w:u w:val="single"/>
        </w:rPr>
      </w:pPr>
    </w:p>
    <w:tbl>
      <w:tblPr>
        <w:tblW w:w="14567" w:type="dxa"/>
        <w:tblLayout w:type="fixed"/>
        <w:tblLook w:val="04A0" w:firstRow="1" w:lastRow="0" w:firstColumn="1" w:lastColumn="0" w:noHBand="0" w:noVBand="1"/>
      </w:tblPr>
      <w:tblGrid>
        <w:gridCol w:w="650"/>
        <w:gridCol w:w="1540"/>
        <w:gridCol w:w="1179"/>
        <w:gridCol w:w="1265"/>
        <w:gridCol w:w="861"/>
        <w:gridCol w:w="1417"/>
        <w:gridCol w:w="1276"/>
        <w:gridCol w:w="851"/>
        <w:gridCol w:w="992"/>
        <w:gridCol w:w="709"/>
        <w:gridCol w:w="3811"/>
        <w:gridCol w:w="16"/>
      </w:tblGrid>
      <w:tr w:rsidR="009B5602">
        <w:trPr>
          <w:gridAfter w:val="1"/>
          <w:wAfter w:w="16" w:type="dxa"/>
          <w:trHeight w:val="765"/>
        </w:trPr>
        <w:tc>
          <w:tcPr>
            <w:tcW w:w="650"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Zap. št.</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540"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Povezani ukrep </w:t>
            </w:r>
            <w:r>
              <w:rPr>
                <w:rFonts w:ascii="Times New Roman" w:hAnsi="Times New Roman"/>
                <w:b/>
                <w:bCs/>
                <w:noProof/>
                <w:sz w:val="20"/>
                <w:szCs w:val="20"/>
              </w:rPr>
              <w:t>(reforma ali naložba)</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179"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Mejnik/cilj</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265"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Ime</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861"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Kvalitativni kazalniki</w:t>
            </w:r>
            <w:r>
              <w:rPr>
                <w:rFonts w:ascii="Times New Roman" w:hAnsi="Times New Roman"/>
                <w:noProof/>
                <w:sz w:val="20"/>
                <w:szCs w:val="20"/>
              </w:rPr>
              <w:t xml:space="preserve">  </w:t>
            </w:r>
            <w:r>
              <w:rPr>
                <w:rFonts w:ascii="Times New Roman" w:hAnsi="Times New Roman"/>
                <w:b/>
                <w:bCs/>
                <w:noProof/>
                <w:sz w:val="20"/>
                <w:szCs w:val="20"/>
              </w:rPr>
              <w:t xml:space="preserve"> (za mejnike)</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3544"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Kvantitativni kazalniki</w:t>
            </w:r>
            <w:r>
              <w:rPr>
                <w:rFonts w:ascii="Times New Roman" w:hAnsi="Times New Roman"/>
                <w:noProof/>
                <w:sz w:val="20"/>
                <w:szCs w:val="20"/>
              </w:rPr>
              <w:t xml:space="preserve">  </w:t>
            </w:r>
            <w:r>
              <w:rPr>
                <w:rFonts w:ascii="Times New Roman" w:hAnsi="Times New Roman"/>
                <w:b/>
                <w:bCs/>
                <w:noProof/>
                <w:sz w:val="20"/>
                <w:szCs w:val="20"/>
              </w:rPr>
              <w:t xml:space="preserve"> (za cilje)</w:t>
            </w:r>
          </w:p>
        </w:tc>
        <w:tc>
          <w:tcPr>
            <w:tcW w:w="1701" w:type="dxa"/>
            <w:gridSpan w:val="2"/>
            <w:tcBorders>
              <w:top w:val="single" w:sz="8" w:space="0" w:color="auto"/>
              <w:left w:val="nil"/>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Okvirni časovni razpored za dokončanje </w:t>
            </w:r>
          </w:p>
        </w:tc>
        <w:tc>
          <w:tcPr>
            <w:tcW w:w="3811" w:type="dxa"/>
            <w:vMerge w:val="restart"/>
            <w:tcBorders>
              <w:top w:val="single" w:sz="8" w:space="0" w:color="auto"/>
              <w:left w:val="nil"/>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Opis in jasna opredelitev vsakega mejnika in cilja</w:t>
            </w:r>
          </w:p>
          <w:p w:rsidR="009B5602" w:rsidRDefault="00886830">
            <w:pPr>
              <w:rPr>
                <w:rFonts w:ascii="Times New Roman" w:hAnsi="Times New Roman"/>
                <w:noProof/>
                <w:sz w:val="20"/>
                <w:szCs w:val="20"/>
              </w:rPr>
            </w:pPr>
            <w:r>
              <w:rPr>
                <w:rFonts w:ascii="Times New Roman" w:hAnsi="Times New Roman"/>
                <w:noProof/>
                <w:sz w:val="20"/>
                <w:szCs w:val="20"/>
              </w:rPr>
              <w:t xml:space="preserve"> </w:t>
            </w:r>
          </w:p>
        </w:tc>
      </w:tr>
      <w:tr w:rsidR="009B5602">
        <w:trPr>
          <w:gridAfter w:val="1"/>
          <w:wAfter w:w="16" w:type="dxa"/>
          <w:trHeight w:val="705"/>
        </w:trPr>
        <w:tc>
          <w:tcPr>
            <w:tcW w:w="650"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lang w:val="en-US"/>
              </w:rPr>
            </w:pPr>
          </w:p>
        </w:tc>
        <w:tc>
          <w:tcPr>
            <w:tcW w:w="1540"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lang w:val="en-US"/>
              </w:rPr>
            </w:pPr>
          </w:p>
        </w:tc>
        <w:tc>
          <w:tcPr>
            <w:tcW w:w="1179"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lang w:val="en-US"/>
              </w:rPr>
            </w:pPr>
          </w:p>
        </w:tc>
        <w:tc>
          <w:tcPr>
            <w:tcW w:w="1265"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lang w:val="en-US"/>
              </w:rPr>
            </w:pPr>
          </w:p>
        </w:tc>
        <w:tc>
          <w:tcPr>
            <w:tcW w:w="861"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lang w:val="en-US"/>
              </w:rPr>
            </w:pPr>
          </w:p>
        </w:tc>
        <w:tc>
          <w:tcPr>
            <w:tcW w:w="1417" w:type="dxa"/>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Merska enota</w:t>
            </w:r>
          </w:p>
        </w:tc>
        <w:tc>
          <w:tcPr>
            <w:tcW w:w="1276" w:type="dxa"/>
            <w:tcBorders>
              <w:top w:val="nil"/>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Ozadje</w:t>
            </w:r>
          </w:p>
        </w:tc>
        <w:tc>
          <w:tcPr>
            <w:tcW w:w="851" w:type="dxa"/>
            <w:tcBorders>
              <w:top w:val="nil"/>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cilj</w:t>
            </w:r>
          </w:p>
        </w:tc>
        <w:tc>
          <w:tcPr>
            <w:tcW w:w="992" w:type="dxa"/>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Četrtletje</w:t>
            </w:r>
          </w:p>
        </w:tc>
        <w:tc>
          <w:tcPr>
            <w:tcW w:w="709" w:type="dxa"/>
            <w:tcBorders>
              <w:top w:val="nil"/>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Leto</w:t>
            </w:r>
          </w:p>
        </w:tc>
        <w:tc>
          <w:tcPr>
            <w:tcW w:w="3811" w:type="dxa"/>
            <w:vMerge/>
            <w:tcBorders>
              <w:left w:val="single" w:sz="8" w:space="0" w:color="auto"/>
              <w:bottom w:val="single" w:sz="8" w:space="0" w:color="auto"/>
              <w:right w:val="single" w:sz="8" w:space="0" w:color="auto"/>
            </w:tcBorders>
            <w:shd w:val="clear" w:color="auto" w:fill="BDD7EE"/>
            <w:vAlign w:val="center"/>
          </w:tcPr>
          <w:p w:rsidR="009B5602" w:rsidRDefault="009B5602">
            <w:pPr>
              <w:rPr>
                <w:rFonts w:ascii="Times New Roman" w:hAnsi="Times New Roman"/>
                <w:noProof/>
                <w:sz w:val="20"/>
                <w:szCs w:val="20"/>
                <w:lang w:val="en-US"/>
              </w:rPr>
            </w:pPr>
          </w:p>
        </w:tc>
      </w:tr>
      <w:tr w:rsidR="009B5602">
        <w:trPr>
          <w:gridAfter w:val="1"/>
          <w:wAfter w:w="16" w:type="dxa"/>
          <w:trHeight w:val="196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6 – Dostopnost, razvoj in kakovost vključujočega izobraževanja – Reforma 1: 1. Zagotavljanje pogojev za izvajanje obveznega predšolskega izobraževanja za otroke od petega leta starosti dalje in uvedba zakonske pravice d</w:t>
            </w:r>
            <w:r>
              <w:rPr>
                <w:rFonts w:ascii="Times New Roman" w:hAnsi="Times New Roman"/>
                <w:noProof/>
                <w:color w:val="006100"/>
                <w:sz w:val="20"/>
                <w:szCs w:val="20"/>
              </w:rPr>
              <w:t>o mesta v vrtcu ali drugih izvajalcih predšolskega izobraževanja od tretjega leta starosti dalje</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Uvedba pravnih sprememb obveznega predšolskega izobraževanja za otroke, stare pet let, in uvedba zakonske pravice do mesta v vrtcu ali drugih izvajalc</w:t>
            </w:r>
            <w:r>
              <w:rPr>
                <w:rFonts w:ascii="Times New Roman" w:hAnsi="Times New Roman"/>
                <w:noProof/>
                <w:color w:val="006100"/>
                <w:sz w:val="20"/>
                <w:szCs w:val="20"/>
              </w:rPr>
              <w:t>ih predšolskega izobraževanja od tretjega leta starosti dalje.</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Parlament je sprejel zakon št. 597/2003, zakon št. 596/2003, zakon št. 245/2008, zakon št. 138/2019, spremembo vladne uredbe št. 668/2004 zb., Uredbo vlade št. 630/2008 zb., spremembo odloka št</w:t>
            </w:r>
            <w:r>
              <w:rPr>
                <w:rFonts w:ascii="Times New Roman" w:hAnsi="Times New Roman"/>
                <w:noProof/>
                <w:color w:val="006100"/>
                <w:sz w:val="20"/>
                <w:szCs w:val="20"/>
              </w:rPr>
              <w:t>. 1/2020.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Ustrezne določbe Zakona št. 597/2003 o financiranju osnovnih šol, srednjih šol in šolskih ustanov, Zakona št. 596/2003 o državni upravi v izobraževanju in samoupravi šol ter o ponovni oceni formule iz vladne uredbe št. 668/2004 se s</w:t>
            </w:r>
            <w:r>
              <w:rPr>
                <w:rFonts w:ascii="Times New Roman" w:hAnsi="Times New Roman"/>
                <w:noProof/>
                <w:color w:val="006100"/>
                <w:sz w:val="20"/>
                <w:szCs w:val="20"/>
              </w:rPr>
              <w:t>premenijo, vključno s spremembo vladne uredbe št. 630/2008 zb. Učinkovitost zakonodajnih sprememb, uvedenih na dan 1.1.2023. Zakon št. 245/2008, uvaja univerzalno zakonsko pravico do mesta v vrtcu ali drugih izvajalcih predšolskega izobraževanja za otroke,</w:t>
            </w:r>
            <w:r>
              <w:rPr>
                <w:rFonts w:ascii="Times New Roman" w:hAnsi="Times New Roman"/>
                <w:noProof/>
                <w:color w:val="006100"/>
                <w:sz w:val="20"/>
                <w:szCs w:val="20"/>
              </w:rPr>
              <w:t xml:space="preserve"> starejše od štirih let in pozneje od treh let.</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Zakonodaja se sprejme do 31. decembra 2022 z učinkom od 1.1.2024 in 1.1.2025 ter zagotovi zadostna mesta v vrtcih ali drugih izvajalcih predšolskega izobraževanja za vse otroke od četrtega leta starosti (od s</w:t>
            </w:r>
            <w:r>
              <w:rPr>
                <w:rFonts w:ascii="Times New Roman" w:hAnsi="Times New Roman"/>
                <w:noProof/>
                <w:color w:val="006100"/>
                <w:sz w:val="20"/>
                <w:szCs w:val="20"/>
              </w:rPr>
              <w:t xml:space="preserve">eptembra 2024) in pozneje od tretjega leta starosti (od septembra 2025). </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Sprememba Zakona št. 138/2019 o pedagoških in poklicnih delavcih ter sprememba Uredbe št. 1/2020 zb. o zahtevah glede kvalifikacij za pedagoško osebje in specializirano osebje uvajat</w:t>
            </w:r>
            <w:r>
              <w:rPr>
                <w:rFonts w:ascii="Times New Roman" w:hAnsi="Times New Roman"/>
                <w:noProof/>
                <w:color w:val="006100"/>
                <w:sz w:val="20"/>
                <w:szCs w:val="20"/>
              </w:rPr>
              <w:t xml:space="preserve">a pogoj, da imajo pedagoško osebje v vrtcih ali drugi izvajalci predšolskega izobraževanja kot učitelji visokošolsko izobrazbo v učnem programu za predšolsko vzgojo in izobraževanje. </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Sprememba se sprejme najpozneje do 31. decembra 2022 z začetkom uporabe </w:t>
            </w:r>
            <w:r>
              <w:rPr>
                <w:rFonts w:ascii="Times New Roman" w:hAnsi="Times New Roman"/>
                <w:noProof/>
                <w:color w:val="006100"/>
                <w:sz w:val="20"/>
                <w:szCs w:val="20"/>
              </w:rPr>
              <w:t>od 1.1.2029. Učiteljem, ki imajo pedagoške izkušnje v vrtcu 10 let ali več, se prizna, da izpolnjujejo določeno zahtevo glede usposobljenosti. Za učitelje z manj kot desetletnimi delovnimi izkušnjami, vključno s prihodnjimi diplomanti polnega srednješolske</w:t>
            </w:r>
            <w:r>
              <w:rPr>
                <w:rFonts w:ascii="Times New Roman" w:hAnsi="Times New Roman"/>
                <w:noProof/>
                <w:color w:val="006100"/>
                <w:sz w:val="20"/>
                <w:szCs w:val="20"/>
              </w:rPr>
              <w:t>ga poklicnega izobraževanja, se določi pogoj za vključitev v ustrezni univerzitetni program do 1. januarja 2029.</w:t>
            </w:r>
          </w:p>
        </w:tc>
      </w:tr>
      <w:tr w:rsidR="009B5602">
        <w:trPr>
          <w:gridAfter w:val="1"/>
          <w:wAfter w:w="16" w:type="dxa"/>
          <w:trHeight w:val="45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6 – Dostopnost, razvoj in kakovost vključujočega izobraževanja – Reforma 1: 1. Zagotavljanje pogojev za izvajanje obveznega predšolskega </w:t>
            </w:r>
            <w:r>
              <w:rPr>
                <w:rFonts w:ascii="Times New Roman" w:hAnsi="Times New Roman"/>
                <w:noProof/>
                <w:color w:val="006100"/>
                <w:sz w:val="20"/>
                <w:szCs w:val="20"/>
              </w:rPr>
              <w:t>izobraževanja za otroke od petega leta starosti dalje in uvedba zakonske pravice do mesta v vrtcu ali drugih izvajalcih predšolskega izobraževanja od tretjega leta starosti dalje</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Stopnja vpisa v predšolske šole za otroke, stare pet let</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88</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95</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Q3</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 otroke, stare 5 let, je predšolska vzgoja obvezna. V skladu s spremembo zakona o šoli se šolajo predšolsko izobraževanje:(i) v vrtcu/posebnem vrtcu, vključenem v slovaško mrežo šol in šol, (ii) v individualnem izobraževanju, npr. na zahtevo pravneg</w:t>
            </w:r>
            <w:r>
              <w:rPr>
                <w:rFonts w:ascii="Times New Roman" w:hAnsi="Times New Roman"/>
                <w:noProof/>
                <w:color w:val="006100"/>
                <w:sz w:val="20"/>
                <w:szCs w:val="20"/>
              </w:rPr>
              <w:t>a zastopnika doma, ali (iii) na sedežu registriranega izvajalca predšolskega izobraževanja.</w:t>
            </w:r>
          </w:p>
        </w:tc>
      </w:tr>
      <w:tr w:rsidR="009B5602">
        <w:trPr>
          <w:gridAfter w:val="1"/>
          <w:wAfter w:w="16" w:type="dxa"/>
          <w:trHeight w:val="7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3</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6 – Dostopnost, razvoj in kakovost vključujočega izobraževanja – Reforma 1: 1. Zagotavljanje pogojev za izvajanje obveznega predšolskega izobraževanja za otroke </w:t>
            </w:r>
            <w:r>
              <w:rPr>
                <w:rFonts w:ascii="Times New Roman" w:hAnsi="Times New Roman"/>
                <w:noProof/>
                <w:color w:val="006100"/>
                <w:sz w:val="20"/>
                <w:szCs w:val="20"/>
              </w:rPr>
              <w:t>od petega leta starosti dalje in uvedba zakonske pravice do mesta v vrtcu ali drugih izvajalcih predšolskega izobraževanja od tretjega leta starosti dalje</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Število novozgrajenih zmogljivosti</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12 352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2025</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Z zaključkom sposobnosti vrtcev se ustvarijo pogoji za uveljavljanje zakonite pravice do predšolske vzgoje za otroke od štirih let dalje od treh let dalje. Cilj (12 352) je ocenjeno število novozgrajenih objektov.  </w:t>
            </w:r>
          </w:p>
          <w:p w:rsidR="009B5602" w:rsidRDefault="00886830">
            <w:pPr>
              <w:rPr>
                <w:rFonts w:ascii="Times New Roman" w:hAnsi="Times New Roman"/>
                <w:noProof/>
                <w:sz w:val="20"/>
                <w:szCs w:val="20"/>
              </w:rPr>
            </w:pPr>
            <w:r>
              <w:rPr>
                <w:rFonts w:ascii="Times New Roman" w:hAnsi="Times New Roman"/>
                <w:noProof/>
                <w:color w:val="006100"/>
                <w:sz w:val="20"/>
                <w:szCs w:val="20"/>
              </w:rPr>
              <w:t>Stavbe, ki se prenovijo, prispevajo k ze</w:t>
            </w:r>
            <w:r>
              <w:rPr>
                <w:rFonts w:ascii="Times New Roman" w:hAnsi="Times New Roman"/>
                <w:noProof/>
                <w:color w:val="006100"/>
                <w:sz w:val="20"/>
                <w:szCs w:val="20"/>
              </w:rPr>
              <w:t>lenemu prehodu z doseganjem vsaj 30-odstotnega prihranka primarne energije.</w:t>
            </w:r>
          </w:p>
        </w:tc>
      </w:tr>
      <w:tr w:rsidR="009B5602">
        <w:trPr>
          <w:gridAfter w:val="1"/>
          <w:wAfter w:w="16" w:type="dxa"/>
          <w:trHeight w:val="112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4</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6 – Dostopnost, razvoj in kakovost vključujočega izobraževanja – Reforma 2: Opredelitev koncepta posebnih izobraževalnih potreb otrok in učencev ter razvoj modela upravičenih </w:t>
            </w:r>
            <w:r>
              <w:rPr>
                <w:rFonts w:ascii="Times New Roman" w:hAnsi="Times New Roman"/>
                <w:noProof/>
                <w:color w:val="006100"/>
                <w:sz w:val="20"/>
                <w:szCs w:val="20"/>
              </w:rPr>
              <w:t>podpornih ukrepov na področju izobraževanja in izobraževanja, vključno z njihovim sistemom financiranja</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Sprejetje zakona o ponovni opredelitvi pojma posebnih izobraževalnih potreb in priprava spremljevalnega metodološkega gradiva za pedagoško osebje</w:t>
            </w:r>
            <w:r>
              <w:rPr>
                <w:rFonts w:ascii="Times New Roman" w:hAnsi="Times New Roman"/>
                <w:noProof/>
                <w:color w:val="006100"/>
                <w:sz w:val="20"/>
                <w:szCs w:val="20"/>
              </w:rPr>
              <w:t>, specializirano osebje in vodstvene delavce šol.</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Sprejetje spremembe Zakona št. 245/2008 zb., zakon št. 597/2003 zb.;</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Sprememba uredbe vlade št. 630/2008 in vladno sprejetje metodološkega gradiva o vertikalnem modelu podpornih ukrepov, didaktičnega in </w:t>
            </w:r>
            <w:r>
              <w:rPr>
                <w:rFonts w:ascii="Times New Roman" w:hAnsi="Times New Roman"/>
                <w:noProof/>
                <w:color w:val="006100"/>
                <w:sz w:val="20"/>
                <w:szCs w:val="20"/>
              </w:rPr>
              <w:t>metodološkega gradiva za poučevanje slovaščine kot drugega jezika ter uvedba podpore za otroke z različnimi maternimi jeziki v izobraževanju</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Sprememba Zakona št. 245/2008 o izobraževanju (skupaj z ločeno novo uredbo) in sprememba Zakona št. 5</w:t>
            </w:r>
            <w:r>
              <w:rPr>
                <w:rFonts w:ascii="Times New Roman" w:hAnsi="Times New Roman"/>
                <w:noProof/>
                <w:color w:val="006100"/>
                <w:sz w:val="20"/>
                <w:szCs w:val="20"/>
              </w:rPr>
              <w:t xml:space="preserve">97/2003 o financiranju osnovnih šol, srednjih šol in izobraževalnih ustanov opredeljujeta otroke in učence, ki se soočajo z ovirami pri dostopu do izobraževanja, ter njihovo upravičenost do podpore za izobraževanje s posebnimi podpornimi ukrepi. </w:t>
            </w:r>
          </w:p>
          <w:p w:rsidR="009B5602" w:rsidRPr="00886830" w:rsidRDefault="009B5602">
            <w:pPr>
              <w:jc w:val="both"/>
              <w:rPr>
                <w:rFonts w:ascii="Times New Roman" w:hAnsi="Times New Roman"/>
                <w:noProof/>
                <w:color w:val="006100"/>
                <w:sz w:val="20"/>
                <w:szCs w:val="20"/>
              </w:rPr>
            </w:pPr>
          </w:p>
          <w:p w:rsidR="009B5602" w:rsidRDefault="00886830">
            <w:pPr>
              <w:jc w:val="both"/>
              <w:rPr>
                <w:rFonts w:ascii="Times New Roman" w:hAnsi="Times New Roman"/>
                <w:noProof/>
                <w:color w:val="006100"/>
                <w:sz w:val="20"/>
                <w:szCs w:val="20"/>
              </w:rPr>
            </w:pPr>
            <w:r>
              <w:rPr>
                <w:rFonts w:ascii="Times New Roman" w:hAnsi="Times New Roman"/>
                <w:noProof/>
                <w:color w:val="006100"/>
                <w:sz w:val="20"/>
                <w:szCs w:val="20"/>
              </w:rPr>
              <w:t>Uredba s</w:t>
            </w:r>
            <w:r>
              <w:rPr>
                <w:rFonts w:ascii="Times New Roman" w:hAnsi="Times New Roman"/>
                <w:noProof/>
                <w:color w:val="006100"/>
                <w:sz w:val="20"/>
                <w:szCs w:val="20"/>
              </w:rPr>
              <w:t xml:space="preserve">lovaške vlade št. 630/2008 se prilagodi, pri čemer se pri izračunu normativnega prispevka s koeficienti upoštevajo različne posebnosti. </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Reforma zahteva pripravo spremnega metodološkega gradiva. Hkrati se za različne ravni jezikovnih kompetenc in različne </w:t>
            </w:r>
            <w:r>
              <w:rPr>
                <w:rFonts w:ascii="Times New Roman" w:hAnsi="Times New Roman"/>
                <w:noProof/>
                <w:color w:val="006100"/>
                <w:sz w:val="20"/>
                <w:szCs w:val="20"/>
              </w:rPr>
              <w:t>starostne skupine pripravijo metodološki listi za učitelje in delovni listi učencev, katerih namen je razvoj jezikovnih kompetenc otrok in učencev z drugačnim maternim jezikom kot šolski jezik poučevanja.</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Metodološko in didaktično gradivo se objavita na po</w:t>
            </w:r>
            <w:r>
              <w:rPr>
                <w:rFonts w:ascii="Times New Roman" w:hAnsi="Times New Roman"/>
                <w:noProof/>
                <w:color w:val="006100"/>
                <w:sz w:val="20"/>
                <w:szCs w:val="20"/>
              </w:rPr>
              <w:t>sebnem spletnem portalu in sta prosto dostopna vsem ustreznim izobraževalnim akterjem.</w:t>
            </w:r>
          </w:p>
        </w:tc>
      </w:tr>
      <w:tr w:rsidR="009B5602">
        <w:trPr>
          <w:gridAfter w:val="1"/>
          <w:wAfter w:w="16" w:type="dxa"/>
          <w:trHeight w:val="112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5</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6 – Dostopnost, razvoj in kakovost vključujočega izobraževanja – Reforma 2: Opredelitev koncepta posebnih izobraževalnih potreb otrok in učencev ter razvoj modela </w:t>
            </w:r>
            <w:r>
              <w:rPr>
                <w:rFonts w:ascii="Times New Roman" w:hAnsi="Times New Roman"/>
                <w:noProof/>
                <w:color w:val="006100"/>
                <w:sz w:val="20"/>
                <w:szCs w:val="20"/>
              </w:rPr>
              <w:t>upravičenih podpornih ukrepov na področju izobraževanja in izobraževanja, vključno z njihovim sistemom financiranja</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mejnik</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color w:val="006100"/>
                <w:sz w:val="20"/>
                <w:szCs w:val="20"/>
              </w:rPr>
            </w:pPr>
            <w:r>
              <w:rPr>
                <w:rFonts w:ascii="Times New Roman" w:hAnsi="Times New Roman"/>
                <w:noProof/>
                <w:color w:val="006100"/>
                <w:sz w:val="20"/>
                <w:szCs w:val="20"/>
              </w:rPr>
              <w:t>Začetek veljavnosti nove opredelitve pojma posebnih izobraževalnih potreb</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Začetek veljavnosti spremembe Zakona št. 245/2008 zb., </w:t>
            </w:r>
            <w:r>
              <w:rPr>
                <w:rFonts w:ascii="Times New Roman" w:hAnsi="Times New Roman"/>
                <w:noProof/>
                <w:color w:val="006100"/>
                <w:sz w:val="20"/>
                <w:szCs w:val="20"/>
              </w:rPr>
              <w:t>Zakon št. 597/2003 zb.;</w:t>
            </w:r>
          </w:p>
          <w:p w:rsidR="009B5602" w:rsidRPr="00886830" w:rsidRDefault="009B5602">
            <w:pPr>
              <w:jc w:val="both"/>
              <w:rPr>
                <w:rFonts w:ascii="Times New Roman" w:hAnsi="Times New Roman"/>
                <w:noProof/>
                <w:color w:val="006100"/>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Q1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2023</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Sprememba Zakona št. 245/2008 o izobraževanju (skupaj z ločeno novo uredbo) opredeljuje otroke in učence, ki se soočajo z ovirami pri dostopu do izobraževanja, ter njihovo upravičenost do podpore za izobraževanje prek</w:t>
            </w:r>
            <w:r>
              <w:rPr>
                <w:rFonts w:ascii="Times New Roman" w:hAnsi="Times New Roman"/>
                <w:noProof/>
                <w:color w:val="006100"/>
                <w:sz w:val="20"/>
                <w:szCs w:val="20"/>
              </w:rPr>
              <w:t xml:space="preserve"> posebnih podpornih ukrepov, začne veljati do 31. marca 2023.</w:t>
            </w:r>
          </w:p>
          <w:p w:rsidR="009B5602" w:rsidRPr="00886830" w:rsidRDefault="009B5602">
            <w:pPr>
              <w:jc w:val="both"/>
              <w:rPr>
                <w:rFonts w:ascii="Times New Roman" w:hAnsi="Times New Roman"/>
                <w:noProof/>
                <w:color w:val="006100"/>
                <w:sz w:val="20"/>
                <w:szCs w:val="20"/>
              </w:rPr>
            </w:pPr>
          </w:p>
        </w:tc>
      </w:tr>
      <w:tr w:rsidR="009B5602">
        <w:trPr>
          <w:gridAfter w:val="1"/>
          <w:wAfter w:w="16" w:type="dxa"/>
          <w:trHeight w:val="7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6</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6 – Dostopnost, razvoj in kakovost vključujočega izobraževanja – Reforma 2: Opredelitev koncepta posebnih izobraževalnih potreb otrok in učencev ter razvoj modela upravičenih podpornih </w:t>
            </w:r>
            <w:r>
              <w:rPr>
                <w:rFonts w:ascii="Times New Roman" w:hAnsi="Times New Roman"/>
                <w:noProof/>
                <w:color w:val="006100"/>
                <w:sz w:val="20"/>
                <w:szCs w:val="20"/>
              </w:rPr>
              <w:t>ukrepov na področju izobraževanja in izobraževanja, vključno z njihovim sistemom financiranja</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Število usposobljenih učiteljev in specializiranega osebja</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število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10 000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2025</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10000 učiteljev in specializiranega osebja, usposobljenih v okviru programov za strokovni razvoj, nadaljnje usposabljanje in dejavnosti informiranja, katerih cilj je predstavitev novega modela upravičenih ukrepov za podporo izobraževanju, ugotavljanje ravn</w:t>
            </w:r>
            <w:r>
              <w:rPr>
                <w:rFonts w:ascii="Times New Roman" w:hAnsi="Times New Roman"/>
                <w:noProof/>
                <w:color w:val="006100"/>
                <w:sz w:val="20"/>
                <w:szCs w:val="20"/>
              </w:rPr>
              <w:t xml:space="preserve">i jezikovnega znanja otrok in učencev ter zagotavljanje podpore otrokom in učencem z jezikovnimi ovirami pri dostopu do izobraževanja. </w:t>
            </w:r>
          </w:p>
        </w:tc>
      </w:tr>
      <w:tr w:rsidR="009B5602">
        <w:trPr>
          <w:gridAfter w:val="1"/>
          <w:wAfter w:w="16" w:type="dxa"/>
          <w:trHeight w:val="7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7</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6 – Dostopnost, razvoj in kakovost vključujočega izobraževanja– Reforma 3: Reforma sistema svetovanja in </w:t>
            </w:r>
            <w:r>
              <w:rPr>
                <w:rFonts w:ascii="Times New Roman" w:hAnsi="Times New Roman"/>
                <w:noProof/>
                <w:color w:val="006100"/>
                <w:sz w:val="20"/>
                <w:szCs w:val="20"/>
              </w:rPr>
              <w:t>preprečevanja ter zagotavljanje sistemskega zbiranja podatkov na področju spodbujanja duševnega zdravja za otroke, učence in študente</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Začetek veljavnosti zakonodaje, ki vzpostavlja celovit sistem svetovanja</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Začetek veljavnosti spremembe zakona št.</w:t>
            </w:r>
            <w:r>
              <w:rPr>
                <w:rFonts w:ascii="Times New Roman" w:hAnsi="Times New Roman"/>
                <w:noProof/>
                <w:color w:val="006100"/>
                <w:sz w:val="20"/>
                <w:szCs w:val="20"/>
              </w:rPr>
              <w:t xml:space="preserve"> 245/2008 zb. in ločenih uredb, verjetnih sprememb in uredbe vlade št. 630/2008 zb.</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2023</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Sprememba Zakona št. 245/2008 o izobraževanju in usposabljanju (skupaj z ločeno novo uredbo) nadomesti sedanji koncept svetovalnega sistema z medsebojno povez</w:t>
            </w:r>
            <w:r>
              <w:rPr>
                <w:rFonts w:ascii="Times New Roman" w:hAnsi="Times New Roman"/>
                <w:noProof/>
                <w:color w:val="006100"/>
                <w:sz w:val="20"/>
                <w:szCs w:val="20"/>
              </w:rPr>
              <w:t>anim sistemom, ki se osredotoča na dostopnost, kompleksnost in skladnost s standardi vsebine in učinkovitosti.</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Celovit sistem svetovanja in preventive sestavljajo novoustanovljeni centri za svetovanje in preventivo (CPP), ki zagotavljajo poklicne </w:t>
            </w:r>
            <w:r>
              <w:rPr>
                <w:rFonts w:ascii="Times New Roman" w:hAnsi="Times New Roman"/>
                <w:noProof/>
                <w:color w:val="006100"/>
                <w:sz w:val="20"/>
                <w:szCs w:val="20"/>
              </w:rPr>
              <w:t>dejavnosti, ne da bi se pri tem osredotočili na ciljne skupine glede na zdravstveno prikrajšanost, tj. tako, da možnost obiska centra za svetovanje in preventivo ni določena na podlagi zdravstvene prikrajšanosti otroka. Strokovne dejavnosti se izvajajo v t</w:t>
            </w:r>
            <w:r>
              <w:rPr>
                <w:rFonts w:ascii="Times New Roman" w:hAnsi="Times New Roman"/>
                <w:noProof/>
                <w:color w:val="006100"/>
                <w:sz w:val="20"/>
                <w:szCs w:val="20"/>
              </w:rPr>
              <w:t>esnem sodelovanju med podpornimi ekipami v šolah in šolah, vključno z multidisciplinarno skupino.</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To ustvarja pogoje za intenzivno, pravočasno in visokokakovostno podporo, pomoč in posredovanje za otroke, učence, študente, pravne zastopnike, institucionaln</w:t>
            </w:r>
            <w:r>
              <w:rPr>
                <w:rFonts w:ascii="Times New Roman" w:hAnsi="Times New Roman"/>
                <w:noProof/>
                <w:color w:val="006100"/>
                <w:sz w:val="20"/>
                <w:szCs w:val="20"/>
              </w:rPr>
              <w:t>e predstavnike in druge sogovornike. Sprememba financiranja vključuje določitev prispevka na podlagi izvedenih poklicnih dejavnosti. V okviru spremembe financiranja bo morda treba spremeniti tudi Uredbo vlade št. 630/2008 o podrobnostih razčlenitve sredste</w:t>
            </w:r>
            <w:r>
              <w:rPr>
                <w:rFonts w:ascii="Times New Roman" w:hAnsi="Times New Roman"/>
                <w:noProof/>
                <w:color w:val="006100"/>
                <w:sz w:val="20"/>
                <w:szCs w:val="20"/>
              </w:rPr>
              <w:t>v iz državnega proračuna za šole in izobraževalne ustanove.</w:t>
            </w:r>
          </w:p>
        </w:tc>
      </w:tr>
      <w:tr w:rsidR="009B5602">
        <w:trPr>
          <w:gridAfter w:val="1"/>
          <w:wAfter w:w="16" w:type="dxa"/>
          <w:trHeight w:val="396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8</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6 – Dostopnost, razvoj in kakovost vključujočega izobraževanja – Reforma 4: Izvajanje orodij za preprečevanje zgodnjega opuščanja šolanja in prilagoditev študijskih programov tipa F</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Začetek veljavnosti zakonodajnih sprememb, katerih cilj je: • Začetek veljavnosti zakonodajnih sprememb, katerih cilj je: • razširitev možnosti za pridobitev nižje srednješolskega izobraževanja v nižjem sekundarnem poklicnem izobraževanju (VET) optimizacij</w:t>
            </w:r>
            <w:r>
              <w:rPr>
                <w:rFonts w:ascii="Times New Roman" w:hAnsi="Times New Roman"/>
                <w:noProof/>
                <w:color w:val="006100"/>
                <w:sz w:val="20"/>
                <w:szCs w:val="20"/>
              </w:rPr>
              <w:t>a programov NSOV v odziv na potrebe trga dela in ponudba programov NSOV glede na izobraževalne potrebe ciljne skupine učencev</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Začetek veljavnosti spremembe Zakona št. 245/2008, zakona št. 61/2015 in spremembe odloka št. 292/2019.Z. z.</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2023</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Sprememba Zakona št. 245/2008 o izobraževanju in usposabljanju (Zakon o šoli) predvideva možnost dokončanja nižjega sekundarnega izobraževanja v nižjem sekundarnem poklicnem izobraževanju v dvo- in triletnem kombiniranem programu (odvisno od leta, v katere</w:t>
            </w:r>
            <w:r>
              <w:rPr>
                <w:rFonts w:ascii="Times New Roman" w:hAnsi="Times New Roman"/>
                <w:noProof/>
                <w:color w:val="006100"/>
                <w:sz w:val="20"/>
                <w:szCs w:val="20"/>
              </w:rPr>
              <w:t>m je učenec zaključil osnovno šolo) s komitološkim izpitom. Cilj je odpraviti t. i. „smrtne cilje“ v izobraževalnem sistemu in učencem iz NSOV omogočiti, da zaključijo nižje sekundarno izobraževanje v okviru enega učinkovitejšega programa. Sistem je bolj z</w:t>
            </w:r>
            <w:r>
              <w:rPr>
                <w:rFonts w:ascii="Times New Roman" w:hAnsi="Times New Roman"/>
                <w:noProof/>
                <w:color w:val="006100"/>
                <w:sz w:val="20"/>
                <w:szCs w:val="20"/>
              </w:rPr>
              <w:t xml:space="preserve">ajet v zvezi z ranljivimi skupinami. Ponudba izobraževanja se prilagodi potrebam trga dela. </w:t>
            </w:r>
          </w:p>
          <w:p w:rsidR="009B5602" w:rsidRDefault="00886830">
            <w:pPr>
              <w:rPr>
                <w:rFonts w:ascii="Times New Roman" w:hAnsi="Times New Roman"/>
                <w:noProof/>
                <w:sz w:val="20"/>
                <w:szCs w:val="20"/>
              </w:rPr>
            </w:pPr>
            <w:r>
              <w:rPr>
                <w:rFonts w:ascii="Times New Roman" w:hAnsi="Times New Roman"/>
                <w:noProof/>
                <w:color w:val="006100"/>
                <w:sz w:val="20"/>
                <w:szCs w:val="20"/>
              </w:rPr>
              <w:t>S spremembo zakona št. 61/2015 o poklicnem izobraževanju in usposabljanju se obveznost določitve načrtov uspešnosti srednjih šol razširi na nižje sekundarno poklic</w:t>
            </w:r>
            <w:r>
              <w:rPr>
                <w:rFonts w:ascii="Times New Roman" w:hAnsi="Times New Roman"/>
                <w:noProof/>
                <w:color w:val="006100"/>
                <w:sz w:val="20"/>
                <w:szCs w:val="20"/>
              </w:rPr>
              <w:t xml:space="preserve">no izobraževanje. </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Uredba št. 292/2019 se spremeni, s katero se vzpostavi sistem načrtovanja učinkovitosti za program študij tipa F z opredelitvijo posebnih meril. Pri tem se upoštevajo posebnosti študijskih programov tipa F, kot so merila na šolski ravni </w:t>
            </w:r>
            <w:r>
              <w:rPr>
                <w:rFonts w:ascii="Times New Roman" w:hAnsi="Times New Roman"/>
                <w:noProof/>
                <w:color w:val="006100"/>
                <w:sz w:val="20"/>
                <w:szCs w:val="20"/>
              </w:rPr>
              <w:t xml:space="preserve">(koristi, obiskovanje, stopnja dokončanja osnovne šole) in na ravni sindikatov – rezultati „F diplomantov“ na trgu dela. </w:t>
            </w:r>
          </w:p>
        </w:tc>
      </w:tr>
      <w:tr w:rsidR="009B5602">
        <w:trPr>
          <w:gridAfter w:val="1"/>
          <w:wAfter w:w="16" w:type="dxa"/>
          <w:trHeight w:val="153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9</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6 – Dostopnost, razvoj in kakovost vključujočega izobraževanja – Reforma 4: Izvajanje orodij za preprečevanje zgodnjega opuščanja </w:t>
            </w:r>
            <w:r>
              <w:rPr>
                <w:rFonts w:ascii="Times New Roman" w:hAnsi="Times New Roman"/>
                <w:noProof/>
                <w:color w:val="006100"/>
                <w:sz w:val="20"/>
                <w:szCs w:val="20"/>
              </w:rPr>
              <w:t>šolanja in prilagoditev študijskih programov tipa F</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Delež programov nižjega sekundarnega poklicnega izobraževanja (NSOV), optimiziran v odziv na potrebe trga dela </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 xml:space="preserve">30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2025</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Postopek optimizacije temelji na rezultatih procesa načrtovanja izvedbe programa študije tipa F, ki deluje v okviru posebnega režima v primerjavi z načrtom klasične učinkovitosti. </w:t>
            </w:r>
          </w:p>
          <w:p w:rsidR="009B5602" w:rsidRDefault="00886830">
            <w:pPr>
              <w:rPr>
                <w:rFonts w:ascii="Times New Roman" w:hAnsi="Times New Roman"/>
                <w:noProof/>
                <w:sz w:val="20"/>
                <w:szCs w:val="20"/>
              </w:rPr>
            </w:pPr>
            <w:r>
              <w:rPr>
                <w:rFonts w:ascii="Times New Roman" w:hAnsi="Times New Roman"/>
                <w:noProof/>
                <w:color w:val="006100"/>
                <w:sz w:val="20"/>
                <w:szCs w:val="20"/>
              </w:rPr>
              <w:t>Na podlagi ponudbe trga dela se vsebina študijskega programa tipa F nato pr</w:t>
            </w:r>
            <w:r>
              <w:rPr>
                <w:rFonts w:ascii="Times New Roman" w:hAnsi="Times New Roman"/>
                <w:noProof/>
                <w:color w:val="006100"/>
                <w:sz w:val="20"/>
                <w:szCs w:val="20"/>
              </w:rPr>
              <w:t>ilagodi ali oceni in po možnosti umakne iz izobraževalnega sistema.</w:t>
            </w:r>
          </w:p>
        </w:tc>
      </w:tr>
      <w:tr w:rsidR="009B5602">
        <w:trPr>
          <w:trHeight w:val="7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10</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6 – Dostopnost, razvoj in kakovost vključujočega izobraževanja – Reforma 5: Podpora za odpravo segregacije šol</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Sprejetje zakonodajnih sprememb, ki uvajajo opredelitev </w:t>
            </w:r>
            <w:r>
              <w:rPr>
                <w:rFonts w:ascii="Times New Roman" w:hAnsi="Times New Roman"/>
                <w:noProof/>
                <w:color w:val="006100"/>
                <w:sz w:val="20"/>
                <w:szCs w:val="20"/>
              </w:rPr>
              <w:t>segregacije v šolah v zakonodajo, in razvoj metodološkega gradiva za izvajanje odprave segregacije</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 Sprejetje spremembe zakona št. 245/2008 ali zakona št. 365/2004 s strani parlamenta ter priprava in odobritev metodološkega gradiva s strani Ministrstva za izobraževanje</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Q3</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2023</w:t>
            </w:r>
          </w:p>
        </w:tc>
        <w:tc>
          <w:tcPr>
            <w:tcW w:w="3827"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Spremembe zakonodaje se nanašajo na protidiskriminacijski zakon (št. 36</w:t>
            </w:r>
            <w:r>
              <w:rPr>
                <w:rFonts w:ascii="Times New Roman" w:hAnsi="Times New Roman"/>
                <w:noProof/>
                <w:color w:val="006100"/>
                <w:sz w:val="20"/>
                <w:szCs w:val="20"/>
              </w:rPr>
              <w:t xml:space="preserve">5/2004 zb.) ali zakon o šoli (št. 245/2008 zb.) in drugo zakonodajo v zvezi s financiranjem in upravljanjem šol. Opredelitev ločevanja jasno določa, katera dejanja in opustitve se štejejo za segregacijo, da bi se izognili različnim razlagam pri razlagi. </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M</w:t>
            </w:r>
            <w:r>
              <w:rPr>
                <w:rFonts w:ascii="Times New Roman" w:hAnsi="Times New Roman"/>
                <w:noProof/>
                <w:color w:val="006100"/>
                <w:sz w:val="20"/>
                <w:szCs w:val="20"/>
              </w:rPr>
              <w:t>etodološko gradivo zagotavlja smernice za preprečevanje in odpravljanje ločenega izobraževanja za različne akterje v izobraževanju (kot so ustvarjalci, šole in šolski objekti, direktorji in učitelji) v praksi.</w:t>
            </w:r>
          </w:p>
        </w:tc>
      </w:tr>
      <w:tr w:rsidR="009B5602">
        <w:trPr>
          <w:trHeight w:val="7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11</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6 – Dostopnost, razvoj in kakovost </w:t>
            </w:r>
            <w:r>
              <w:rPr>
                <w:rFonts w:ascii="Times New Roman" w:hAnsi="Times New Roman"/>
                <w:noProof/>
                <w:color w:val="006100"/>
                <w:sz w:val="20"/>
                <w:szCs w:val="20"/>
              </w:rPr>
              <w:t>vključujočega izobraževanja – Reforma 5: Podpora za odpravo segregacije šol</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mejnik</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color w:val="006100"/>
                <w:sz w:val="20"/>
                <w:szCs w:val="20"/>
              </w:rPr>
            </w:pPr>
            <w:r>
              <w:rPr>
                <w:rFonts w:ascii="Times New Roman" w:hAnsi="Times New Roman"/>
                <w:noProof/>
                <w:color w:val="006100"/>
                <w:sz w:val="20"/>
                <w:szCs w:val="20"/>
              </w:rPr>
              <w:t xml:space="preserve">Začetek veljavnosti zakonodajne opredelitve segregacije v šolah </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color w:val="006100"/>
                <w:sz w:val="20"/>
                <w:szCs w:val="20"/>
              </w:rPr>
            </w:pPr>
            <w:r>
              <w:rPr>
                <w:rFonts w:ascii="Times New Roman" w:hAnsi="Times New Roman"/>
                <w:noProof/>
                <w:color w:val="006100"/>
                <w:sz w:val="20"/>
                <w:szCs w:val="20"/>
              </w:rPr>
              <w:t xml:space="preserve"> Začetek veljavnosti spremembe zakona št. 245/2008 ali zakona št. 365/2004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Q3</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2025</w:t>
            </w:r>
          </w:p>
        </w:tc>
        <w:tc>
          <w:tcPr>
            <w:tcW w:w="3827"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Zakon začne veljati 1. septembra 2025. </w:t>
            </w:r>
          </w:p>
          <w:p w:rsidR="009B5602" w:rsidRDefault="009B5602">
            <w:pPr>
              <w:jc w:val="both"/>
              <w:rPr>
                <w:rFonts w:ascii="Times New Roman" w:hAnsi="Times New Roman"/>
                <w:noProof/>
                <w:color w:val="006100"/>
                <w:sz w:val="20"/>
                <w:szCs w:val="20"/>
                <w:lang w:val="en-US"/>
              </w:rPr>
            </w:pPr>
          </w:p>
        </w:tc>
      </w:tr>
      <w:tr w:rsidR="009B5602">
        <w:trPr>
          <w:gridAfter w:val="1"/>
          <w:wAfter w:w="16" w:type="dxa"/>
          <w:trHeight w:val="724"/>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12</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6 – Dostopnost, razvoj in kakovost vključujočega izobraževanja – Reforma 5: Podpora za odpravo segregacije šol</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Odstotek šol, ki uporabljajo standarde za odpravo segregacije, ki izhajajo iz sprejete </w:t>
            </w:r>
            <w:r>
              <w:rPr>
                <w:rFonts w:ascii="Times New Roman" w:hAnsi="Times New Roman"/>
                <w:noProof/>
                <w:color w:val="006100"/>
                <w:sz w:val="20"/>
                <w:szCs w:val="20"/>
              </w:rPr>
              <w:t>metodologije</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 </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Pr="00886830" w:rsidRDefault="009B5602">
            <w:pPr>
              <w:rPr>
                <w:rFonts w:ascii="Times New Roman" w:hAnsi="Times New Roman"/>
                <w:noProof/>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100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2025</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sz w:val="20"/>
                <w:szCs w:val="20"/>
              </w:rPr>
              <w:t>Metodologija temelji na odobrenem zakonu, ki je začel veljati do tretjega četrtletja 2025.</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 </w:t>
            </w:r>
          </w:p>
        </w:tc>
      </w:tr>
      <w:tr w:rsidR="009B5602">
        <w:trPr>
          <w:gridAfter w:val="1"/>
          <w:wAfter w:w="16" w:type="dxa"/>
          <w:trHeight w:val="12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13</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6 – Dostopnost, razvoj in kakovost vključujočega izobraževanja – Reforma 6: Kompenzacijski ukrepi za ublažitev posledic </w:t>
            </w:r>
            <w:r>
              <w:rPr>
                <w:rFonts w:ascii="Times New Roman" w:hAnsi="Times New Roman"/>
                <w:noProof/>
                <w:color w:val="006100"/>
                <w:sz w:val="20"/>
                <w:szCs w:val="20"/>
              </w:rPr>
              <w:t>pandemije v izobraževanju za osnovnošolce in srednješolce</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Število učencev, ki se udeležujejo učnih programov</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12 000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12 000 dijakov, ki se udeležujejo učnih programov. Izobraževalni program je prednostno namenjen učencem, ki v obdobju prekinitve šolanja v šolskih letih 2019/2020 in 2020/2021 niso mogli polno sodelovati v izobraževanju in so zato neposredno izpostavljeni </w:t>
            </w:r>
            <w:r>
              <w:rPr>
                <w:rFonts w:ascii="Times New Roman" w:hAnsi="Times New Roman"/>
                <w:noProof/>
                <w:color w:val="006100"/>
                <w:sz w:val="20"/>
                <w:szCs w:val="20"/>
              </w:rPr>
              <w:t xml:space="preserve">tveganju šolskega neuspeha. Pouk poteka v individualni ali skupinski obliki (v majhnih skupinah do pet dijakov) popoldne. Osredotoča se zlasti na teme s tako imenovanih „glavnih izobraževalnih področij“. </w:t>
            </w:r>
          </w:p>
        </w:tc>
      </w:tr>
      <w:tr w:rsidR="009B5602">
        <w:trPr>
          <w:gridAfter w:val="1"/>
          <w:wAfter w:w="16" w:type="dxa"/>
          <w:trHeight w:val="111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14</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6 – Dostopnost, razvoj in kakovost </w:t>
            </w:r>
            <w:r>
              <w:rPr>
                <w:rFonts w:ascii="Times New Roman" w:hAnsi="Times New Roman"/>
                <w:noProof/>
                <w:color w:val="006100"/>
                <w:sz w:val="20"/>
                <w:szCs w:val="20"/>
              </w:rPr>
              <w:t>vključujočega izobraževanja – Naložba 1:</w:t>
            </w:r>
            <w:r>
              <w:rPr>
                <w:rFonts w:ascii="Times New Roman" w:hAnsi="Times New Roman"/>
                <w:noProof/>
                <w:sz w:val="20"/>
                <w:szCs w:val="20"/>
              </w:rPr>
              <w:t xml:space="preserve"> </w:t>
            </w:r>
            <w:r>
              <w:rPr>
                <w:rFonts w:ascii="Times New Roman" w:hAnsi="Times New Roman"/>
                <w:noProof/>
                <w:color w:val="006100"/>
                <w:sz w:val="20"/>
                <w:szCs w:val="20"/>
              </w:rPr>
              <w:t>Odprava ovir v šolskih stavbah</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Uvedba opredelitve standarda za odpravo ovir, priprava priročnika za odpravo ovir in evidentiranje šolskih potreb na vseh ravneh izobraževanja</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Odobritev standardov za odpravo </w:t>
            </w:r>
            <w:r>
              <w:rPr>
                <w:rFonts w:ascii="Times New Roman" w:hAnsi="Times New Roman"/>
                <w:noProof/>
                <w:color w:val="006100"/>
                <w:sz w:val="20"/>
                <w:szCs w:val="20"/>
              </w:rPr>
              <w:t>ovir s strani Ministrstva za izobraževanje, priročnik o odpravi ovir in objava rezultatov evidentiranja potreb na spletni strani MZ</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Priročnik opredeljuje standarde za odpravo ovir, da bi zadovoljili dejanske potrebe otrok, učencev in študento</w:t>
            </w:r>
            <w:r>
              <w:rPr>
                <w:rFonts w:ascii="Times New Roman" w:hAnsi="Times New Roman"/>
                <w:noProof/>
                <w:color w:val="006100"/>
                <w:sz w:val="20"/>
                <w:szCs w:val="20"/>
              </w:rPr>
              <w:t>v z zdravstvenimi težavami ter spoštovali načela univerzalnega oblikovanja. Temelji na celostnem pristopu, ki zagotavlja polno udeležbo v šolskem življenju (tj. opredelitev standardov, ki ustvarjajo vključujoč prostor v šoli in se ne osredotočajo le na odp</w:t>
            </w:r>
            <w:r>
              <w:rPr>
                <w:rFonts w:ascii="Times New Roman" w:hAnsi="Times New Roman"/>
                <w:noProof/>
                <w:color w:val="006100"/>
                <w:sz w:val="20"/>
                <w:szCs w:val="20"/>
              </w:rPr>
              <w:t xml:space="preserve">ravo največjih ovir, npr. pri vstopu v šolo). Poleg prostorskih standardov (npr. tehnične specifikacije za gradbena dela) so v priročniku opredeljeni tudi standardi za odpravo ovir v šolskih stavbah (kot je sodelovanje šole s strokovnjaki in skupnostjo). </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 Ministrstvo za šolstvo skupaj z Inštitutom za raziskave vključujočega izobraževanja v Brnu pripravi analizo stanja odprave ovir v šolah glede na uveljavljene standarde in na podlagi tega daje prednost posameznim šolam za odpravo ovir. </w:t>
            </w:r>
          </w:p>
        </w:tc>
      </w:tr>
      <w:tr w:rsidR="009B5602">
        <w:trPr>
          <w:gridAfter w:val="1"/>
          <w:wAfter w:w="16" w:type="dxa"/>
          <w:trHeight w:val="90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15</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6 – Dostopnost, razvoj in kakovost vključujočega izobraževanja – Naložba 1: Odpravljanje ovir v šolskih stavbah </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Odprava arhitekturnih ovir večjih srednjih šol</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Pr="00886830" w:rsidRDefault="009B5602">
            <w:pPr>
              <w:rPr>
                <w:rFonts w:ascii="Times New Roman" w:hAnsi="Times New Roman"/>
                <w:noProof/>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252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2025</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Količinski kazalnik določa število izključenih večjih srednjih šol. </w:t>
            </w:r>
          </w:p>
        </w:tc>
      </w:tr>
    </w:tbl>
    <w:p w:rsidR="009B5602" w:rsidRDefault="00886830">
      <w:pPr>
        <w:spacing w:before="120" w:after="120" w:line="240" w:lineRule="auto"/>
        <w:jc w:val="both"/>
        <w:rPr>
          <w:noProof/>
        </w:rPr>
      </w:pPr>
      <w:r>
        <w:rPr>
          <w:rFonts w:ascii="Times New Roman" w:hAnsi="Times New Roman"/>
          <w:noProof/>
          <w:sz w:val="24"/>
          <w:szCs w:val="24"/>
        </w:rPr>
        <w:fldChar w:fldCharType="begin"/>
      </w:r>
      <w:r>
        <w:rPr>
          <w:rFonts w:ascii="Times New Roman" w:hAnsi="Times New Roman"/>
          <w:noProof/>
          <w:sz w:val="24"/>
          <w:szCs w:val="24"/>
        </w:rPr>
        <w:instrText xml:space="preserve"> LINK Excel.Sheet.12 "\\\\NET1.cec.eu.int\\homes\\085\\garcpbl\\Desktop\\CID - Components.xlsx" "T1 Míľniky a ciele (6)!R3C1:R17C11" \a \f 4 \h  \* MERGEFORMAT </w:instrText>
      </w:r>
      <w:r>
        <w:rPr>
          <w:rFonts w:ascii="Times New Roman" w:hAnsi="Times New Roman"/>
          <w:noProof/>
          <w:sz w:val="24"/>
          <w:szCs w:val="24"/>
        </w:rPr>
        <w:fldChar w:fldCharType="separate"/>
      </w:r>
    </w:p>
    <w:p w:rsidR="009B5602" w:rsidRDefault="00886830">
      <w:pPr>
        <w:jc w:val="both"/>
        <w:rPr>
          <w:rFonts w:ascii="Times New Roman" w:hAnsi="Times New Roman"/>
          <w:noProof/>
          <w:sz w:val="24"/>
        </w:rPr>
        <w:sectPr w:rsidR="009B5602">
          <w:headerReference w:type="even" r:id="rId84"/>
          <w:headerReference w:type="default" r:id="rId85"/>
          <w:footerReference w:type="even" r:id="rId86"/>
          <w:footerReference w:type="default" r:id="rId87"/>
          <w:headerReference w:type="first" r:id="rId88"/>
          <w:footerReference w:type="first" r:id="rId89"/>
          <w:pgSz w:w="16839" w:h="11907" w:orient="landscape"/>
          <w:pgMar w:top="284" w:right="1134" w:bottom="1418" w:left="1134" w:header="709" w:footer="709" w:gutter="0"/>
          <w:cols w:space="720"/>
          <w:docGrid w:linePitch="360"/>
        </w:sectPr>
      </w:pPr>
      <w:r>
        <w:rPr>
          <w:rFonts w:ascii="Times New Roman" w:hAnsi="Times New Roman"/>
          <w:noProof/>
          <w:sz w:val="24"/>
        </w:rPr>
        <w:fldChar w:fldCharType="end"/>
      </w:r>
    </w:p>
    <w:p w:rsidR="009B5602" w:rsidRDefault="00886830">
      <w:pPr>
        <w:keepNext/>
        <w:spacing w:before="360" w:after="120" w:line="240" w:lineRule="auto"/>
        <w:ind w:firstLine="1"/>
        <w:jc w:val="both"/>
        <w:outlineLvl w:val="0"/>
        <w:rPr>
          <w:rFonts w:ascii="Times New Roman" w:hAnsi="Times New Roman"/>
          <w:b/>
          <w:smallCaps/>
          <w:noProof/>
          <w:sz w:val="24"/>
        </w:rPr>
      </w:pPr>
      <w:r>
        <w:rPr>
          <w:rFonts w:ascii="Times New Roman" w:hAnsi="Times New Roman"/>
          <w:b/>
          <w:smallCaps/>
          <w:noProof/>
          <w:sz w:val="24"/>
        </w:rPr>
        <w:t xml:space="preserve">KOMPONENTA 7: IZOBRAŽEVANJE ZA 21. </w:t>
      </w:r>
      <w:r>
        <w:rPr>
          <w:rFonts w:ascii="Times New Roman" w:hAnsi="Times New Roman"/>
          <w:b/>
          <w:smallCaps/>
          <w:noProof/>
          <w:sz w:val="24"/>
        </w:rPr>
        <w:t>STOLETJE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Ta komponenta slovaškega načrta za okrevanje in odpornost uvaja kurirsko reformo osnovnih in nižjih srednjih šol, ki ustvarjajo nove učne vsebine, organizirane v večletnih ciklih. Cilj je razviti kritično razmišljanje in mehke veščine učencev kot </w:t>
      </w:r>
      <w:r>
        <w:rPr>
          <w:rFonts w:ascii="Times New Roman" w:hAnsi="Times New Roman"/>
          <w:noProof/>
          <w:sz w:val="24"/>
        </w:rPr>
        <w:t>reševanje problemov, ravnanje z informacijami, skupinsko delo, diskurz in postavljanje vprašanj, prevzemanje pobud in odgovornosti ter ustvarjanje in izvajanje osebnih projektov. Za to je treba zagotoviti učbenike, potrebne za obnovo sedanjega stanja, in s</w:t>
      </w:r>
      <w:r>
        <w:rPr>
          <w:rFonts w:ascii="Times New Roman" w:hAnsi="Times New Roman"/>
          <w:noProof/>
          <w:sz w:val="24"/>
        </w:rPr>
        <w:t xml:space="preserve">premeniti spretnosti učiteljev za uporabo teh sprememb v vsakdanji praksi. Hkrati komponenta krepi kakovost znanj in spretnosti učiteljskega in strokovnega osebja ter ga motivira za vseživljenjsko poklicno izpopolnjevanje. Poudarek bo tudi na vključujočem </w:t>
      </w:r>
      <w:r>
        <w:rPr>
          <w:rFonts w:ascii="Times New Roman" w:hAnsi="Times New Roman"/>
          <w:noProof/>
          <w:sz w:val="24"/>
        </w:rPr>
        <w:t>izobraževanju in pridobivanju digitalnih spretnosti.</w:t>
      </w:r>
      <w:r>
        <w:rPr>
          <w:noProof/>
        </w:rPr>
        <w:t xml:space="preserve">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Komponenta vključuje dve reformi in dve naložbi.</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Pričakuje se, da noben ukrep v tej komponenti ne bo znatno škodoval okoljskim ciljem v smislu člena 17 Uredbe (EU) 2020/852, ob upoštevanju opisa ukrepov</w:t>
      </w:r>
      <w:r>
        <w:rPr>
          <w:rFonts w:ascii="Times New Roman" w:hAnsi="Times New Roman"/>
          <w:noProof/>
          <w:sz w:val="24"/>
          <w:szCs w:val="24"/>
        </w:rPr>
        <w:t xml:space="preserve"> in ukrepov za ublažitev, določenih v načrtu za okrevanje in odpornost v skladu s tehničnimi smernicami za uporabo načela, da se ne škoduje bistveno (2021/C58/01).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Komponenta prispeva k obravnavi priporočila za Slovaško glede potrebe po okrepitvi digital</w:t>
      </w:r>
      <w:r>
        <w:rPr>
          <w:rFonts w:ascii="Times New Roman" w:hAnsi="Times New Roman"/>
          <w:noProof/>
          <w:sz w:val="24"/>
        </w:rPr>
        <w:t>nih znanj in spretnosti ter zagotavljanju enakega dostopa do kakovostnega izobraževanja. (Priporočilo za posamezno državo št. 2 iz leta 2020). Izboljšanje kakovosti in vključenosti izobraževanja na vseh ravneh ter spodbujanje znanj in spretnosti (priporoči</w:t>
      </w:r>
      <w:r>
        <w:rPr>
          <w:rFonts w:ascii="Times New Roman" w:hAnsi="Times New Roman"/>
          <w:noProof/>
          <w:sz w:val="24"/>
        </w:rPr>
        <w:t>lo za posamezno državo št. 2 iz leta 2019).</w:t>
      </w:r>
    </w:p>
    <w:p w:rsidR="009B5602" w:rsidRPr="00886830" w:rsidRDefault="009B5602">
      <w:pPr>
        <w:spacing w:before="120" w:after="120" w:line="240" w:lineRule="auto"/>
        <w:jc w:val="both"/>
        <w:rPr>
          <w:rFonts w:ascii="Times New Roman" w:hAnsi="Times New Roman"/>
          <w:noProof/>
          <w:sz w:val="24"/>
        </w:rPr>
      </w:pPr>
    </w:p>
    <w:p w:rsidR="009B5602" w:rsidRDefault="00886830">
      <w:pPr>
        <w:spacing w:before="120" w:after="120" w:line="240" w:lineRule="auto"/>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Opis reform in naložb za nepovratno finančno podporo</w:t>
      </w:r>
    </w:p>
    <w:p w:rsidR="009B5602" w:rsidRDefault="00886830">
      <w:pPr>
        <w:spacing w:before="120" w:after="120" w:line="240" w:lineRule="auto"/>
        <w:jc w:val="both"/>
        <w:rPr>
          <w:rFonts w:ascii="Times New Roman" w:hAnsi="Times New Roman"/>
          <w:noProof/>
          <w:sz w:val="24"/>
        </w:rPr>
      </w:pPr>
      <w:r>
        <w:rPr>
          <w:rFonts w:ascii="Times New Roman" w:hAnsi="Times New Roman"/>
          <w:b/>
          <w:iCs/>
          <w:noProof/>
          <w:sz w:val="24"/>
        </w:rPr>
        <w:t xml:space="preserve">Reforma 1: Reforma vsebine in oblike izobraževanja (reforma učnih in učbenikov). </w:t>
      </w:r>
      <w:r>
        <w:rPr>
          <w:rFonts w:ascii="Times New Roman" w:hAnsi="Times New Roman"/>
          <w:noProof/>
          <w:sz w:val="24"/>
        </w:rPr>
        <w:t>Cilj reforme je oblikovati nove učne načrte.  Namesto da bi zagotovili p</w:t>
      </w:r>
      <w:r>
        <w:rPr>
          <w:rFonts w:ascii="Times New Roman" w:hAnsi="Times New Roman"/>
          <w:noProof/>
          <w:sz w:val="24"/>
        </w:rPr>
        <w:t>ripravljene informacije, učitelji ustvarijo razmere, v katerih lahko učenci razlagajo informacije v soočenju z resničnim življenjem. Reforma se začne z uvedbo učnih načrtov v osnovnošolski in nižji srednji šoli (na prostovoljni osnovi) s šolskim letom 2023</w:t>
      </w:r>
      <w:r>
        <w:rPr>
          <w:rFonts w:ascii="Times New Roman" w:hAnsi="Times New Roman"/>
          <w:noProof/>
          <w:sz w:val="24"/>
        </w:rPr>
        <w:t xml:space="preserve"> in konča z obveznostjo sprejetja novega učnega načrta v vseh osnovnih šolah leta 2026.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Izvajanje reforme se podpre z ustanovitvijo 40 regionalnih centrov, ki šolam zagotavljajo podporo pri dejavnostih mentorstva, svetovanja in posvetovanja. Centre lahko </w:t>
      </w:r>
      <w:r>
        <w:rPr>
          <w:rFonts w:ascii="Times New Roman" w:hAnsi="Times New Roman"/>
          <w:noProof/>
          <w:sz w:val="24"/>
        </w:rPr>
        <w:t>sestavljajo učitelji, direktorji šol, strokovnjaki za izobraževanje odraslih, strokovnjaki iz tretjega sektorja in strokovnjaki iz fakultet, ki pripravljajo učitelje v regiji.</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zahteva pripravo novih učbenikov.</w:t>
      </w:r>
      <w:r>
        <w:rPr>
          <w:noProof/>
        </w:rPr>
        <w:t xml:space="preserve"> </w:t>
      </w:r>
      <w:r>
        <w:rPr>
          <w:rFonts w:ascii="Times New Roman" w:hAnsi="Times New Roman"/>
          <w:noProof/>
          <w:sz w:val="24"/>
        </w:rPr>
        <w:t>Strokovnjaki podpirajo pripravo učbeni</w:t>
      </w:r>
      <w:r>
        <w:rPr>
          <w:rFonts w:ascii="Times New Roman" w:hAnsi="Times New Roman"/>
          <w:noProof/>
          <w:sz w:val="24"/>
        </w:rPr>
        <w:t>kov. Odobritev učbenikov na podlagi strokovne kakovosti in kakovosti izobraževanja se zagotovi z enotno klavzulo, ki jo izda ministrstvo za izobraževanje. Uvedejo se stroga in pregledna merila za medsebojni strokovni pregled. Šole prejmejo nadomestilo za n</w:t>
      </w:r>
      <w:r>
        <w:rPr>
          <w:rFonts w:ascii="Times New Roman" w:hAnsi="Times New Roman"/>
          <w:noProof/>
          <w:sz w:val="24"/>
        </w:rPr>
        <w:t xml:space="preserve">akup učbenikov v skladu s svojimi željami in zahtevami s seznama učbenikov, ki ga odobri ministrstvo.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predvideva vzpostavitev platforme za e–testiranje e–Test 2.0, ki bo povečala učinkovitost digitalizacije izobraževalnega procesa in tako omogočil</w:t>
      </w:r>
      <w:r>
        <w:rPr>
          <w:rFonts w:ascii="Times New Roman" w:hAnsi="Times New Roman"/>
          <w:noProof/>
          <w:sz w:val="24"/>
        </w:rPr>
        <w:t xml:space="preserve">a centralno preizkušanje učencev. Merljiv učinek te reforme je lahko končni pregled višje srednje šole, ki se opravi na spletu v vsaki šoli do 31. decembra 2025. </w:t>
      </w:r>
    </w:p>
    <w:p w:rsidR="009B5602" w:rsidRDefault="00886830">
      <w:pPr>
        <w:pBdr>
          <w:top w:val="nil"/>
          <w:left w:val="nil"/>
          <w:bottom w:val="nil"/>
          <w:right w:val="nil"/>
          <w:between w:val="nil"/>
        </w:pBdr>
        <w:tabs>
          <w:tab w:val="left" w:pos="993"/>
        </w:tabs>
        <w:spacing w:before="120" w:after="0" w:line="240" w:lineRule="auto"/>
        <w:jc w:val="both"/>
        <w:rPr>
          <w:rFonts w:ascii="Times New Roman" w:hAnsi="Times New Roman"/>
          <w:noProof/>
          <w:sz w:val="24"/>
        </w:rPr>
      </w:pPr>
      <w:r>
        <w:rPr>
          <w:rFonts w:ascii="Times New Roman" w:hAnsi="Times New Roman"/>
          <w:noProof/>
          <w:sz w:val="24"/>
        </w:rPr>
        <w:t>Zadnji mejnik te reforme se zaključi do 31. decembra 2025.</w:t>
      </w:r>
    </w:p>
    <w:p w:rsidR="009B5602" w:rsidRDefault="00886830">
      <w:pPr>
        <w:spacing w:before="120" w:after="120" w:line="240" w:lineRule="auto"/>
        <w:jc w:val="both"/>
        <w:rPr>
          <w:rFonts w:ascii="Times New Roman" w:hAnsi="Times New Roman"/>
          <w:noProof/>
          <w:sz w:val="24"/>
        </w:rPr>
      </w:pPr>
      <w:r>
        <w:rPr>
          <w:rFonts w:ascii="Times New Roman" w:hAnsi="Times New Roman"/>
          <w:b/>
          <w:iCs/>
          <w:noProof/>
          <w:sz w:val="24"/>
        </w:rPr>
        <w:t xml:space="preserve">Reforma 2: Priprava in razvoj učiteljev za nove vsebine in oblike poučevanja (spremembe v visokošolskem izobraževanju) ter krepitev strokovnega izpopolnjevanja učiteljev. </w:t>
      </w:r>
      <w:r>
        <w:rPr>
          <w:rFonts w:ascii="Times New Roman" w:hAnsi="Times New Roman"/>
          <w:noProof/>
          <w:sz w:val="24"/>
        </w:rPr>
        <w:t xml:space="preserve">Cilj te reforme je okrepiti kakovost znanj in spretnosti učiteljskega in strokovnega </w:t>
      </w:r>
      <w:r>
        <w:rPr>
          <w:rFonts w:ascii="Times New Roman" w:hAnsi="Times New Roman"/>
          <w:noProof/>
          <w:sz w:val="24"/>
        </w:rPr>
        <w:t>osebja ter ga motivirati za vseživljenjsko poklicno izpopolnjevanje. Uvede se finančno nadomestilo za nadgrajevanje znanja in spretnosti učitelja. Poudarek bo na novih učnih načrtih, vključujočem izobraževanju in pridobivanju digitalnih spretnosti. Do konc</w:t>
      </w:r>
      <w:r>
        <w:rPr>
          <w:rFonts w:ascii="Times New Roman" w:hAnsi="Times New Roman"/>
          <w:noProof/>
          <w:sz w:val="24"/>
        </w:rPr>
        <w:t xml:space="preserve">a leta 2023 se usposobi vsaj 60 % učiteljev v osnovnem in nižjem sekundarnem izobraževanju. Zadevne zakonodajne spremembe urejajo pristojnosti in obseg ponudnikov poučevanja.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se izvede do 31. decembra 2025.</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Naložba 1: Digitalna infrastruktura v šo</w:t>
      </w:r>
      <w:r>
        <w:rPr>
          <w:rFonts w:ascii="Times New Roman" w:hAnsi="Times New Roman"/>
          <w:b/>
          <w:noProof/>
          <w:sz w:val="24"/>
        </w:rPr>
        <w:t xml:space="preserve">lah. </w:t>
      </w:r>
      <w:r>
        <w:rPr>
          <w:rFonts w:ascii="Times New Roman" w:hAnsi="Times New Roman"/>
          <w:noProof/>
          <w:sz w:val="24"/>
        </w:rPr>
        <w:t>Cilj te naložbe je povečati delež šol s popolnim digitalnim vstopom s 30 % na vsaj 90 % (v skladu z opredeljenimi standardi IKT, ki temeljijo na „visoko opremljenem in povezanem razredu“ (HECC)). Za zagotovitev preglednosti in stroškovne učinkovitosti</w:t>
      </w:r>
      <w:r>
        <w:rPr>
          <w:rFonts w:ascii="Times New Roman" w:hAnsi="Times New Roman"/>
          <w:noProof/>
          <w:sz w:val="24"/>
        </w:rPr>
        <w:t xml:space="preserve"> pri nakupu digitalne opreme za šole se javno naročanje usklajuje centralno.</w:t>
      </w:r>
      <w:r>
        <w:rPr>
          <w:noProof/>
        </w:rPr>
        <w:t xml:space="preserve"> </w:t>
      </w:r>
      <w:r>
        <w:rPr>
          <w:rFonts w:ascii="Times New Roman" w:hAnsi="Times New Roman"/>
          <w:noProof/>
          <w:sz w:val="24"/>
        </w:rPr>
        <w:t xml:space="preserve">Namen naložbe je čim bolj povečati življenjski cikel digitalne opreme, da bi se zmanjšali negativni vplivi na okolje. Naložbe so razdeljene na glavna področja: </w:t>
      </w:r>
    </w:p>
    <w:p w:rsidR="009B5602" w:rsidRDefault="00886830">
      <w:pPr>
        <w:numPr>
          <w:ilvl w:val="0"/>
          <w:numId w:val="26"/>
        </w:numPr>
        <w:spacing w:before="120" w:after="120" w:line="240" w:lineRule="auto"/>
        <w:contextualSpacing/>
        <w:jc w:val="both"/>
        <w:rPr>
          <w:rFonts w:ascii="Times New Roman" w:hAnsi="Times New Roman"/>
          <w:noProof/>
          <w:sz w:val="24"/>
        </w:rPr>
      </w:pPr>
      <w:r>
        <w:rPr>
          <w:rFonts w:ascii="Times New Roman" w:hAnsi="Times New Roman"/>
          <w:noProof/>
          <w:sz w:val="24"/>
        </w:rPr>
        <w:t xml:space="preserve">vključitev: </w:t>
      </w:r>
      <w:r>
        <w:rPr>
          <w:noProof/>
        </w:rPr>
        <w:t>naložba zajema programsko ali strojno opremo kompenzacijskih pripomočkov za prikrajšane učence.</w:t>
      </w:r>
      <w:r>
        <w:rPr>
          <w:rFonts w:ascii="Times New Roman" w:hAnsi="Times New Roman"/>
          <w:noProof/>
          <w:sz w:val="24"/>
        </w:rPr>
        <w:t xml:space="preserve"> </w:t>
      </w:r>
    </w:p>
    <w:p w:rsidR="009B5602" w:rsidRDefault="00886830">
      <w:pPr>
        <w:numPr>
          <w:ilvl w:val="0"/>
          <w:numId w:val="26"/>
        </w:numPr>
        <w:spacing w:before="120" w:after="120" w:line="240" w:lineRule="auto"/>
        <w:contextualSpacing/>
        <w:jc w:val="both"/>
        <w:rPr>
          <w:rFonts w:ascii="Times New Roman" w:hAnsi="Times New Roman"/>
          <w:noProof/>
          <w:sz w:val="24"/>
        </w:rPr>
      </w:pPr>
      <w:r>
        <w:rPr>
          <w:rFonts w:ascii="Times New Roman" w:hAnsi="Times New Roman"/>
          <w:noProof/>
          <w:sz w:val="24"/>
        </w:rPr>
        <w:t>znanja in spretnosti za digitalno preobrazbo: Naložba zajema en razred IT v razmerju do 300 študentov.</w:t>
      </w:r>
    </w:p>
    <w:p w:rsidR="009B5602" w:rsidRPr="00886830" w:rsidRDefault="009B5602">
      <w:pPr>
        <w:spacing w:before="120" w:after="120" w:line="240" w:lineRule="auto"/>
        <w:ind w:left="720"/>
        <w:contextualSpacing/>
        <w:jc w:val="both"/>
        <w:rPr>
          <w:rFonts w:ascii="Times New Roman" w:hAnsi="Times New Roman"/>
          <w:noProof/>
          <w:sz w:val="24"/>
        </w:rPr>
      </w:pP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31. decembra 2024.</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Naložba 2: Doko</w:t>
      </w:r>
      <w:r>
        <w:rPr>
          <w:rFonts w:ascii="Times New Roman" w:hAnsi="Times New Roman"/>
          <w:b/>
          <w:noProof/>
          <w:sz w:val="24"/>
        </w:rPr>
        <w:t xml:space="preserve">nčanje šolske infrastrukture. </w:t>
      </w:r>
      <w:r>
        <w:rPr>
          <w:rFonts w:ascii="Times New Roman" w:hAnsi="Times New Roman"/>
          <w:noProof/>
          <w:sz w:val="24"/>
        </w:rPr>
        <w:t>Prvi del naložbe je namenjen odpravi vseh šol z dvema izmenama na Slovaškem, ki lahko prispevajo k boljšemu vključevanju učencev iz prikrajšanih okolij. Naložbe so lahko v obliki širitve obstoječih zmogljivosti, prenove in gra</w:t>
      </w:r>
      <w:r>
        <w:rPr>
          <w:rFonts w:ascii="Times New Roman" w:hAnsi="Times New Roman"/>
          <w:noProof/>
          <w:sz w:val="24"/>
        </w:rPr>
        <w:t xml:space="preserve">dnje novih prostorov v 49 šolah, ki trenutno izvajajo dvoizmenski razred. Pri prenovi stavbe je treba v povprečju doseči vsaj 30 % prihrankov primarne energije.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Drugi del naložb je namenjen šolam z vpisom otrok iz socialno prikrajšanih okolij, v katerih u</w:t>
      </w:r>
      <w:r>
        <w:rPr>
          <w:rFonts w:ascii="Times New Roman" w:hAnsi="Times New Roman"/>
          <w:noProof/>
          <w:sz w:val="24"/>
        </w:rPr>
        <w:t>stanovi nove knjižnice ali prenovi obstoječe in jih spremeni v sodobne izobraževalne centre v šolah. Šolske knjižnice zagotovijo prostor za poučevanje predmetov, raziskave in skupinsko delo, pisanje na domu, izvajanje projektov ali preživljanje prostega ča</w:t>
      </w:r>
      <w:r>
        <w:rPr>
          <w:rFonts w:ascii="Times New Roman" w:hAnsi="Times New Roman"/>
          <w:noProof/>
          <w:sz w:val="24"/>
        </w:rPr>
        <w:t xml:space="preserve">sa.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30. junija 2026.</w:t>
      </w:r>
    </w:p>
    <w:p w:rsidR="009B5602" w:rsidRPr="00886830" w:rsidRDefault="009B5602">
      <w:pPr>
        <w:spacing w:before="120" w:after="120" w:line="240" w:lineRule="auto"/>
        <w:jc w:val="both"/>
        <w:rPr>
          <w:rFonts w:ascii="Times New Roman" w:hAnsi="Times New Roman"/>
          <w:b/>
          <w:noProof/>
          <w:sz w:val="24"/>
          <w:u w:val="single"/>
          <w:lang w:val="es-ES"/>
        </w:rPr>
      </w:pPr>
    </w:p>
    <w:p w:rsidR="009B5602" w:rsidRDefault="009B5602">
      <w:pPr>
        <w:spacing w:before="120" w:after="120" w:line="240" w:lineRule="auto"/>
        <w:jc w:val="both"/>
        <w:rPr>
          <w:rFonts w:ascii="Times New Roman" w:hAnsi="Times New Roman"/>
          <w:b/>
          <w:noProof/>
          <w:sz w:val="24"/>
          <w:u w:val="single"/>
        </w:rPr>
        <w:sectPr w:rsidR="009B5602">
          <w:headerReference w:type="even" r:id="rId90"/>
          <w:headerReference w:type="default" r:id="rId91"/>
          <w:footerReference w:type="even" r:id="rId92"/>
          <w:footerReference w:type="default" r:id="rId93"/>
          <w:headerReference w:type="first" r:id="rId94"/>
          <w:footerReference w:type="first" r:id="rId95"/>
          <w:pgSz w:w="11907" w:h="16839"/>
          <w:pgMar w:top="1134" w:right="1418" w:bottom="1134" w:left="1418" w:header="709" w:footer="709" w:gutter="0"/>
          <w:cols w:space="720"/>
          <w:docGrid w:linePitch="360"/>
        </w:sectPr>
      </w:pPr>
    </w:p>
    <w:p w:rsidR="009B5602" w:rsidRDefault="00886830">
      <w:pPr>
        <w:spacing w:before="120" w:after="120" w:line="240" w:lineRule="auto"/>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Mejniki, cilji, kazalniki in časovni razpored za spremljanje in izvajanje nepovratne finančne podpore</w:t>
      </w:r>
    </w:p>
    <w:p w:rsidR="009B5602" w:rsidRDefault="009B5602">
      <w:pPr>
        <w:spacing w:before="120" w:after="120" w:line="240" w:lineRule="auto"/>
        <w:jc w:val="both"/>
        <w:rPr>
          <w:rFonts w:ascii="Times New Roman" w:hAnsi="Times New Roman"/>
          <w:b/>
          <w:noProof/>
          <w:sz w:val="24"/>
          <w:u w:val="single"/>
        </w:rPr>
      </w:pPr>
    </w:p>
    <w:tbl>
      <w:tblPr>
        <w:tblW w:w="16019" w:type="dxa"/>
        <w:tblInd w:w="-562" w:type="dxa"/>
        <w:tblLayout w:type="fixed"/>
        <w:tblCellMar>
          <w:left w:w="0" w:type="dxa"/>
          <w:right w:w="0" w:type="dxa"/>
        </w:tblCellMar>
        <w:tblLook w:val="04A0" w:firstRow="1" w:lastRow="0" w:firstColumn="1" w:lastColumn="0" w:noHBand="0" w:noVBand="1"/>
      </w:tblPr>
      <w:tblGrid>
        <w:gridCol w:w="993"/>
        <w:gridCol w:w="1446"/>
        <w:gridCol w:w="1247"/>
        <w:gridCol w:w="2268"/>
        <w:gridCol w:w="1701"/>
        <w:gridCol w:w="709"/>
        <w:gridCol w:w="850"/>
        <w:gridCol w:w="567"/>
        <w:gridCol w:w="992"/>
        <w:gridCol w:w="852"/>
        <w:gridCol w:w="4394"/>
      </w:tblGrid>
      <w:tr w:rsidR="009B5602">
        <w:trPr>
          <w:trHeight w:val="693"/>
        </w:trPr>
        <w:tc>
          <w:tcPr>
            <w:tcW w:w="993" w:type="dxa"/>
            <w:vMerge w:val="restart"/>
            <w:tcBorders>
              <w:top w:val="single" w:sz="4" w:space="0" w:color="auto"/>
              <w:left w:val="single" w:sz="4" w:space="0" w:color="auto"/>
              <w:right w:val="single" w:sz="4" w:space="0" w:color="auto"/>
            </w:tcBorders>
            <w:shd w:val="clear" w:color="auto" w:fill="BDD7EE"/>
            <w:vAlign w:val="center"/>
            <w:hideMark/>
          </w:tcPr>
          <w:p w:rsidR="009B5602" w:rsidRDefault="00886830">
            <w:pPr>
              <w:spacing w:after="0" w:line="240" w:lineRule="auto"/>
              <w:jc w:val="center"/>
              <w:rPr>
                <w:rFonts w:ascii="Times New Roman" w:hAnsi="Times New Roman"/>
                <w:b/>
                <w:noProof/>
                <w:sz w:val="20"/>
                <w:szCs w:val="20"/>
              </w:rPr>
            </w:pPr>
            <w:r>
              <w:rPr>
                <w:rFonts w:ascii="Times New Roman" w:hAnsi="Times New Roman"/>
                <w:b/>
                <w:bCs/>
                <w:noProof/>
                <w:sz w:val="20"/>
                <w:szCs w:val="20"/>
              </w:rPr>
              <w:t>Zap. št.</w:t>
            </w:r>
          </w:p>
          <w:p w:rsidR="009B5602" w:rsidRDefault="00886830">
            <w:pPr>
              <w:spacing w:before="120" w:after="120" w:line="240" w:lineRule="auto"/>
              <w:jc w:val="center"/>
              <w:rPr>
                <w:rFonts w:ascii="Times New Roman" w:hAnsi="Times New Roman"/>
                <w:b/>
                <w:noProof/>
                <w:sz w:val="20"/>
                <w:szCs w:val="20"/>
              </w:rPr>
            </w:pPr>
            <w:r>
              <w:rPr>
                <w:rFonts w:ascii="Times New Roman" w:hAnsi="Times New Roman"/>
                <w:b/>
                <w:bCs/>
                <w:noProof/>
                <w:sz w:val="20"/>
                <w:szCs w:val="20"/>
              </w:rPr>
              <w:t> </w:t>
            </w:r>
          </w:p>
        </w:tc>
        <w:tc>
          <w:tcPr>
            <w:tcW w:w="1446" w:type="dxa"/>
            <w:vMerge w:val="restart"/>
            <w:tcBorders>
              <w:top w:val="single" w:sz="4" w:space="0" w:color="auto"/>
              <w:left w:val="nil"/>
              <w:right w:val="single" w:sz="4" w:space="0" w:color="auto"/>
            </w:tcBorders>
            <w:shd w:val="clear" w:color="auto" w:fill="BDD7EE"/>
            <w:vAlign w:val="center"/>
            <w:hideMark/>
          </w:tcPr>
          <w:p w:rsidR="009B5602" w:rsidRDefault="00886830">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Povezani ukrep (reforma ali naložba)</w:t>
            </w:r>
          </w:p>
          <w:p w:rsidR="009B5602" w:rsidRDefault="00886830">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 </w:t>
            </w:r>
          </w:p>
        </w:tc>
        <w:tc>
          <w:tcPr>
            <w:tcW w:w="1247" w:type="dxa"/>
            <w:vMerge w:val="restart"/>
            <w:tcBorders>
              <w:top w:val="single" w:sz="4" w:space="0" w:color="auto"/>
              <w:left w:val="nil"/>
              <w:right w:val="single" w:sz="4" w:space="0" w:color="auto"/>
            </w:tcBorders>
            <w:shd w:val="clear" w:color="auto" w:fill="BDD7EE"/>
            <w:vAlign w:val="center"/>
            <w:hideMark/>
          </w:tcPr>
          <w:p w:rsidR="009B5602" w:rsidRDefault="00886830">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Mejnik/cilj</w:t>
            </w:r>
          </w:p>
          <w:p w:rsidR="009B5602" w:rsidRDefault="00886830">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 </w:t>
            </w:r>
          </w:p>
        </w:tc>
        <w:tc>
          <w:tcPr>
            <w:tcW w:w="2268" w:type="dxa"/>
            <w:vMerge w:val="restart"/>
            <w:tcBorders>
              <w:top w:val="single" w:sz="4" w:space="0" w:color="auto"/>
              <w:left w:val="nil"/>
              <w:right w:val="single" w:sz="4" w:space="0" w:color="auto"/>
            </w:tcBorders>
            <w:shd w:val="clear" w:color="auto" w:fill="BDD7EE"/>
            <w:vAlign w:val="center"/>
            <w:hideMark/>
          </w:tcPr>
          <w:p w:rsidR="009B5602" w:rsidRDefault="00886830">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Ime</w:t>
            </w:r>
          </w:p>
          <w:p w:rsidR="009B5602" w:rsidRDefault="00886830">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 </w:t>
            </w:r>
          </w:p>
        </w:tc>
        <w:tc>
          <w:tcPr>
            <w:tcW w:w="1701" w:type="dxa"/>
            <w:vMerge w:val="restart"/>
            <w:tcBorders>
              <w:top w:val="single" w:sz="4" w:space="0" w:color="auto"/>
              <w:left w:val="nil"/>
              <w:right w:val="single" w:sz="4" w:space="0" w:color="auto"/>
            </w:tcBorders>
            <w:shd w:val="clear" w:color="auto" w:fill="BDD7EE"/>
            <w:vAlign w:val="center"/>
            <w:hideMark/>
          </w:tcPr>
          <w:p w:rsidR="009B5602" w:rsidRDefault="00886830">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Kvalitativni kazalniki (za mejnike)</w:t>
            </w:r>
          </w:p>
          <w:p w:rsidR="009B5602" w:rsidRDefault="00886830">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 </w:t>
            </w:r>
          </w:p>
        </w:tc>
        <w:tc>
          <w:tcPr>
            <w:tcW w:w="2126" w:type="dxa"/>
            <w:gridSpan w:val="3"/>
            <w:tcBorders>
              <w:top w:val="single" w:sz="4" w:space="0" w:color="auto"/>
              <w:left w:val="nil"/>
              <w:bottom w:val="single" w:sz="4" w:space="0" w:color="auto"/>
              <w:right w:val="single" w:sz="4" w:space="0" w:color="000000"/>
            </w:tcBorders>
            <w:shd w:val="clear" w:color="auto" w:fill="BDD7EE"/>
            <w:vAlign w:val="center"/>
            <w:hideMark/>
          </w:tcPr>
          <w:p w:rsidR="009B5602" w:rsidRDefault="00886830">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Kvantitativni kazalniki (za cilje)</w:t>
            </w:r>
          </w:p>
        </w:tc>
        <w:tc>
          <w:tcPr>
            <w:tcW w:w="1844" w:type="dxa"/>
            <w:gridSpan w:val="2"/>
            <w:tcBorders>
              <w:top w:val="single" w:sz="4" w:space="0" w:color="auto"/>
              <w:left w:val="nil"/>
              <w:bottom w:val="single" w:sz="4" w:space="0" w:color="auto"/>
              <w:right w:val="single" w:sz="4" w:space="0" w:color="000000"/>
            </w:tcBorders>
            <w:shd w:val="clear" w:color="auto" w:fill="BDD7EE"/>
            <w:vAlign w:val="center"/>
            <w:hideMark/>
          </w:tcPr>
          <w:p w:rsidR="009B5602" w:rsidRDefault="00886830">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 xml:space="preserve">Okvirni časovni razpored za dokončanje </w:t>
            </w:r>
          </w:p>
        </w:tc>
        <w:tc>
          <w:tcPr>
            <w:tcW w:w="4394" w:type="dxa"/>
            <w:vMerge w:val="restart"/>
            <w:tcBorders>
              <w:top w:val="single" w:sz="4" w:space="0" w:color="auto"/>
              <w:left w:val="nil"/>
              <w:right w:val="single" w:sz="4" w:space="0" w:color="auto"/>
            </w:tcBorders>
            <w:shd w:val="clear" w:color="auto" w:fill="BDD7EE"/>
            <w:vAlign w:val="center"/>
            <w:hideMark/>
          </w:tcPr>
          <w:p w:rsidR="009B5602" w:rsidRDefault="00886830">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Opis in jasna opredelitev vsakega mejnika in cilja</w:t>
            </w:r>
          </w:p>
          <w:p w:rsidR="009B5602" w:rsidRDefault="00886830">
            <w:pPr>
              <w:spacing w:before="120" w:after="120" w:line="240" w:lineRule="auto"/>
              <w:rPr>
                <w:rFonts w:ascii="Times New Roman" w:hAnsi="Times New Roman"/>
                <w:b/>
                <w:bCs/>
                <w:noProof/>
                <w:sz w:val="20"/>
                <w:szCs w:val="20"/>
              </w:rPr>
            </w:pPr>
            <w:r>
              <w:rPr>
                <w:rFonts w:ascii="Times New Roman" w:hAnsi="Times New Roman"/>
                <w:noProof/>
                <w:sz w:val="20"/>
                <w:szCs w:val="20"/>
              </w:rPr>
              <w:t> </w:t>
            </w:r>
          </w:p>
        </w:tc>
      </w:tr>
      <w:tr w:rsidR="009B5602">
        <w:trPr>
          <w:trHeight w:val="420"/>
        </w:trPr>
        <w:tc>
          <w:tcPr>
            <w:tcW w:w="993" w:type="dxa"/>
            <w:vMerge/>
            <w:tcBorders>
              <w:left w:val="single" w:sz="4" w:space="0" w:color="auto"/>
              <w:bottom w:val="single" w:sz="4" w:space="0" w:color="auto"/>
              <w:right w:val="single" w:sz="4" w:space="0" w:color="auto"/>
            </w:tcBorders>
            <w:shd w:val="clear" w:color="auto" w:fill="BDD7EE"/>
            <w:vAlign w:val="center"/>
            <w:hideMark/>
          </w:tcPr>
          <w:p w:rsidR="009B5602" w:rsidRDefault="009B5602">
            <w:pPr>
              <w:spacing w:before="120" w:after="120" w:line="240" w:lineRule="auto"/>
              <w:jc w:val="center"/>
              <w:rPr>
                <w:rFonts w:ascii="Times New Roman" w:hAnsi="Times New Roman"/>
                <w:b/>
                <w:bCs/>
                <w:noProof/>
                <w:sz w:val="20"/>
                <w:szCs w:val="20"/>
              </w:rPr>
            </w:pPr>
          </w:p>
        </w:tc>
        <w:tc>
          <w:tcPr>
            <w:tcW w:w="1446" w:type="dxa"/>
            <w:vMerge/>
            <w:tcBorders>
              <w:left w:val="nil"/>
              <w:bottom w:val="single" w:sz="4" w:space="0" w:color="auto"/>
              <w:right w:val="single" w:sz="4" w:space="0" w:color="auto"/>
            </w:tcBorders>
            <w:shd w:val="clear" w:color="auto" w:fill="BDD7EE"/>
            <w:vAlign w:val="center"/>
            <w:hideMark/>
          </w:tcPr>
          <w:p w:rsidR="009B5602" w:rsidRDefault="009B5602">
            <w:pPr>
              <w:spacing w:before="120" w:after="120" w:line="240" w:lineRule="auto"/>
              <w:jc w:val="center"/>
              <w:rPr>
                <w:rFonts w:ascii="Times New Roman" w:hAnsi="Times New Roman"/>
                <w:b/>
                <w:bCs/>
                <w:noProof/>
                <w:sz w:val="20"/>
                <w:szCs w:val="20"/>
              </w:rPr>
            </w:pPr>
          </w:p>
        </w:tc>
        <w:tc>
          <w:tcPr>
            <w:tcW w:w="1247" w:type="dxa"/>
            <w:vMerge/>
            <w:tcBorders>
              <w:left w:val="nil"/>
              <w:bottom w:val="single" w:sz="4" w:space="0" w:color="auto"/>
              <w:right w:val="single" w:sz="4" w:space="0" w:color="auto"/>
            </w:tcBorders>
            <w:shd w:val="clear" w:color="auto" w:fill="BDD7EE"/>
            <w:vAlign w:val="center"/>
            <w:hideMark/>
          </w:tcPr>
          <w:p w:rsidR="009B5602" w:rsidRDefault="009B5602">
            <w:pPr>
              <w:spacing w:before="120" w:after="120" w:line="240" w:lineRule="auto"/>
              <w:jc w:val="center"/>
              <w:rPr>
                <w:rFonts w:ascii="Times New Roman" w:hAnsi="Times New Roman"/>
                <w:b/>
                <w:bCs/>
                <w:noProof/>
                <w:sz w:val="20"/>
                <w:szCs w:val="20"/>
              </w:rPr>
            </w:pPr>
          </w:p>
        </w:tc>
        <w:tc>
          <w:tcPr>
            <w:tcW w:w="2268" w:type="dxa"/>
            <w:vMerge/>
            <w:tcBorders>
              <w:left w:val="nil"/>
              <w:bottom w:val="single" w:sz="4" w:space="0" w:color="auto"/>
              <w:right w:val="single" w:sz="4" w:space="0" w:color="auto"/>
            </w:tcBorders>
            <w:shd w:val="clear" w:color="auto" w:fill="BDD7EE"/>
            <w:vAlign w:val="center"/>
            <w:hideMark/>
          </w:tcPr>
          <w:p w:rsidR="009B5602" w:rsidRDefault="009B5602">
            <w:pPr>
              <w:spacing w:before="120" w:after="120" w:line="240" w:lineRule="auto"/>
              <w:jc w:val="center"/>
              <w:rPr>
                <w:rFonts w:ascii="Times New Roman" w:hAnsi="Times New Roman"/>
                <w:b/>
                <w:bCs/>
                <w:noProof/>
                <w:sz w:val="20"/>
                <w:szCs w:val="20"/>
              </w:rPr>
            </w:pPr>
          </w:p>
        </w:tc>
        <w:tc>
          <w:tcPr>
            <w:tcW w:w="1701" w:type="dxa"/>
            <w:vMerge/>
            <w:tcBorders>
              <w:left w:val="nil"/>
              <w:bottom w:val="single" w:sz="4" w:space="0" w:color="auto"/>
              <w:right w:val="single" w:sz="4" w:space="0" w:color="auto"/>
            </w:tcBorders>
            <w:shd w:val="clear" w:color="auto" w:fill="BDD7EE"/>
            <w:vAlign w:val="center"/>
            <w:hideMark/>
          </w:tcPr>
          <w:p w:rsidR="009B5602" w:rsidRDefault="009B5602">
            <w:pPr>
              <w:spacing w:before="120" w:after="120" w:line="240" w:lineRule="auto"/>
              <w:jc w:val="center"/>
              <w:rPr>
                <w:rFonts w:ascii="Times New Roman" w:hAnsi="Times New Roman"/>
                <w:b/>
                <w:bCs/>
                <w:noProof/>
                <w:sz w:val="20"/>
                <w:szCs w:val="20"/>
              </w:rPr>
            </w:pPr>
          </w:p>
        </w:tc>
        <w:tc>
          <w:tcPr>
            <w:tcW w:w="709" w:type="dxa"/>
            <w:tcBorders>
              <w:top w:val="nil"/>
              <w:left w:val="nil"/>
              <w:bottom w:val="single" w:sz="4" w:space="0" w:color="auto"/>
              <w:right w:val="single" w:sz="4" w:space="0" w:color="auto"/>
            </w:tcBorders>
            <w:shd w:val="clear" w:color="auto" w:fill="BDD7EE"/>
            <w:vAlign w:val="center"/>
            <w:hideMark/>
          </w:tcPr>
          <w:p w:rsidR="009B5602" w:rsidRDefault="00886830">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merska enota</w:t>
            </w:r>
          </w:p>
        </w:tc>
        <w:tc>
          <w:tcPr>
            <w:tcW w:w="850" w:type="dxa"/>
            <w:tcBorders>
              <w:top w:val="nil"/>
              <w:left w:val="nil"/>
              <w:bottom w:val="single" w:sz="4" w:space="0" w:color="auto"/>
              <w:right w:val="single" w:sz="4" w:space="0" w:color="auto"/>
            </w:tcBorders>
            <w:shd w:val="clear" w:color="auto" w:fill="BDD7EE"/>
            <w:vAlign w:val="center"/>
            <w:hideMark/>
          </w:tcPr>
          <w:p w:rsidR="009B5602" w:rsidRDefault="00886830">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Izhodiščna raven</w:t>
            </w:r>
          </w:p>
        </w:tc>
        <w:tc>
          <w:tcPr>
            <w:tcW w:w="567" w:type="dxa"/>
            <w:tcBorders>
              <w:top w:val="nil"/>
              <w:left w:val="nil"/>
              <w:bottom w:val="single" w:sz="4" w:space="0" w:color="auto"/>
              <w:right w:val="single" w:sz="4" w:space="0" w:color="auto"/>
            </w:tcBorders>
            <w:shd w:val="clear" w:color="auto" w:fill="BDD7EE"/>
            <w:vAlign w:val="center"/>
            <w:hideMark/>
          </w:tcPr>
          <w:p w:rsidR="009B5602" w:rsidRDefault="00886830">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Ciljna raven</w:t>
            </w:r>
          </w:p>
        </w:tc>
        <w:tc>
          <w:tcPr>
            <w:tcW w:w="992" w:type="dxa"/>
            <w:tcBorders>
              <w:top w:val="nil"/>
              <w:left w:val="nil"/>
              <w:bottom w:val="single" w:sz="4" w:space="0" w:color="auto"/>
              <w:right w:val="single" w:sz="4" w:space="0" w:color="auto"/>
            </w:tcBorders>
            <w:shd w:val="clear" w:color="auto" w:fill="BDD7EE"/>
            <w:vAlign w:val="center"/>
            <w:hideMark/>
          </w:tcPr>
          <w:p w:rsidR="009B5602" w:rsidRDefault="00886830">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Četrtletje</w:t>
            </w:r>
          </w:p>
        </w:tc>
        <w:tc>
          <w:tcPr>
            <w:tcW w:w="852" w:type="dxa"/>
            <w:tcBorders>
              <w:top w:val="nil"/>
              <w:left w:val="nil"/>
              <w:bottom w:val="single" w:sz="4" w:space="0" w:color="auto"/>
              <w:right w:val="single" w:sz="4" w:space="0" w:color="auto"/>
            </w:tcBorders>
            <w:shd w:val="clear" w:color="auto" w:fill="BDD7EE"/>
            <w:vAlign w:val="center"/>
            <w:hideMark/>
          </w:tcPr>
          <w:p w:rsidR="009B5602" w:rsidRDefault="00886830">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Leto</w:t>
            </w:r>
          </w:p>
        </w:tc>
        <w:tc>
          <w:tcPr>
            <w:tcW w:w="4394" w:type="dxa"/>
            <w:vMerge/>
            <w:tcBorders>
              <w:left w:val="nil"/>
              <w:bottom w:val="single" w:sz="4" w:space="0" w:color="auto"/>
              <w:right w:val="single" w:sz="4" w:space="0" w:color="auto"/>
            </w:tcBorders>
            <w:shd w:val="clear" w:color="auto" w:fill="BDD7EE"/>
            <w:vAlign w:val="center"/>
            <w:hideMark/>
          </w:tcPr>
          <w:p w:rsidR="009B5602" w:rsidRDefault="009B5602">
            <w:pPr>
              <w:spacing w:before="120" w:after="120" w:line="240" w:lineRule="auto"/>
              <w:rPr>
                <w:rFonts w:ascii="Times New Roman" w:hAnsi="Times New Roman"/>
                <w:noProof/>
                <w:sz w:val="20"/>
                <w:szCs w:val="20"/>
              </w:rPr>
            </w:pPr>
          </w:p>
        </w:tc>
      </w:tr>
      <w:tr w:rsidR="009B5602">
        <w:trPr>
          <w:trHeight w:val="972"/>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1</w:t>
            </w:r>
          </w:p>
        </w:tc>
        <w:tc>
          <w:tcPr>
            <w:tcW w:w="1446"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Izobraževanje za 21. stoletje – Reforma 1: Izobraževalna vsebina in reforma oblike – Reforma učnih načrtov in učbenikov</w:t>
            </w:r>
          </w:p>
        </w:tc>
        <w:tc>
          <w:tcPr>
            <w:tcW w:w="124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mejnik</w:t>
            </w:r>
          </w:p>
        </w:tc>
        <w:tc>
          <w:tcPr>
            <w:tcW w:w="2268"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Odobritev končne različice novega učnega načrta za vse osnovne in nižje srednje šole, organizirane v večletnih izobraževalnih</w:t>
            </w:r>
            <w:r>
              <w:rPr>
                <w:rFonts w:ascii="Times New Roman" w:hAnsi="Times New Roman"/>
                <w:noProof/>
                <w:color w:val="006100"/>
                <w:sz w:val="20"/>
                <w:szCs w:val="20"/>
              </w:rPr>
              <w:t xml:space="preserve"> ciklih</w:t>
            </w:r>
          </w:p>
        </w:tc>
        <w:tc>
          <w:tcPr>
            <w:tcW w:w="1701" w:type="dxa"/>
            <w:tcBorders>
              <w:top w:val="nil"/>
              <w:left w:val="nil"/>
              <w:bottom w:val="single" w:sz="4" w:space="0" w:color="auto"/>
              <w:right w:val="single" w:sz="4" w:space="0" w:color="auto"/>
            </w:tcBorders>
            <w:shd w:val="clear" w:color="auto" w:fill="C6EFCE"/>
            <w:vAlign w:val="center"/>
            <w:hideMark/>
          </w:tcPr>
          <w:p w:rsidR="009B5602" w:rsidRDefault="009B5602">
            <w:pPr>
              <w:spacing w:before="120" w:after="120" w:line="240" w:lineRule="auto"/>
              <w:jc w:val="both"/>
              <w:rPr>
                <w:rFonts w:ascii="Times New Roman" w:hAnsi="Times New Roman"/>
                <w:noProof/>
                <w:color w:val="006100"/>
                <w:sz w:val="20"/>
                <w:szCs w:val="20"/>
              </w:rPr>
            </w:pPr>
          </w:p>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Odobritev novega državnega programa osnovnošolskega in nižjega srednješolskega izobraževanja s strani ministra za šolstvo. </w:t>
            </w:r>
          </w:p>
        </w:tc>
        <w:tc>
          <w:tcPr>
            <w:tcW w:w="70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850"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56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Q1</w:t>
            </w:r>
          </w:p>
        </w:tc>
        <w:tc>
          <w:tcPr>
            <w:tcW w:w="85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2023</w:t>
            </w:r>
          </w:p>
        </w:tc>
        <w:tc>
          <w:tcPr>
            <w:tcW w:w="4394"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V okviru ciklov se izvaja celovit učni načrt za osnovnošolske in nižje srednje šole. V ciklih se opredelijo </w:t>
            </w:r>
            <w:r>
              <w:rPr>
                <w:rFonts w:ascii="Times New Roman" w:hAnsi="Times New Roman"/>
                <w:noProof/>
                <w:color w:val="006100"/>
                <w:sz w:val="20"/>
                <w:szCs w:val="20"/>
              </w:rPr>
              <w:t>osnovni učni cilji za področja in ne za podrobne vsebine, s čimer se ustvarja prožnost za razvoj učnih načrtov na šolski ravni. Izvedbena faza se začne septembra 2023 z obveznostjo prenosa vseh osnovnih šol v nov učni načrt do septembra 2026.</w:t>
            </w:r>
          </w:p>
          <w:p w:rsidR="009B5602" w:rsidRDefault="009B5602">
            <w:pPr>
              <w:spacing w:before="120" w:after="120" w:line="240" w:lineRule="auto"/>
              <w:rPr>
                <w:rFonts w:ascii="Times New Roman" w:hAnsi="Times New Roman"/>
                <w:noProof/>
                <w:color w:val="006100"/>
                <w:sz w:val="20"/>
                <w:szCs w:val="20"/>
              </w:rPr>
            </w:pPr>
          </w:p>
          <w:p w:rsidR="009B5602" w:rsidRDefault="009B5602">
            <w:pPr>
              <w:spacing w:before="120" w:after="120" w:line="240" w:lineRule="auto"/>
              <w:rPr>
                <w:rFonts w:ascii="Times New Roman" w:hAnsi="Times New Roman"/>
                <w:noProof/>
                <w:color w:val="006100"/>
                <w:sz w:val="20"/>
                <w:szCs w:val="20"/>
              </w:rPr>
            </w:pPr>
          </w:p>
        </w:tc>
      </w:tr>
      <w:tr w:rsidR="009B5602">
        <w:trPr>
          <w:trHeight w:val="1811"/>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w:t>
            </w:r>
          </w:p>
        </w:tc>
        <w:tc>
          <w:tcPr>
            <w:tcW w:w="1446"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7 – </w:t>
            </w:r>
            <w:r>
              <w:rPr>
                <w:rFonts w:ascii="Times New Roman" w:hAnsi="Times New Roman"/>
                <w:noProof/>
                <w:color w:val="006100"/>
                <w:sz w:val="20"/>
                <w:szCs w:val="20"/>
              </w:rPr>
              <w:t>Izobraževanje za 21. stoletje – Reforma 1: Izobraževalna vsebina in reforma oblike – Reforma učnih načrtov in učbenikov</w:t>
            </w:r>
          </w:p>
        </w:tc>
        <w:tc>
          <w:tcPr>
            <w:tcW w:w="124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cilj</w:t>
            </w:r>
          </w:p>
        </w:tc>
        <w:tc>
          <w:tcPr>
            <w:tcW w:w="2268"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Vzpostavitev mreže regionalnih podpornih centrov</w:t>
            </w:r>
          </w:p>
        </w:tc>
        <w:tc>
          <w:tcPr>
            <w:tcW w:w="1701" w:type="dxa"/>
            <w:tcBorders>
              <w:top w:val="nil"/>
              <w:left w:val="nil"/>
              <w:bottom w:val="single" w:sz="4" w:space="0" w:color="auto"/>
              <w:right w:val="single" w:sz="4" w:space="0" w:color="auto"/>
            </w:tcBorders>
            <w:shd w:val="clear" w:color="auto" w:fill="C6EFCE"/>
            <w:noWrap/>
            <w:vAlign w:val="center"/>
            <w:hideMark/>
          </w:tcPr>
          <w:p w:rsidR="009B5602" w:rsidRDefault="009B5602">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število</w:t>
            </w:r>
          </w:p>
        </w:tc>
        <w:tc>
          <w:tcPr>
            <w:tcW w:w="850"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0</w:t>
            </w:r>
          </w:p>
        </w:tc>
        <w:tc>
          <w:tcPr>
            <w:tcW w:w="56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40</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Q3</w:t>
            </w:r>
          </w:p>
        </w:tc>
        <w:tc>
          <w:tcPr>
            <w:tcW w:w="85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2024</w:t>
            </w:r>
          </w:p>
        </w:tc>
        <w:tc>
          <w:tcPr>
            <w:tcW w:w="4394"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Regionalni centri za upravljanje učnih načrtov in podpora šo</w:t>
            </w:r>
            <w:r>
              <w:rPr>
                <w:rFonts w:ascii="Times New Roman" w:hAnsi="Times New Roman"/>
                <w:noProof/>
                <w:color w:val="006100"/>
                <w:sz w:val="20"/>
                <w:szCs w:val="20"/>
              </w:rPr>
              <w:t>lam pri uvajanju sprememb se razvijajo na regionalni ravni z mentorstvom, svetovanjem in posvetovalnimi dejavnostmi. Skupno je 40 centrov (eno središče za dve okrožji) s skupino učiteljev, direktorjev šol, drugega strokovnjaka za izobraževanje mladih in od</w:t>
            </w:r>
            <w:r>
              <w:rPr>
                <w:rFonts w:ascii="Times New Roman" w:hAnsi="Times New Roman"/>
                <w:noProof/>
                <w:color w:val="006100"/>
                <w:sz w:val="20"/>
                <w:szCs w:val="20"/>
              </w:rPr>
              <w:t>raslih, strokovnjakov iz tretjega sektorja in strokovnjakov iz fakultet, ki pripravljajo učitelje v regiji.</w:t>
            </w:r>
          </w:p>
        </w:tc>
      </w:tr>
      <w:tr w:rsidR="009B5602">
        <w:trPr>
          <w:trHeight w:val="1349"/>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3</w:t>
            </w:r>
          </w:p>
        </w:tc>
        <w:tc>
          <w:tcPr>
            <w:tcW w:w="1446"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Izobraževanje za 21. stoletje – Reforma 1: Izobraževalna vsebina in reforma oblike – Reforma učnih načrtov in učbenikov</w:t>
            </w:r>
          </w:p>
        </w:tc>
        <w:tc>
          <w:tcPr>
            <w:tcW w:w="124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cilj</w:t>
            </w:r>
          </w:p>
        </w:tc>
        <w:tc>
          <w:tcPr>
            <w:tcW w:w="2268"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Osnovne šole, ki izvajajo nov učni načrt (v odstotkih) </w:t>
            </w:r>
          </w:p>
        </w:tc>
        <w:tc>
          <w:tcPr>
            <w:tcW w:w="1701" w:type="dxa"/>
            <w:tcBorders>
              <w:top w:val="nil"/>
              <w:left w:val="nil"/>
              <w:bottom w:val="single" w:sz="4" w:space="0" w:color="auto"/>
              <w:right w:val="single" w:sz="4" w:space="0" w:color="auto"/>
            </w:tcBorders>
            <w:shd w:val="clear" w:color="auto" w:fill="C6EFCE"/>
            <w:noWrap/>
            <w:vAlign w:val="center"/>
            <w:hideMark/>
          </w:tcPr>
          <w:p w:rsidR="009B5602" w:rsidRDefault="009B5602">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w:t>
            </w:r>
          </w:p>
        </w:tc>
        <w:tc>
          <w:tcPr>
            <w:tcW w:w="850"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0</w:t>
            </w:r>
          </w:p>
        </w:tc>
        <w:tc>
          <w:tcPr>
            <w:tcW w:w="56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30</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Q4</w:t>
            </w:r>
          </w:p>
        </w:tc>
        <w:tc>
          <w:tcPr>
            <w:tcW w:w="85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2025</w:t>
            </w:r>
          </w:p>
        </w:tc>
        <w:tc>
          <w:tcPr>
            <w:tcW w:w="4394"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Vsaj 30 % javnih osnovnih šol, ki izvajajo novi učni načrt</w:t>
            </w:r>
          </w:p>
        </w:tc>
      </w:tr>
      <w:tr w:rsidR="009B5602">
        <w:trPr>
          <w:trHeight w:val="900"/>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4</w:t>
            </w:r>
          </w:p>
        </w:tc>
        <w:tc>
          <w:tcPr>
            <w:tcW w:w="1446"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7 – Izobraževanje za 21. stoletje – Reforma 1: Izobraževalna vsebina in reforma oblike – Reforma učnih načrtov in </w:t>
            </w:r>
            <w:r>
              <w:rPr>
                <w:rFonts w:ascii="Times New Roman" w:hAnsi="Times New Roman"/>
                <w:noProof/>
                <w:color w:val="006100"/>
                <w:sz w:val="20"/>
                <w:szCs w:val="20"/>
              </w:rPr>
              <w:t>učbenikov</w:t>
            </w:r>
          </w:p>
        </w:tc>
        <w:tc>
          <w:tcPr>
            <w:tcW w:w="124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cilj</w:t>
            </w:r>
          </w:p>
        </w:tc>
        <w:tc>
          <w:tcPr>
            <w:tcW w:w="2268"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Uvedba spletnega matura (končni izpit za diplomante višjega sekundarnega izobraževanja)</w:t>
            </w:r>
          </w:p>
        </w:tc>
        <w:tc>
          <w:tcPr>
            <w:tcW w:w="1701" w:type="dxa"/>
            <w:tcBorders>
              <w:top w:val="nil"/>
              <w:left w:val="nil"/>
              <w:bottom w:val="single" w:sz="4" w:space="0" w:color="auto"/>
              <w:right w:val="single" w:sz="4" w:space="0" w:color="auto"/>
            </w:tcBorders>
            <w:shd w:val="clear" w:color="auto" w:fill="C6EFCE"/>
            <w:noWrap/>
            <w:vAlign w:val="center"/>
            <w:hideMark/>
          </w:tcPr>
          <w:p w:rsidR="009B5602" w:rsidRDefault="009B5602">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w:t>
            </w:r>
          </w:p>
        </w:tc>
        <w:tc>
          <w:tcPr>
            <w:tcW w:w="850"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23</w:t>
            </w:r>
          </w:p>
        </w:tc>
        <w:tc>
          <w:tcPr>
            <w:tcW w:w="56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100</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Q4</w:t>
            </w:r>
          </w:p>
        </w:tc>
        <w:tc>
          <w:tcPr>
            <w:tcW w:w="85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2025</w:t>
            </w:r>
          </w:p>
        </w:tc>
        <w:tc>
          <w:tcPr>
            <w:tcW w:w="4394"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Delež matura (končni izpit za diplomante višje sekundarne izobrazbe), opravljen na internetu.</w:t>
            </w:r>
          </w:p>
        </w:tc>
      </w:tr>
      <w:tr w:rsidR="009B5602">
        <w:trPr>
          <w:trHeight w:val="2253"/>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5</w:t>
            </w:r>
          </w:p>
        </w:tc>
        <w:tc>
          <w:tcPr>
            <w:tcW w:w="1446"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7 – Izobraževanje za 21. stoletje – </w:t>
            </w:r>
            <w:r>
              <w:rPr>
                <w:rFonts w:ascii="Times New Roman" w:hAnsi="Times New Roman"/>
                <w:noProof/>
                <w:color w:val="006100"/>
                <w:sz w:val="20"/>
                <w:szCs w:val="20"/>
              </w:rPr>
              <w:t>Reforma 2: Priprava in razvoj učiteljev na nove vsebine in oblike poučevanja</w:t>
            </w:r>
          </w:p>
        </w:tc>
        <w:tc>
          <w:tcPr>
            <w:tcW w:w="124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mejnik</w:t>
            </w:r>
          </w:p>
        </w:tc>
        <w:tc>
          <w:tcPr>
            <w:tcW w:w="2268"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Začetek veljavnosti zakonodajnih sprememb za izboljšanje kakovosti znanj in spretnosti učiteljskega in strokovnega osebja ter njihovo motiviranje za vseživljenjsko poklicno</w:t>
            </w:r>
            <w:r>
              <w:rPr>
                <w:rFonts w:ascii="Times New Roman" w:hAnsi="Times New Roman"/>
                <w:noProof/>
                <w:color w:val="006100"/>
                <w:sz w:val="20"/>
                <w:szCs w:val="20"/>
              </w:rPr>
              <w:t xml:space="preserve"> izpopolnjevanje</w:t>
            </w:r>
          </w:p>
        </w:tc>
        <w:tc>
          <w:tcPr>
            <w:tcW w:w="1701"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Začetek veljavnosti sprememb Zakona št. 138/2019 o pedagoških in poklicnih delavcih, Zakona št. 597/2003 zb., Zakona št. 131/2002 o visokem šolstvu, </w:t>
            </w:r>
          </w:p>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ter odloka št. 244/2019 in št. 1/2020 slovaškega ministrstva za izobraževanje, znanost, r</w:t>
            </w:r>
            <w:r>
              <w:rPr>
                <w:rFonts w:ascii="Times New Roman" w:hAnsi="Times New Roman"/>
                <w:noProof/>
                <w:color w:val="006100"/>
                <w:sz w:val="20"/>
                <w:szCs w:val="20"/>
              </w:rPr>
              <w:t xml:space="preserve">aziskave in šport o sistemu študijskih sindikatov Slovaške republike.  </w:t>
            </w:r>
          </w:p>
        </w:tc>
        <w:tc>
          <w:tcPr>
            <w:tcW w:w="70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850"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56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Q1</w:t>
            </w:r>
          </w:p>
        </w:tc>
        <w:tc>
          <w:tcPr>
            <w:tcW w:w="85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2023</w:t>
            </w:r>
          </w:p>
        </w:tc>
        <w:tc>
          <w:tcPr>
            <w:tcW w:w="4394"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Zakonodajne spremembe prinašajo: </w:t>
            </w:r>
          </w:p>
          <w:p w:rsidR="009B5602" w:rsidRDefault="00886830">
            <w:pPr>
              <w:numPr>
                <w:ilvl w:val="0"/>
                <w:numId w:val="23"/>
              </w:numPr>
              <w:spacing w:before="120" w:after="160" w:line="259" w:lineRule="auto"/>
              <w:contextualSpacing/>
              <w:jc w:val="both"/>
              <w:rPr>
                <w:rFonts w:ascii="Times New Roman" w:hAnsi="Times New Roman"/>
                <w:noProof/>
                <w:color w:val="006100"/>
                <w:sz w:val="20"/>
                <w:szCs w:val="20"/>
              </w:rPr>
            </w:pPr>
            <w:r>
              <w:rPr>
                <w:rFonts w:ascii="Times New Roman" w:hAnsi="Times New Roman"/>
                <w:noProof/>
                <w:color w:val="006100"/>
                <w:sz w:val="20"/>
                <w:szCs w:val="20"/>
              </w:rPr>
              <w:t xml:space="preserve">Uvedba novih študijskih programov za pripravo prihodnjih učiteljev, </w:t>
            </w:r>
          </w:p>
          <w:p w:rsidR="009B5602" w:rsidRDefault="00886830">
            <w:pPr>
              <w:numPr>
                <w:ilvl w:val="0"/>
                <w:numId w:val="23"/>
              </w:numPr>
              <w:spacing w:before="120" w:after="160" w:line="259" w:lineRule="auto"/>
              <w:contextualSpacing/>
              <w:jc w:val="both"/>
              <w:rPr>
                <w:rFonts w:ascii="Times New Roman" w:hAnsi="Times New Roman"/>
                <w:noProof/>
                <w:color w:val="006100"/>
                <w:sz w:val="20"/>
                <w:szCs w:val="20"/>
              </w:rPr>
            </w:pPr>
            <w:r>
              <w:rPr>
                <w:rFonts w:ascii="Times New Roman" w:hAnsi="Times New Roman"/>
                <w:noProof/>
                <w:color w:val="006100"/>
                <w:sz w:val="20"/>
                <w:szCs w:val="20"/>
              </w:rPr>
              <w:t xml:space="preserve">program nepovratnih sredstev za univerze v podporo oblikovanju </w:t>
            </w:r>
            <w:r>
              <w:rPr>
                <w:rFonts w:ascii="Times New Roman" w:hAnsi="Times New Roman"/>
                <w:noProof/>
                <w:color w:val="006100"/>
                <w:sz w:val="20"/>
                <w:szCs w:val="20"/>
              </w:rPr>
              <w:t>novih učnih načrtov. To vključuje financiranje sprememb v programih, ki podpirajo uvedbo vključujočega izobraževanja, izobraževanje učencev z različnimi maternimi jeziki in razvoj digitalnih kompetenc med učenci, ki poučujejo.</w:t>
            </w:r>
          </w:p>
          <w:p w:rsidR="009B5602" w:rsidRDefault="00886830">
            <w:pPr>
              <w:numPr>
                <w:ilvl w:val="0"/>
                <w:numId w:val="23"/>
              </w:numPr>
              <w:spacing w:before="120" w:after="160" w:line="259" w:lineRule="auto"/>
              <w:contextualSpacing/>
              <w:jc w:val="both"/>
              <w:rPr>
                <w:rFonts w:ascii="Times New Roman" w:hAnsi="Times New Roman"/>
                <w:noProof/>
                <w:color w:val="006100"/>
                <w:sz w:val="20"/>
                <w:szCs w:val="20"/>
              </w:rPr>
            </w:pPr>
            <w:r>
              <w:rPr>
                <w:rFonts w:ascii="Times New Roman" w:hAnsi="Times New Roman"/>
                <w:noProof/>
                <w:color w:val="006100"/>
                <w:sz w:val="20"/>
                <w:szCs w:val="20"/>
              </w:rPr>
              <w:t>Dodatek za spodbujanje učitel</w:t>
            </w:r>
            <w:r>
              <w:rPr>
                <w:rFonts w:ascii="Times New Roman" w:hAnsi="Times New Roman"/>
                <w:noProof/>
                <w:color w:val="006100"/>
                <w:sz w:val="20"/>
                <w:szCs w:val="20"/>
              </w:rPr>
              <w:t>jskega in strokovnega osebja k vseživljenjskemu strokovnemu razvoju;</w:t>
            </w:r>
          </w:p>
          <w:p w:rsidR="009B5602" w:rsidRDefault="00886830">
            <w:pPr>
              <w:numPr>
                <w:ilvl w:val="0"/>
                <w:numId w:val="23"/>
              </w:numPr>
              <w:spacing w:before="120" w:after="160" w:line="259" w:lineRule="auto"/>
              <w:contextualSpacing/>
              <w:jc w:val="both"/>
              <w:rPr>
                <w:rFonts w:ascii="Times New Roman" w:hAnsi="Times New Roman"/>
                <w:noProof/>
                <w:color w:val="006100"/>
                <w:sz w:val="20"/>
                <w:szCs w:val="20"/>
              </w:rPr>
            </w:pPr>
            <w:r>
              <w:rPr>
                <w:rFonts w:ascii="Times New Roman" w:hAnsi="Times New Roman"/>
                <w:noProof/>
                <w:color w:val="006100"/>
                <w:sz w:val="20"/>
                <w:szCs w:val="20"/>
              </w:rPr>
              <w:t xml:space="preserve"> Ureditev pristojnosti in obsega ponudnikov potrdil, funkcionalnega izobraževanja in izobraževanja o kvalifikacijah v izobraževalnem sektorju.</w:t>
            </w:r>
          </w:p>
          <w:p w:rsidR="009B5602" w:rsidRDefault="00886830">
            <w:pPr>
              <w:numPr>
                <w:ilvl w:val="0"/>
                <w:numId w:val="23"/>
              </w:numPr>
              <w:spacing w:before="120" w:after="160" w:line="259" w:lineRule="auto"/>
              <w:contextualSpacing/>
              <w:jc w:val="both"/>
              <w:rPr>
                <w:rFonts w:ascii="Times New Roman" w:hAnsi="Times New Roman"/>
                <w:noProof/>
                <w:color w:val="006100"/>
                <w:sz w:val="20"/>
                <w:szCs w:val="20"/>
              </w:rPr>
            </w:pPr>
            <w:r>
              <w:rPr>
                <w:rFonts w:ascii="Times New Roman" w:hAnsi="Times New Roman"/>
                <w:noProof/>
                <w:color w:val="006100"/>
                <w:sz w:val="20"/>
                <w:szCs w:val="20"/>
              </w:rPr>
              <w:t>nov model akreditacije programov usposabljan</w:t>
            </w:r>
            <w:r>
              <w:rPr>
                <w:rFonts w:ascii="Times New Roman" w:hAnsi="Times New Roman"/>
                <w:noProof/>
                <w:color w:val="006100"/>
                <w:sz w:val="20"/>
                <w:szCs w:val="20"/>
              </w:rPr>
              <w:t xml:space="preserve">ja za poklicni razvoj. </w:t>
            </w:r>
          </w:p>
          <w:p w:rsidR="009B5602" w:rsidRDefault="009B5602">
            <w:pPr>
              <w:spacing w:before="120" w:after="120" w:line="240" w:lineRule="auto"/>
              <w:rPr>
                <w:rFonts w:ascii="Times New Roman" w:hAnsi="Times New Roman"/>
                <w:noProof/>
                <w:color w:val="006100"/>
                <w:sz w:val="20"/>
                <w:szCs w:val="20"/>
              </w:rPr>
            </w:pPr>
          </w:p>
        </w:tc>
      </w:tr>
      <w:tr w:rsidR="009B5602">
        <w:trPr>
          <w:trHeight w:val="2318"/>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6</w:t>
            </w:r>
          </w:p>
        </w:tc>
        <w:tc>
          <w:tcPr>
            <w:tcW w:w="1446"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Izobraževanje za 21. stoletje – Reforma 2: Priprava in razvoj učiteljev na nove vsebine in oblike poučevanja</w:t>
            </w:r>
          </w:p>
        </w:tc>
        <w:tc>
          <w:tcPr>
            <w:tcW w:w="124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cilj </w:t>
            </w:r>
          </w:p>
        </w:tc>
        <w:tc>
          <w:tcPr>
            <w:tcW w:w="2268"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Odstotek usposobljenih učiteljev, zlasti za pripravo novega učnega načrta, vključujočega izobraževanja ter </w:t>
            </w:r>
            <w:r>
              <w:rPr>
                <w:rFonts w:ascii="Times New Roman" w:hAnsi="Times New Roman"/>
                <w:noProof/>
                <w:color w:val="006100"/>
                <w:sz w:val="20"/>
                <w:szCs w:val="20"/>
              </w:rPr>
              <w:t>digitalnih znanj in spretnosti</w:t>
            </w:r>
          </w:p>
        </w:tc>
        <w:tc>
          <w:tcPr>
            <w:tcW w:w="1701" w:type="dxa"/>
            <w:tcBorders>
              <w:top w:val="nil"/>
              <w:left w:val="nil"/>
              <w:bottom w:val="single" w:sz="4" w:space="0" w:color="auto"/>
              <w:right w:val="single" w:sz="4" w:space="0" w:color="auto"/>
            </w:tcBorders>
            <w:shd w:val="clear" w:color="auto" w:fill="C6EFCE"/>
            <w:vAlign w:val="center"/>
            <w:hideMark/>
          </w:tcPr>
          <w:p w:rsidR="009B5602" w:rsidRDefault="009B5602">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850"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0</w:t>
            </w:r>
          </w:p>
        </w:tc>
        <w:tc>
          <w:tcPr>
            <w:tcW w:w="56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60</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Q4</w:t>
            </w:r>
          </w:p>
        </w:tc>
        <w:tc>
          <w:tcPr>
            <w:tcW w:w="85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2023</w:t>
            </w:r>
          </w:p>
        </w:tc>
        <w:tc>
          <w:tcPr>
            <w:tcW w:w="4394"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Do 31. decembra 2023 se usposablja vsaj 60 % učiteljev. </w:t>
            </w:r>
          </w:p>
        </w:tc>
      </w:tr>
      <w:tr w:rsidR="009B5602">
        <w:trPr>
          <w:trHeight w:val="551"/>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7</w:t>
            </w:r>
          </w:p>
        </w:tc>
        <w:tc>
          <w:tcPr>
            <w:tcW w:w="1446"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Izobraževanje za 21. stoletje – Naložba 1: Digitalna infrastruktura v šolah</w:t>
            </w:r>
          </w:p>
        </w:tc>
        <w:tc>
          <w:tcPr>
            <w:tcW w:w="124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cilj</w:t>
            </w:r>
          </w:p>
        </w:tc>
        <w:tc>
          <w:tcPr>
            <w:tcW w:w="2268"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Povečanje deleža šol z osnovno ravnjo digitalne opreme</w:t>
            </w:r>
          </w:p>
        </w:tc>
        <w:tc>
          <w:tcPr>
            <w:tcW w:w="1701" w:type="dxa"/>
            <w:tcBorders>
              <w:top w:val="nil"/>
              <w:left w:val="nil"/>
              <w:bottom w:val="single" w:sz="4" w:space="0" w:color="auto"/>
              <w:right w:val="single" w:sz="4" w:space="0" w:color="auto"/>
            </w:tcBorders>
            <w:shd w:val="clear" w:color="auto" w:fill="C6EFCE"/>
            <w:noWrap/>
            <w:vAlign w:val="center"/>
            <w:hideMark/>
          </w:tcPr>
          <w:p w:rsidR="009B5602" w:rsidRDefault="009B5602">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850"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30</w:t>
            </w:r>
          </w:p>
        </w:tc>
        <w:tc>
          <w:tcPr>
            <w:tcW w:w="56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90</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Q4</w:t>
            </w:r>
          </w:p>
        </w:tc>
        <w:tc>
          <w:tcPr>
            <w:tcW w:w="85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2024</w:t>
            </w:r>
          </w:p>
        </w:tc>
        <w:tc>
          <w:tcPr>
            <w:tcW w:w="4394" w:type="dxa"/>
            <w:tcBorders>
              <w:top w:val="nil"/>
              <w:left w:val="nil"/>
              <w:bottom w:val="single" w:sz="4" w:space="0" w:color="auto"/>
              <w:right w:val="single" w:sz="4" w:space="0" w:color="auto"/>
            </w:tcBorders>
            <w:shd w:val="clear" w:color="auto" w:fill="C6EFCE"/>
            <w:vAlign w:val="center"/>
            <w:hideMark/>
          </w:tcPr>
          <w:p w:rsidR="009B5602" w:rsidRDefault="009B5602">
            <w:pPr>
              <w:spacing w:before="120" w:after="120" w:line="240" w:lineRule="auto"/>
              <w:rPr>
                <w:rFonts w:ascii="Times New Roman" w:hAnsi="Times New Roman"/>
                <w:noProof/>
                <w:color w:val="006100"/>
                <w:sz w:val="20"/>
                <w:szCs w:val="20"/>
              </w:rPr>
            </w:pPr>
          </w:p>
        </w:tc>
      </w:tr>
      <w:tr w:rsidR="009B5602">
        <w:trPr>
          <w:trHeight w:val="70"/>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8</w:t>
            </w:r>
          </w:p>
        </w:tc>
        <w:tc>
          <w:tcPr>
            <w:tcW w:w="1446"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Izobraževanje za 21. stoletje – Naložba 2: Zaključek šolske infrastrukture</w:t>
            </w:r>
          </w:p>
        </w:tc>
        <w:tc>
          <w:tcPr>
            <w:tcW w:w="124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cilj</w:t>
            </w:r>
          </w:p>
        </w:tc>
        <w:tc>
          <w:tcPr>
            <w:tcW w:w="2268"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Odprava šol z dvojno izmeno </w:t>
            </w:r>
          </w:p>
        </w:tc>
        <w:tc>
          <w:tcPr>
            <w:tcW w:w="1701" w:type="dxa"/>
            <w:tcBorders>
              <w:top w:val="nil"/>
              <w:left w:val="nil"/>
              <w:bottom w:val="single" w:sz="4" w:space="0" w:color="auto"/>
              <w:right w:val="single" w:sz="4" w:space="0" w:color="auto"/>
            </w:tcBorders>
            <w:shd w:val="clear" w:color="auto" w:fill="C6EFCE"/>
            <w:noWrap/>
            <w:vAlign w:val="center"/>
            <w:hideMark/>
          </w:tcPr>
          <w:p w:rsidR="009B5602" w:rsidRDefault="009B5602">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število</w:t>
            </w:r>
          </w:p>
        </w:tc>
        <w:tc>
          <w:tcPr>
            <w:tcW w:w="850"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49</w:t>
            </w:r>
          </w:p>
        </w:tc>
        <w:tc>
          <w:tcPr>
            <w:tcW w:w="56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0</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Q2</w:t>
            </w:r>
          </w:p>
        </w:tc>
        <w:tc>
          <w:tcPr>
            <w:tcW w:w="85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2026</w:t>
            </w:r>
          </w:p>
        </w:tc>
        <w:tc>
          <w:tcPr>
            <w:tcW w:w="4394"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Cilj je odpraviti sedanjo dvoizmensko operacijo v 49 šolah. Obstaja poseben poziv k šolam z dvojnimi </w:t>
            </w:r>
            <w:r>
              <w:rPr>
                <w:rFonts w:ascii="Times New Roman" w:hAnsi="Times New Roman"/>
                <w:noProof/>
                <w:color w:val="006100"/>
                <w:sz w:val="20"/>
                <w:szCs w:val="20"/>
              </w:rPr>
              <w:t>izmenami, da bi zgradili nove prostore ali izvedli rekonstrukcijo prostorov, ki niso primerni za oskrbo učencev.</w:t>
            </w:r>
          </w:p>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Stavbe, ki so predmet prenove, prispevajo k zelenemu prehodu z doseganjem vsaj 30 % prihrankov primarne energije, kar se spremlja s certifikati</w:t>
            </w:r>
            <w:r>
              <w:rPr>
                <w:rFonts w:ascii="Times New Roman" w:hAnsi="Times New Roman"/>
                <w:noProof/>
                <w:color w:val="006100"/>
                <w:sz w:val="20"/>
                <w:szCs w:val="20"/>
              </w:rPr>
              <w:t xml:space="preserve"> o varčevanju z energijo.</w:t>
            </w:r>
          </w:p>
        </w:tc>
      </w:tr>
      <w:tr w:rsidR="009B5602">
        <w:trPr>
          <w:trHeight w:val="70"/>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9</w:t>
            </w:r>
          </w:p>
        </w:tc>
        <w:tc>
          <w:tcPr>
            <w:tcW w:w="1446"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Izobraževanje za 21. stoletje – Naložba 2: Zaključek šolske infrastrukture</w:t>
            </w:r>
          </w:p>
        </w:tc>
        <w:tc>
          <w:tcPr>
            <w:tcW w:w="124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cilj</w:t>
            </w:r>
          </w:p>
        </w:tc>
        <w:tc>
          <w:tcPr>
            <w:tcW w:w="2268"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 število šol z lastno knjižnico kot izobraževalnim centrom ali s posodobljeno knjižnico</w:t>
            </w:r>
          </w:p>
        </w:tc>
        <w:tc>
          <w:tcPr>
            <w:tcW w:w="1701" w:type="dxa"/>
            <w:tcBorders>
              <w:top w:val="nil"/>
              <w:left w:val="nil"/>
              <w:bottom w:val="single" w:sz="4" w:space="0" w:color="auto"/>
              <w:right w:val="single" w:sz="4" w:space="0" w:color="auto"/>
            </w:tcBorders>
            <w:shd w:val="clear" w:color="auto" w:fill="C6EFCE"/>
            <w:noWrap/>
            <w:vAlign w:val="center"/>
            <w:hideMark/>
          </w:tcPr>
          <w:p w:rsidR="009B5602" w:rsidRDefault="009B5602">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število</w:t>
            </w:r>
          </w:p>
        </w:tc>
        <w:tc>
          <w:tcPr>
            <w:tcW w:w="850"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0</w:t>
            </w:r>
          </w:p>
        </w:tc>
        <w:tc>
          <w:tcPr>
            <w:tcW w:w="56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200</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Q4</w:t>
            </w:r>
          </w:p>
        </w:tc>
        <w:tc>
          <w:tcPr>
            <w:tcW w:w="85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2024</w:t>
            </w:r>
          </w:p>
        </w:tc>
        <w:tc>
          <w:tcPr>
            <w:tcW w:w="4394" w:type="dxa"/>
            <w:tcBorders>
              <w:top w:val="nil"/>
              <w:left w:val="nil"/>
              <w:bottom w:val="single" w:sz="4" w:space="0" w:color="auto"/>
              <w:right w:val="single" w:sz="4" w:space="0" w:color="auto"/>
            </w:tcBorders>
            <w:shd w:val="clear" w:color="auto" w:fill="C6EFCE"/>
            <w:vAlign w:val="center"/>
            <w:hideMark/>
          </w:tcPr>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Cilj je preoblikovati šolske knjižnice za izobraževalne centre v šolah, ki jih obiskuje več kot 15 učencev iz šibkega socialno–ekonomskega okolja, da bi spodbujali bralno pismenost, kar je treba doseči z obnovo stavb ali gradnjo novih. V ta namen je potreb</w:t>
            </w:r>
            <w:r>
              <w:rPr>
                <w:rFonts w:ascii="Times New Roman" w:hAnsi="Times New Roman"/>
                <w:noProof/>
                <w:color w:val="006100"/>
                <w:sz w:val="20"/>
                <w:szCs w:val="20"/>
              </w:rPr>
              <w:t xml:space="preserve">en poseben razpis. To bo zagotovilo dostop do knjig učencem – 87 % učencev iz socialno prikrajšanih okolij in skupaj 28 % učencev, ki tega še nimajo. </w:t>
            </w:r>
          </w:p>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Med splošnim ciljem je vzpostaviti ali prenoviti 211, najmanj 200 knjižnic pa je zgrajenih ali obnovljeni</w:t>
            </w:r>
            <w:r>
              <w:rPr>
                <w:rFonts w:ascii="Times New Roman" w:hAnsi="Times New Roman"/>
                <w:noProof/>
                <w:color w:val="006100"/>
                <w:sz w:val="20"/>
                <w:szCs w:val="20"/>
              </w:rPr>
              <w:t>h.</w:t>
            </w:r>
          </w:p>
          <w:p w:rsidR="009B5602" w:rsidRDefault="00886830">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Stavbe, ki so predmet prenove, prispevajo k zelenemu prehodu z doseganjem vsaj 30 % prihrankov primarne energije, ki se spremljajo s certifikati o varčevanju z energijo.</w:t>
            </w:r>
          </w:p>
        </w:tc>
      </w:tr>
    </w:tbl>
    <w:p w:rsidR="009B5602" w:rsidRPr="00886830" w:rsidRDefault="009B5602">
      <w:pPr>
        <w:spacing w:before="120" w:after="120" w:line="240" w:lineRule="auto"/>
        <w:jc w:val="both"/>
        <w:rPr>
          <w:rFonts w:ascii="Times New Roman" w:hAnsi="Times New Roman"/>
          <w:b/>
          <w:noProof/>
          <w:sz w:val="24"/>
          <w:u w:val="single"/>
        </w:rPr>
        <w:sectPr w:rsidR="009B5602" w:rsidRPr="00886830">
          <w:headerReference w:type="even" r:id="rId96"/>
          <w:headerReference w:type="default" r:id="rId97"/>
          <w:footerReference w:type="even" r:id="rId98"/>
          <w:footerReference w:type="default" r:id="rId99"/>
          <w:headerReference w:type="first" r:id="rId100"/>
          <w:footerReference w:type="first" r:id="rId101"/>
          <w:pgSz w:w="16839" w:h="11907" w:orient="landscape"/>
          <w:pgMar w:top="1418" w:right="1134" w:bottom="1418" w:left="1134" w:header="709" w:footer="709" w:gutter="0"/>
          <w:cols w:space="720"/>
          <w:docGrid w:linePitch="360"/>
        </w:sectPr>
      </w:pPr>
    </w:p>
    <w:p w:rsidR="009B5602" w:rsidRDefault="00886830">
      <w:pPr>
        <w:keepNext/>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KOMPONENTA 8: Izboljšanje </w:t>
      </w:r>
      <w:r>
        <w:rPr>
          <w:rFonts w:ascii="Times New Roman" w:hAnsi="Times New Roman"/>
          <w:b/>
          <w:smallCaps/>
          <w:noProof/>
          <w:sz w:val="24"/>
        </w:rPr>
        <w:t>uspešnosti slovaških univerz</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Ključni cilj te komponente slovaškega načrta za okrevanje in odpornost je izboljšati kakovost uspešnosti slovaških visokošolskih ustanov. Uvedi se nova oblika financiranja poklicnih dodiplomskih programov in krajših terciarnih </w:t>
      </w:r>
      <w:r>
        <w:rPr>
          <w:rFonts w:ascii="Times New Roman" w:hAnsi="Times New Roman"/>
          <w:noProof/>
          <w:sz w:val="24"/>
        </w:rPr>
        <w:t>programov, da se študijski programi bolje prilagodijo potrebam trga dela. Za izboljšanje kakovosti znanosti se vzpostavi sistemsko ocenjevanje uspešnosti, ki podpira novi akreditacijski sistem. Komponenta okrepi reformo upravljanja univerz z dodelitvijo ve</w:t>
      </w:r>
      <w:r>
        <w:rPr>
          <w:rFonts w:ascii="Times New Roman" w:hAnsi="Times New Roman"/>
          <w:noProof/>
          <w:sz w:val="24"/>
        </w:rPr>
        <w:t xml:space="preserve">č pooblastil rektorju in upravnemu odboru ter vzpostavi shemo, ki spodbuja združitve visokošolskih institucij, da bi se zmanjšali upravni stroški in ustvaril učinek pozitivnega prelivanja znanja med subjekti.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Komponenta vključuje pet reform in eno naložbo</w:t>
      </w:r>
      <w:r>
        <w:rPr>
          <w:rFonts w:ascii="Times New Roman" w:hAnsi="Times New Roman"/>
          <w:noProof/>
          <w:sz w:val="24"/>
        </w:rPr>
        <w:t>.</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Pričakuje se, da noben ukrep v tej komponenti ne bo znatno škodoval okoljskim ciljem v smislu člena 17 Uredbe (EU) 2020/852, ob upoštevanju opisa ukrepov in ukrepov za ublažitev, določenih v načrtu za okrevanje in odpornost v skladu s tehničnimi smernica</w:t>
      </w:r>
      <w:r>
        <w:rPr>
          <w:rFonts w:ascii="Times New Roman" w:hAnsi="Times New Roman"/>
          <w:noProof/>
          <w:sz w:val="24"/>
          <w:szCs w:val="24"/>
        </w:rPr>
        <w:t xml:space="preserve">mi za uporabo načela, da se ne škoduje bistveno (2021/C58/01).  </w:t>
      </w:r>
    </w:p>
    <w:p w:rsidR="009B5602" w:rsidRDefault="00886830">
      <w:pPr>
        <w:tabs>
          <w:tab w:val="left" w:pos="993"/>
        </w:tabs>
        <w:spacing w:before="120" w:after="120" w:line="240" w:lineRule="auto"/>
        <w:jc w:val="both"/>
        <w:rPr>
          <w:rFonts w:ascii="Times New Roman" w:hAnsi="Times New Roman"/>
          <w:noProof/>
          <w:sz w:val="24"/>
        </w:rPr>
      </w:pPr>
      <w:r>
        <w:rPr>
          <w:rFonts w:ascii="Times New Roman" w:hAnsi="Times New Roman"/>
          <w:noProof/>
          <w:sz w:val="24"/>
        </w:rPr>
        <w:t xml:space="preserve">Komponenta prispeva k obravnavanju priporočil za posamezno državo, naslovljenih na Slovaško v zadnjih dveh letih, o potrebi po izboljšanju kakovosti in vključenosti izobraževanja na vseh </w:t>
      </w:r>
      <w:r>
        <w:rPr>
          <w:rFonts w:ascii="Times New Roman" w:hAnsi="Times New Roman"/>
          <w:noProof/>
          <w:sz w:val="24"/>
        </w:rPr>
        <w:t>ravneh ter spodbujanju znanj in spretnosti.</w:t>
      </w:r>
      <w:r>
        <w:rPr>
          <w:rFonts w:ascii="Times New Roman" w:hAnsi="Times New Roman"/>
          <w:i/>
          <w:iCs/>
          <w:noProof/>
          <w:sz w:val="24"/>
        </w:rPr>
        <w:t xml:space="preserve"> </w:t>
      </w:r>
      <w:r>
        <w:rPr>
          <w:rFonts w:ascii="Times New Roman" w:hAnsi="Times New Roman"/>
          <w:noProof/>
          <w:sz w:val="24"/>
        </w:rPr>
        <w:t>(Priporočilo za posamezno državo št. 2 iz leta 2019), pa tudi za zagotovitev enakega dostopa do kakovostnega izobraževanja. (Priporočilo za posamezno državo št. 2 iz leta 2020).</w:t>
      </w:r>
    </w:p>
    <w:p w:rsidR="009B5602" w:rsidRDefault="00886830">
      <w:pPr>
        <w:tabs>
          <w:tab w:val="left" w:pos="993"/>
        </w:tabs>
        <w:spacing w:before="120" w:after="120" w:line="240" w:lineRule="auto"/>
        <w:jc w:val="both"/>
        <w:rPr>
          <w:rFonts w:ascii="Times New Roman" w:hAnsi="Times New Roman"/>
          <w:noProof/>
          <w:sz w:val="24"/>
        </w:rPr>
      </w:pPr>
      <w:r>
        <w:rPr>
          <w:rFonts w:ascii="Times New Roman" w:hAnsi="Times New Roman"/>
          <w:noProof/>
          <w:sz w:val="24"/>
        </w:rPr>
        <w:t xml:space="preserve">Obstaja določena močna povezava z </w:t>
      </w:r>
      <w:r>
        <w:rPr>
          <w:rFonts w:ascii="Times New Roman" w:hAnsi="Times New Roman"/>
          <w:noProof/>
          <w:sz w:val="24"/>
        </w:rPr>
        <w:t>drugimi komponentami, zlasti tistimi, ki so povezane z raziskavami in inovacijami (komponenta 9 in 17), prekvalificiranjem in izpolnjevanjem potreb trga dela (komponenta 10).</w:t>
      </w:r>
    </w:p>
    <w:p w:rsidR="009B5602" w:rsidRDefault="00886830">
      <w:pPr>
        <w:spacing w:before="120" w:after="120" w:line="240" w:lineRule="auto"/>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Opis reform in naložb za nepovratno finančno podporo</w:t>
      </w:r>
    </w:p>
    <w:p w:rsidR="009B5602" w:rsidRDefault="00886830">
      <w:pPr>
        <w:spacing w:before="120" w:after="120" w:line="240" w:lineRule="auto"/>
        <w:jc w:val="both"/>
        <w:rPr>
          <w:rFonts w:ascii="Times New Roman" w:hAnsi="Times New Roman"/>
          <w:iCs/>
          <w:noProof/>
          <w:sz w:val="24"/>
        </w:rPr>
      </w:pPr>
      <w:r>
        <w:rPr>
          <w:rFonts w:ascii="Times New Roman" w:hAnsi="Times New Roman"/>
          <w:b/>
          <w:noProof/>
          <w:sz w:val="24"/>
        </w:rPr>
        <w:t>Reforma 1: Sprememba fi</w:t>
      </w:r>
      <w:r>
        <w:rPr>
          <w:rFonts w:ascii="Times New Roman" w:hAnsi="Times New Roman"/>
          <w:b/>
          <w:noProof/>
          <w:sz w:val="24"/>
        </w:rPr>
        <w:t>nanciranja univerz z uvedbo pogodb o izvajanju.</w:t>
      </w:r>
      <w:r>
        <w:rPr>
          <w:rFonts w:ascii="Times New Roman" w:hAnsi="Times New Roman"/>
          <w:noProof/>
          <w:sz w:val="24"/>
        </w:rPr>
        <w:t xml:space="preserve"> V pravni sistem se uvede nov instrument – pogodbe o uspešnosti – da se podpreta profiliranje in diverzifikacija univerz na podlagi njihovih posebnih prednosti in možnosti za razvoj.</w:t>
      </w:r>
      <w:r>
        <w:rPr>
          <w:rFonts w:ascii="Times New Roman" w:hAnsi="Times New Roman"/>
          <w:iCs/>
          <w:noProof/>
          <w:sz w:val="24"/>
        </w:rPr>
        <w:t xml:space="preserve"> Pogodbe o izvajanju mora z</w:t>
      </w:r>
      <w:r>
        <w:rPr>
          <w:rFonts w:ascii="Times New Roman" w:hAnsi="Times New Roman"/>
          <w:iCs/>
          <w:noProof/>
          <w:sz w:val="24"/>
        </w:rPr>
        <w:t xml:space="preserve"> javnimi univerzami podpisati Ministrstvo Slovaške republike za izobraževanje, znanost, raziskave in šport (MŠVVaŠ SR). Na podlagi sporazuma z univerzami se določijo cilji, ki se spremljajo z uporabo pristopa U–Multirank (enotna metodologija za ocenjevanje</w:t>
      </w:r>
      <w:r>
        <w:rPr>
          <w:rFonts w:ascii="Times New Roman" w:hAnsi="Times New Roman"/>
          <w:iCs/>
          <w:noProof/>
          <w:sz w:val="24"/>
        </w:rPr>
        <w:t xml:space="preserve"> uspešnosti) in temeljijo na dolgoročnem cilju na področju univerz in potreb držav. </w:t>
      </w:r>
    </w:p>
    <w:p w:rsidR="009B5602" w:rsidRDefault="00886830">
      <w:pPr>
        <w:spacing w:before="120" w:after="120" w:line="240" w:lineRule="auto"/>
        <w:jc w:val="both"/>
        <w:rPr>
          <w:rFonts w:ascii="Times New Roman" w:hAnsi="Times New Roman"/>
          <w:iCs/>
          <w:noProof/>
          <w:sz w:val="24"/>
        </w:rPr>
      </w:pPr>
      <w:r>
        <w:rPr>
          <w:rFonts w:ascii="Times New Roman" w:hAnsi="Times New Roman"/>
          <w:iCs/>
          <w:noProof/>
          <w:sz w:val="24"/>
        </w:rPr>
        <w:t>Izvajanje reforme naj bi se začelo do 31. decembra 2022 in končalo do 31. decembra 2023.</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Reforma 2: Uvedba sistema rednega ocenjevanja znanstvene učinkovitosti.</w:t>
      </w:r>
      <w:r>
        <w:rPr>
          <w:rFonts w:ascii="Times New Roman" w:hAnsi="Times New Roman"/>
          <w:noProof/>
          <w:sz w:val="24"/>
        </w:rPr>
        <w:t xml:space="preserve"> Cilj refor</w:t>
      </w:r>
      <w:r>
        <w:rPr>
          <w:rFonts w:ascii="Times New Roman" w:hAnsi="Times New Roman"/>
          <w:noProof/>
          <w:sz w:val="24"/>
        </w:rPr>
        <w:t>me je uvesti sistem rednega ocenjevanja znanstvene uspešnosti univerz. Ministrstvo v sodelovanju z zainteresiranimi stranmi pripravi metodologijo za ocenjevanje znanstvene uspešnosti in jo vključi v pravni sistem. Oceno uspešnosti organizira ministrstvo bo</w:t>
      </w:r>
      <w:r>
        <w:rPr>
          <w:rFonts w:ascii="Times New Roman" w:hAnsi="Times New Roman"/>
          <w:noProof/>
          <w:sz w:val="24"/>
        </w:rPr>
        <w:t>disi neposredno bodisi prek avtonomne institucije, tako da ocena temelji na načelih neodvisnosti in preglednosti. Ocenjevalni odbor sestavljajo odlični domači in tuji raziskovalci. Vrednotenje temelji na visoko kakovostnih sistemih ocenjevanja iz tujine, p</w:t>
      </w:r>
      <w:r>
        <w:rPr>
          <w:rFonts w:ascii="Times New Roman" w:hAnsi="Times New Roman"/>
          <w:noProof/>
          <w:sz w:val="24"/>
        </w:rPr>
        <w:t>ri čemer je glavni navdih britanski okvir za raziskovalno odličnost (REF), pri čemer se za oceno kakovosti rezultatov na tem področju uporabljajo posebne nastavitve parametrov, prilagojene razmeram slovaških institucij.</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se izvede do 31. decembra 20</w:t>
      </w:r>
      <w:r>
        <w:rPr>
          <w:rFonts w:ascii="Times New Roman" w:hAnsi="Times New Roman"/>
          <w:noProof/>
          <w:sz w:val="24"/>
        </w:rPr>
        <w:t xml:space="preserve">22. </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Reforma 3: Nov pristop k akreditaciji visokošolskega izobraževanja.</w:t>
      </w:r>
      <w:r>
        <w:rPr>
          <w:rFonts w:ascii="Times New Roman" w:hAnsi="Times New Roman"/>
          <w:noProof/>
          <w:sz w:val="24"/>
        </w:rPr>
        <w:t xml:space="preserve"> Cilj reforme je določiti nove standarde in merila za akreditacijo učnih načrtov, ki zaostrujejo pogoje za zagotavljanje in izvajanje študijskih programov, izboljšujejo njihovo kakovos</w:t>
      </w:r>
      <w:r>
        <w:rPr>
          <w:rFonts w:ascii="Times New Roman" w:hAnsi="Times New Roman"/>
          <w:noProof/>
          <w:sz w:val="24"/>
        </w:rPr>
        <w:t>t in uvajajo dolgoročne postopke spremljanja kakovosti. Nov sistem zahteva, da univerze v oblikovanje, spremljanje in prilagajanje učnih načrtov vključijo študente, zunanje zainteresirane strani (zlasti delodajalce) ter da univerze pozorno spremljajo napre</w:t>
      </w:r>
      <w:r>
        <w:rPr>
          <w:rFonts w:ascii="Times New Roman" w:hAnsi="Times New Roman"/>
          <w:noProof/>
          <w:sz w:val="24"/>
        </w:rPr>
        <w:t>dek in potrebe študentov, uvajanje diplomantov in splošno zadovoljstvo študentov.</w:t>
      </w:r>
      <w:r>
        <w:rPr>
          <w:noProof/>
        </w:rPr>
        <w:t xml:space="preserve"> </w:t>
      </w:r>
      <w:r>
        <w:rPr>
          <w:rFonts w:ascii="Times New Roman" w:hAnsi="Times New Roman"/>
          <w:noProof/>
          <w:sz w:val="24"/>
        </w:rPr>
        <w:t>Slovaška akreditacijska agencija za visoko šolstvo (SAAVŠ) izvaja zunanji nadzor nad izvajanjem teh pravil. Združenje SAAVŠ pri ocenjevanju univerzitetnih programov praviloma</w:t>
      </w:r>
      <w:r>
        <w:rPr>
          <w:rFonts w:ascii="Times New Roman" w:hAnsi="Times New Roman"/>
          <w:noProof/>
          <w:sz w:val="24"/>
        </w:rPr>
        <w:t xml:space="preserve"> uporablja tuje ocenjevalce in strokovne delavce. Pričakuje se, da se bo vsaj 90 % univerz prijavilo za preverjanje skladnosti notranjih sistemov kakovosti in študijskih programov s standardi akreditacije.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Reforma se izvede do 31. decembra 2022. </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Reforma </w:t>
      </w:r>
      <w:r>
        <w:rPr>
          <w:rFonts w:ascii="Times New Roman" w:hAnsi="Times New Roman"/>
          <w:b/>
          <w:noProof/>
          <w:sz w:val="24"/>
        </w:rPr>
        <w:t>4: Reforma upravljanja univerz.</w:t>
      </w:r>
      <w:r>
        <w:rPr>
          <w:rFonts w:ascii="Times New Roman" w:hAnsi="Times New Roman"/>
          <w:noProof/>
          <w:sz w:val="24"/>
        </w:rPr>
        <w:t xml:space="preserve"> Reforma s spremembo Zakona o visokem šolstvu poveča pooblastila rektorja in upravnega odbora, da bi bolje odražala odgovornost in omogočila večjo prožnost znotraj visokošolske ustanove. Z reformo se odpravijo tudi omejitve p</w:t>
      </w:r>
      <w:r>
        <w:rPr>
          <w:rFonts w:ascii="Times New Roman" w:hAnsi="Times New Roman"/>
          <w:noProof/>
          <w:sz w:val="24"/>
        </w:rPr>
        <w:t xml:space="preserve">ri imenovanju predavateljev in profesorjev (sedanja zahteva po dodatnem habilitacijskem ali ustanovnem postopku ter stopnji predavatelja in profesorja), s čimer se spodbuja odprtost akademskega okolja za poklicne in tuje kandidate. Zaposlovanje vodstvenih </w:t>
      </w:r>
      <w:r>
        <w:rPr>
          <w:rFonts w:ascii="Times New Roman" w:hAnsi="Times New Roman"/>
          <w:noProof/>
          <w:sz w:val="24"/>
        </w:rPr>
        <w:t>delovnih mest na univerzi (direktor, doktorica fakultete) se izvede v obliki javnih natečajev ali javnih predstavitev. Poleg tega lahko strokovnjaki sodelujejo na javnih natečajih za nedoločen čas. Zakon o visokem šolstvu odpravi pogoj, da mora imeti osebj</w:t>
      </w:r>
      <w:r>
        <w:rPr>
          <w:rFonts w:ascii="Times New Roman" w:hAnsi="Times New Roman"/>
          <w:noProof/>
          <w:sz w:val="24"/>
        </w:rPr>
        <w:t xml:space="preserve">e na predavateljih in predavateljih znanstveno/pedagoško diplomo.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se izvede do 31. decembra 2021.</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Reforma 5: Koncentracija odličnih izobraževalnih in raziskovalnih zmogljivosti.</w:t>
      </w:r>
      <w:r>
        <w:rPr>
          <w:rFonts w:ascii="Times New Roman" w:hAnsi="Times New Roman"/>
          <w:noProof/>
          <w:sz w:val="24"/>
        </w:rPr>
        <w:t xml:space="preserve"> Cilj reforme je spodbujati združevanje univerz v večje enote. V Slov</w:t>
      </w:r>
      <w:r>
        <w:rPr>
          <w:rFonts w:ascii="Times New Roman" w:hAnsi="Times New Roman"/>
          <w:noProof/>
          <w:sz w:val="24"/>
        </w:rPr>
        <w:t>aški je več kot 30 univerz z razdrobljenimi raziskovalnimi zmogljivostmi in nezadostnim sodelovanjem s podjetji. Ministrstvo Slovaške republike za izobraževanje, znanost, raziskave in šport (MŠVVaŠ SR) odobri časovni načrt za dve veliki enoti visokošolskih</w:t>
      </w:r>
      <w:r>
        <w:rPr>
          <w:rFonts w:ascii="Times New Roman" w:hAnsi="Times New Roman"/>
          <w:noProof/>
          <w:sz w:val="24"/>
        </w:rPr>
        <w:t xml:space="preserve"> zavodov in nato za naslednjo skupino univerz.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Izvajanje reforme naj bi se začelo do 31. decembra 2021 in končalo do 30. junija 2026.</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Naložba 1: Podpora naložbam za strateški razvoj univerz.</w:t>
      </w:r>
      <w:r>
        <w:rPr>
          <w:rFonts w:ascii="Times New Roman" w:hAnsi="Times New Roman"/>
          <w:noProof/>
          <w:sz w:val="24"/>
          <w:u w:val="single"/>
        </w:rPr>
        <w:t xml:space="preserve">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Naložbe podpirajo predvsem reformo 5, usmerjeno v združitve pot</w:t>
      </w:r>
      <w:r>
        <w:rPr>
          <w:rFonts w:ascii="Times New Roman" w:hAnsi="Times New Roman"/>
          <w:noProof/>
          <w:sz w:val="24"/>
        </w:rPr>
        <w:t>enciala univerz za odličnost. Naložbe se lahko usmerjajo prek dveh različnih shem. Prvi, ki podpira projekte za razvoj raziskovalne, izobraževalne in nastanitvene infrastrukture z visoko dodano vrednostjo za odlične raziskave, kot so: posodobitev obstoječi</w:t>
      </w:r>
      <w:r>
        <w:rPr>
          <w:rFonts w:ascii="Times New Roman" w:hAnsi="Times New Roman"/>
          <w:noProof/>
          <w:sz w:val="24"/>
        </w:rPr>
        <w:t>h ali novih prostorov za koncentracijo odličnih raziskav in doktorskih študij, vključno s tujimi raziskovalci, nadgradnja obstoječih ali novih prostorov za praktično poučevanje na strokovnih dodiplomskih programih, odstranitev ovir in digitalizacija. Druga</w:t>
      </w:r>
      <w:r>
        <w:rPr>
          <w:rFonts w:ascii="Times New Roman" w:hAnsi="Times New Roman"/>
          <w:noProof/>
          <w:sz w:val="24"/>
        </w:rPr>
        <w:t xml:space="preserve"> shema podpira vodenje projektov na podlagi odobrenega časovnega načrta. Obseg naložb se določi v načrtu, povezanem s procesom združevanja univerzitetnih enot.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30. junija 2026.</w:t>
      </w:r>
    </w:p>
    <w:p w:rsidR="009B5602" w:rsidRPr="00886830" w:rsidRDefault="009B5602">
      <w:pPr>
        <w:spacing w:before="120" w:after="120" w:line="240" w:lineRule="auto"/>
        <w:jc w:val="both"/>
        <w:rPr>
          <w:rFonts w:ascii="Times New Roman" w:hAnsi="Times New Roman"/>
          <w:noProof/>
          <w:sz w:val="24"/>
          <w:lang w:val="es-ES"/>
        </w:rPr>
      </w:pPr>
    </w:p>
    <w:p w:rsidR="009B5602" w:rsidRPr="00886830" w:rsidRDefault="009B5602">
      <w:pPr>
        <w:spacing w:before="120" w:after="120" w:line="240" w:lineRule="auto"/>
        <w:jc w:val="both"/>
        <w:rPr>
          <w:rFonts w:ascii="Times New Roman" w:hAnsi="Times New Roman"/>
          <w:noProof/>
          <w:sz w:val="24"/>
          <w:lang w:val="es-ES"/>
        </w:rPr>
        <w:sectPr w:rsidR="009B5602" w:rsidRPr="00886830">
          <w:headerReference w:type="even" r:id="rId102"/>
          <w:headerReference w:type="default" r:id="rId103"/>
          <w:footerReference w:type="even" r:id="rId104"/>
          <w:footerReference w:type="default" r:id="rId105"/>
          <w:headerReference w:type="first" r:id="rId106"/>
          <w:footerReference w:type="first" r:id="rId107"/>
          <w:pgSz w:w="11907" w:h="16839"/>
          <w:pgMar w:top="1134" w:right="1418" w:bottom="1134" w:left="1418" w:header="709" w:footer="709" w:gutter="0"/>
          <w:cols w:space="720"/>
          <w:docGrid w:linePitch="360"/>
        </w:sectPr>
      </w:pPr>
    </w:p>
    <w:p w:rsidR="009B5602" w:rsidRDefault="00886830">
      <w:pPr>
        <w:spacing w:before="120" w:after="120" w:line="240" w:lineRule="auto"/>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Mejniki, cilji, kazalniki in časovni razpored za spremljanje in izvajanje nepovratne finančne podpore</w:t>
      </w:r>
    </w:p>
    <w:p w:rsidR="009B5602" w:rsidRDefault="009B5602">
      <w:pPr>
        <w:spacing w:before="120" w:after="120" w:line="240" w:lineRule="auto"/>
        <w:jc w:val="both"/>
        <w:rPr>
          <w:rFonts w:ascii="Times New Roman" w:hAnsi="Times New Roman"/>
          <w:b/>
          <w:noProof/>
          <w:sz w:val="24"/>
          <w:szCs w:val="24"/>
          <w:u w:val="single"/>
        </w:rPr>
      </w:pPr>
    </w:p>
    <w:tbl>
      <w:tblPr>
        <w:tblW w:w="0" w:type="auto"/>
        <w:tblLayout w:type="fixed"/>
        <w:tblLook w:val="04A0" w:firstRow="1" w:lastRow="0" w:firstColumn="1" w:lastColumn="0" w:noHBand="0" w:noVBand="1"/>
      </w:tblPr>
      <w:tblGrid>
        <w:gridCol w:w="817"/>
        <w:gridCol w:w="1404"/>
        <w:gridCol w:w="777"/>
        <w:gridCol w:w="1458"/>
        <w:gridCol w:w="1267"/>
        <w:gridCol w:w="1331"/>
        <w:gridCol w:w="851"/>
        <w:gridCol w:w="708"/>
        <w:gridCol w:w="1134"/>
        <w:gridCol w:w="993"/>
        <w:gridCol w:w="3825"/>
      </w:tblGrid>
      <w:tr w:rsidR="009B5602">
        <w:trPr>
          <w:trHeight w:val="900"/>
        </w:trPr>
        <w:tc>
          <w:tcPr>
            <w:tcW w:w="817"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Zap. št.</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404"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Povezani ukrep (reforma ali naložba)</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777"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Mejnik/cilj</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458"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Ime</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267"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Kvalitativni kazalniki</w:t>
            </w:r>
            <w:r>
              <w:rPr>
                <w:rFonts w:ascii="Times New Roman" w:hAnsi="Times New Roman"/>
                <w:noProof/>
                <w:sz w:val="20"/>
                <w:szCs w:val="20"/>
              </w:rPr>
              <w:t xml:space="preserve">  </w:t>
            </w:r>
            <w:r>
              <w:rPr>
                <w:rFonts w:ascii="Times New Roman" w:hAnsi="Times New Roman"/>
                <w:b/>
                <w:bCs/>
                <w:noProof/>
                <w:sz w:val="20"/>
                <w:szCs w:val="20"/>
              </w:rPr>
              <w:t xml:space="preserve"> (za mejnike)</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2890"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Kvantitativni kazalniki</w:t>
            </w:r>
            <w:r>
              <w:rPr>
                <w:rFonts w:ascii="Times New Roman" w:hAnsi="Times New Roman"/>
                <w:noProof/>
                <w:sz w:val="20"/>
                <w:szCs w:val="20"/>
              </w:rPr>
              <w:t xml:space="preserve">  </w:t>
            </w:r>
            <w:r>
              <w:rPr>
                <w:rFonts w:ascii="Times New Roman" w:hAnsi="Times New Roman"/>
                <w:b/>
                <w:bCs/>
                <w:noProof/>
                <w:sz w:val="20"/>
                <w:szCs w:val="20"/>
              </w:rPr>
              <w:t xml:space="preserve"> (za cilje)</w:t>
            </w:r>
          </w:p>
        </w:tc>
        <w:tc>
          <w:tcPr>
            <w:tcW w:w="2127" w:type="dxa"/>
            <w:gridSpan w:val="2"/>
            <w:tcBorders>
              <w:top w:val="single" w:sz="8" w:space="0" w:color="auto"/>
              <w:left w:val="nil"/>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O</w:t>
            </w:r>
            <w:r>
              <w:rPr>
                <w:rFonts w:ascii="Times New Roman" w:hAnsi="Times New Roman"/>
                <w:b/>
                <w:bCs/>
                <w:noProof/>
                <w:sz w:val="20"/>
                <w:szCs w:val="20"/>
              </w:rPr>
              <w:t xml:space="preserve">kvirni časovni razpored za dokončanje </w:t>
            </w:r>
          </w:p>
        </w:tc>
        <w:tc>
          <w:tcPr>
            <w:tcW w:w="3825" w:type="dxa"/>
            <w:vMerge w:val="restart"/>
            <w:tcBorders>
              <w:top w:val="single" w:sz="8" w:space="0" w:color="auto"/>
              <w:left w:val="nil"/>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Opis in jasna opredelitev vsakega mejnika in cilja</w:t>
            </w:r>
          </w:p>
          <w:p w:rsidR="009B5602" w:rsidRDefault="00886830">
            <w:pPr>
              <w:rPr>
                <w:rFonts w:ascii="Times New Roman" w:hAnsi="Times New Roman"/>
                <w:noProof/>
                <w:sz w:val="20"/>
                <w:szCs w:val="20"/>
              </w:rPr>
            </w:pPr>
            <w:r>
              <w:rPr>
                <w:rFonts w:ascii="Times New Roman" w:hAnsi="Times New Roman"/>
                <w:noProof/>
                <w:sz w:val="20"/>
                <w:szCs w:val="20"/>
              </w:rPr>
              <w:t xml:space="preserve"> </w:t>
            </w:r>
          </w:p>
        </w:tc>
      </w:tr>
      <w:tr w:rsidR="009B5602">
        <w:trPr>
          <w:trHeight w:val="540"/>
        </w:trPr>
        <w:tc>
          <w:tcPr>
            <w:tcW w:w="817"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404"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777"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458"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267"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331" w:type="dxa"/>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merska enota</w:t>
            </w:r>
          </w:p>
        </w:tc>
        <w:tc>
          <w:tcPr>
            <w:tcW w:w="851" w:type="dxa"/>
            <w:tcBorders>
              <w:top w:val="nil"/>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Izhodiščna raven</w:t>
            </w:r>
          </w:p>
        </w:tc>
        <w:tc>
          <w:tcPr>
            <w:tcW w:w="708" w:type="dxa"/>
            <w:tcBorders>
              <w:top w:val="nil"/>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Ciljna raven </w:t>
            </w:r>
          </w:p>
        </w:tc>
        <w:tc>
          <w:tcPr>
            <w:tcW w:w="1134" w:type="dxa"/>
            <w:tcBorders>
              <w:top w:val="nil"/>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Četrtletje</w:t>
            </w:r>
          </w:p>
        </w:tc>
        <w:tc>
          <w:tcPr>
            <w:tcW w:w="993" w:type="dxa"/>
            <w:tcBorders>
              <w:top w:val="nil"/>
              <w:left w:val="nil"/>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Leto</w:t>
            </w:r>
          </w:p>
        </w:tc>
        <w:tc>
          <w:tcPr>
            <w:tcW w:w="3825" w:type="dxa"/>
            <w:vMerge/>
            <w:tcBorders>
              <w:left w:val="single" w:sz="8" w:space="0" w:color="auto"/>
              <w:bottom w:val="single" w:sz="8" w:space="0" w:color="auto"/>
              <w:right w:val="single" w:sz="8" w:space="0" w:color="auto"/>
            </w:tcBorders>
            <w:shd w:val="clear" w:color="auto" w:fill="BDD7EE"/>
            <w:vAlign w:val="center"/>
          </w:tcPr>
          <w:p w:rsidR="009B5602" w:rsidRDefault="009B5602">
            <w:pPr>
              <w:rPr>
                <w:rFonts w:ascii="Times New Roman" w:hAnsi="Times New Roman"/>
                <w:noProof/>
                <w:sz w:val="20"/>
                <w:szCs w:val="20"/>
              </w:rPr>
            </w:pPr>
          </w:p>
        </w:tc>
      </w:tr>
      <w:tr w:rsidR="009B5602">
        <w:trPr>
          <w:trHeight w:val="82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8 – Povečanje uspešnosti slovaških visokošolskih ustanov – Reforma 1: Spremembe financiranja univerz, vključno z uvedbo pogodb o izvedbi javnega naročila</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Uvedba pogodb o izvajanju</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Sklenitev krovnega sporazuma Ministrstva za izobraževanje, </w:t>
            </w:r>
            <w:r>
              <w:rPr>
                <w:rFonts w:ascii="Times New Roman" w:hAnsi="Times New Roman"/>
                <w:noProof/>
                <w:color w:val="006100"/>
                <w:sz w:val="20"/>
                <w:szCs w:val="20"/>
              </w:rPr>
              <w:t>znanost, raziskave in šport Slovaške republike (MŠVVaŠ SR) z univerzami</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993"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Pogodbe o uspešnosti podpirajo oblikovanje profilov in diverzifikacijo univerz na podlagi njihovih prednosti, njihovega potenciala za razvoj, zmanjšanja števila učnih nač</w:t>
            </w:r>
            <w:r>
              <w:rPr>
                <w:rFonts w:ascii="Times New Roman" w:hAnsi="Times New Roman"/>
                <w:noProof/>
                <w:color w:val="006100"/>
                <w:sz w:val="20"/>
                <w:szCs w:val="20"/>
              </w:rPr>
              <w:t>rtov in koncentracije virov. Med drugim je cilj povečati delež strokovno usmerjenih dodiplomskih programov javnega visokošolskega izobraževanja s 4 % na 10 % na 4. četrtletje leta 2024.</w:t>
            </w:r>
          </w:p>
        </w:tc>
      </w:tr>
      <w:tr w:rsidR="009B5602">
        <w:trPr>
          <w:trHeight w:val="123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8 – Povečanje uspešnosti slovaških visokošolskih ustanov – Reforma </w:t>
            </w:r>
            <w:r>
              <w:rPr>
                <w:rFonts w:ascii="Times New Roman" w:hAnsi="Times New Roman"/>
                <w:noProof/>
                <w:color w:val="006100"/>
                <w:sz w:val="20"/>
                <w:szCs w:val="20"/>
              </w:rPr>
              <w:t>1: Spremembe financiranja univerz, vključno z uvedbo pogodb o izvedbi javnega naročila</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Pogodbe o izvajanju, podpisane z javnimi univerzami (v odstotkih) </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n. r.</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90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993"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2023</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Najmanj 90 % podpisanih pogodb o izvajanju. </w:t>
            </w:r>
          </w:p>
        </w:tc>
      </w:tr>
      <w:tr w:rsidR="009B5602">
        <w:trPr>
          <w:trHeight w:val="145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3</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8 – Povečanje uspešnosti </w:t>
            </w:r>
            <w:r>
              <w:rPr>
                <w:rFonts w:ascii="Times New Roman" w:hAnsi="Times New Roman"/>
                <w:noProof/>
                <w:color w:val="006100"/>
                <w:sz w:val="20"/>
                <w:szCs w:val="20"/>
              </w:rPr>
              <w:t>slovaških visokošolskih ustanov – Reforma 2: Uvedba sistema rednega znanstvenega ocenjevanja uspešnosti</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Opredelitev sistema rednega ocenjevanja znanstvene učinkovitosti, uvedenega z Zakonom št. 172/2005</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Začetek veljavnosti Zakona št. 172/2005 za oce</w:t>
            </w:r>
            <w:r>
              <w:rPr>
                <w:rFonts w:ascii="Times New Roman" w:hAnsi="Times New Roman"/>
                <w:noProof/>
                <w:sz w:val="20"/>
                <w:szCs w:val="20"/>
              </w:rPr>
              <w:t>no znanstvene učinkovitosti in metodologijo za redno ocenjevanje znanstvenega delovanja</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Q1</w:t>
            </w:r>
          </w:p>
        </w:tc>
        <w:tc>
          <w:tcPr>
            <w:tcW w:w="993"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Vzpostavi se sistem rednega ocenjevanja znanstvene uspešnosti univerz s sodelovanjem mednarodnih ocenjevalcev, da se zagotovi diverzifikacija univerz gled</w:t>
            </w:r>
            <w:r>
              <w:rPr>
                <w:rFonts w:ascii="Times New Roman" w:hAnsi="Times New Roman"/>
                <w:noProof/>
                <w:color w:val="006100"/>
                <w:sz w:val="20"/>
                <w:szCs w:val="20"/>
              </w:rPr>
              <w:t xml:space="preserve">e kakovosti njihove znanstvene uspešnosti na posameznih področjih in opredelitev odličnih raziskovalnih skupin na posameznih univerzah. </w:t>
            </w:r>
          </w:p>
          <w:p w:rsidR="009B5602" w:rsidRDefault="00886830">
            <w:pPr>
              <w:rPr>
                <w:rFonts w:ascii="Times New Roman" w:hAnsi="Times New Roman"/>
                <w:noProof/>
                <w:sz w:val="20"/>
                <w:szCs w:val="20"/>
              </w:rPr>
            </w:pPr>
            <w:r>
              <w:rPr>
                <w:rFonts w:ascii="Times New Roman" w:hAnsi="Times New Roman"/>
                <w:noProof/>
                <w:color w:val="006100"/>
                <w:sz w:val="20"/>
                <w:szCs w:val="20"/>
              </w:rPr>
              <w:t>Vrednotenje je torej enotno za vse univerze, pa tudi za druge raziskovalne ustanove (SAV, druge neposlovne in zasebne r</w:t>
            </w:r>
            <w:r>
              <w:rPr>
                <w:rFonts w:ascii="Times New Roman" w:hAnsi="Times New Roman"/>
                <w:noProof/>
                <w:color w:val="006100"/>
                <w:sz w:val="20"/>
                <w:szCs w:val="20"/>
              </w:rPr>
              <w:t>aziskovalne ustanove).</w:t>
            </w:r>
          </w:p>
        </w:tc>
      </w:tr>
      <w:tr w:rsidR="009B5602">
        <w:trPr>
          <w:trHeight w:val="51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4</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8 – Povečanje uspešnosti slovaških visokošolskih ustanov – Reforma 2: Uvedba sistema rednega znanstvenega ocenjevanja uspešnosti</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cilj</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Število izvedenih vrednotenj </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 število</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 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20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sz w:val="20"/>
                <w:szCs w:val="20"/>
              </w:rPr>
              <w:t>Q4</w:t>
            </w:r>
          </w:p>
        </w:tc>
        <w:tc>
          <w:tcPr>
            <w:tcW w:w="993"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sz w:val="20"/>
                <w:szCs w:val="20"/>
              </w:rPr>
              <w:t>2022</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Cilj se nanaša na vse javne univerze. </w:t>
            </w:r>
          </w:p>
        </w:tc>
      </w:tr>
      <w:tr w:rsidR="009B5602">
        <w:trPr>
          <w:trHeight w:val="9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5</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8 – Povečanje uspešnosti slovaških visokošolskih ustanov – Reforma 3: Nov pristop k akreditaciji visokošolskega izobraževanja</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Delež univerz, ki se prijavijo za preverjanje skladnosti notranjih sistemov kakovosti in študijskih programov s standardi</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90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993"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Vsaj 90 % univerz je zaprosilo za preverjanje skladnosti svojih notranjih sistemov kakovosti in študijskih programov z novimi akreditacijskimi standardi. </w:t>
            </w:r>
          </w:p>
          <w:p w:rsidR="009B5602" w:rsidRDefault="00886830">
            <w:pPr>
              <w:rPr>
                <w:rFonts w:ascii="Times New Roman" w:hAnsi="Times New Roman"/>
                <w:noProof/>
                <w:sz w:val="20"/>
                <w:szCs w:val="20"/>
              </w:rPr>
            </w:pPr>
            <w:r>
              <w:rPr>
                <w:rFonts w:ascii="Times New Roman" w:hAnsi="Times New Roman"/>
                <w:noProof/>
                <w:color w:val="006100"/>
                <w:sz w:val="20"/>
                <w:szCs w:val="20"/>
              </w:rPr>
              <w:t>Novi akreditacijski standardi poostrijo standarde in pogoje za zagotavljanje in izvajan</w:t>
            </w:r>
            <w:r>
              <w:rPr>
                <w:rFonts w:ascii="Times New Roman" w:hAnsi="Times New Roman"/>
                <w:noProof/>
                <w:color w:val="006100"/>
                <w:sz w:val="20"/>
                <w:szCs w:val="20"/>
              </w:rPr>
              <w:t xml:space="preserve">je študijskih programov. Za akreditacijo in izvajanje kakovostnega izobraževalnega sistema, osredotočenega na študente, je potrebnih pet akademikov z visokokakovostnimi znanstvenimi rezultati. </w:t>
            </w:r>
          </w:p>
          <w:p w:rsidR="009B5602" w:rsidRDefault="00886830">
            <w:pPr>
              <w:rPr>
                <w:rFonts w:ascii="Times New Roman" w:hAnsi="Times New Roman"/>
                <w:noProof/>
                <w:sz w:val="20"/>
                <w:szCs w:val="20"/>
              </w:rPr>
            </w:pPr>
            <w:r>
              <w:rPr>
                <w:rFonts w:ascii="Times New Roman" w:hAnsi="Times New Roman"/>
                <w:noProof/>
                <w:color w:val="006100"/>
                <w:sz w:val="20"/>
                <w:szCs w:val="20"/>
              </w:rPr>
              <w:t>Tuji ocenjevalci so tudi redno vključeni v ocenjevanje skladno</w:t>
            </w:r>
            <w:r>
              <w:rPr>
                <w:rFonts w:ascii="Times New Roman" w:hAnsi="Times New Roman"/>
                <w:noProof/>
                <w:color w:val="006100"/>
                <w:sz w:val="20"/>
                <w:szCs w:val="20"/>
              </w:rPr>
              <w:t>sti z akreditacijskimi standardi za kakovost izobraževanja. Strožja pravila vodijo k zmanjšanju števila študijskih programov, večji diverzifikaciji in profiliranju ter večji usmerjenosti študentov, saj se univerze osredotočijo na programe, kjer lahko zagot</w:t>
            </w:r>
            <w:r>
              <w:rPr>
                <w:rFonts w:ascii="Times New Roman" w:hAnsi="Times New Roman"/>
                <w:noProof/>
                <w:color w:val="006100"/>
                <w:sz w:val="20"/>
                <w:szCs w:val="20"/>
              </w:rPr>
              <w:t>ovijo najvišjo kakovost izobraževanja.</w:t>
            </w:r>
          </w:p>
        </w:tc>
      </w:tr>
      <w:tr w:rsidR="009B5602">
        <w:trPr>
          <w:trHeight w:val="174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6</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8 – Povečanje uspešnosti slovaških visokošolskih ustanov – Reforma 4: Reforma upravljanja univerz</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Reforma sistema upravljanja visokošolskih ustanov</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Začetek veljavnosti spremembe Zakona št. 131/2002 o visokem šolstvu, </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993"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2021</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Sprememba Zakona št. 131/2002 o visokem šolstvu bo reformirala sistem upravljanja univerz. Sprememba zakona o visokem šolstvu krepi pristojnosti rektorja in sveta direktorj</w:t>
            </w:r>
            <w:r>
              <w:rPr>
                <w:rFonts w:ascii="Times New Roman" w:hAnsi="Times New Roman"/>
                <w:noProof/>
                <w:color w:val="006100"/>
                <w:sz w:val="20"/>
                <w:szCs w:val="20"/>
              </w:rPr>
              <w:t xml:space="preserve">ev, katerih sestava se spremeni, se spremeni način izvolitve rektorja, vzpostavi se mehanizem funkcionalnih delovnih mest in poenostavijo zahteve za notranjo organizacijo akademskih krogov, s čimer se zagotovita avtonomija šole in svoboda znanosti. </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Krep</w:t>
            </w:r>
            <w:r>
              <w:rPr>
                <w:rFonts w:ascii="Times New Roman" w:hAnsi="Times New Roman"/>
                <w:noProof/>
                <w:color w:val="006100"/>
                <w:sz w:val="20"/>
                <w:szCs w:val="20"/>
              </w:rPr>
              <w:t>itev pristojnosti sveta direktorjev obravnava vprašanja strateškega upravljanja Univerze, udeležba predstavnikov držav pa je omejena tako, da centralna vlada ne more prevzeti nadzora nad svetom direktorjev. Akademska svoboda nikakor ne sme biti prizadeta.</w:t>
            </w:r>
          </w:p>
        </w:tc>
      </w:tr>
      <w:tr w:rsidR="009B5602">
        <w:trPr>
          <w:trHeight w:val="75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7</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8 – Povečanje uspešnosti slovaških visokošolskih ustanov – Reforma 5: Koncentracija odličnih izobraževalnih in raziskovalnih zmogljivosti</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Začetek</w:t>
            </w:r>
          </w:p>
          <w:p w:rsidR="009B5602" w:rsidRDefault="00886830">
            <w:pPr>
              <w:rPr>
                <w:rFonts w:ascii="Times New Roman" w:hAnsi="Times New Roman"/>
                <w:noProof/>
                <w:sz w:val="20"/>
                <w:szCs w:val="20"/>
              </w:rPr>
            </w:pPr>
            <w:r>
              <w:rPr>
                <w:rFonts w:ascii="Times New Roman" w:hAnsi="Times New Roman"/>
                <w:noProof/>
                <w:color w:val="006100"/>
                <w:sz w:val="20"/>
                <w:szCs w:val="20"/>
              </w:rPr>
              <w:t>združevanje univerz v večje enote</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Odobril ga je Ministrstvo za izobraževanje, znanost, raziskave in</w:t>
            </w:r>
            <w:r>
              <w:rPr>
                <w:rFonts w:ascii="Times New Roman" w:hAnsi="Times New Roman"/>
                <w:noProof/>
                <w:color w:val="006100"/>
                <w:sz w:val="20"/>
                <w:szCs w:val="20"/>
              </w:rPr>
              <w:t xml:space="preserve"> šport Slovaške republike (MŠVVaŠ SR), ki združuje časovni načrt za najmanj 2 univerzitetni enoti.</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993"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2021</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highlight w:val="yellow"/>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Odobreni časovni načrt za združitev vsaj dveh univerzitetnih enot. Časovni načrt določa časovni razpored in različne korake, ki vodijo k povez</w:t>
            </w:r>
            <w:r>
              <w:rPr>
                <w:rFonts w:ascii="Times New Roman" w:hAnsi="Times New Roman"/>
                <w:noProof/>
                <w:color w:val="006100"/>
                <w:sz w:val="20"/>
                <w:szCs w:val="20"/>
              </w:rPr>
              <w:t>ovanju visokošolskih ustanov.</w:t>
            </w:r>
            <w:r>
              <w:rPr>
                <w:rFonts w:ascii="Times New Roman" w:hAnsi="Times New Roman"/>
                <w:noProof/>
                <w:sz w:val="20"/>
                <w:szCs w:val="20"/>
              </w:rPr>
              <w:t xml:space="preserve"> </w:t>
            </w:r>
            <w:r>
              <w:rPr>
                <w:rFonts w:ascii="Times New Roman" w:hAnsi="Times New Roman"/>
                <w:noProof/>
                <w:color w:val="006100"/>
                <w:sz w:val="20"/>
                <w:szCs w:val="20"/>
              </w:rPr>
              <w:t xml:space="preserve">Sam postopek kombiniranja podpirajo naložbe iz sklada za okrevanje in pogodbe o uspešnosti zaradi neposrednih transakcijskih stroškov (kot je poenotenje sistemov IT), tudi za izgradnjo novih infrastrukturnih zmogljivosti (kot </w:t>
            </w:r>
            <w:r>
              <w:rPr>
                <w:rFonts w:ascii="Times New Roman" w:hAnsi="Times New Roman"/>
                <w:noProof/>
                <w:color w:val="006100"/>
                <w:sz w:val="20"/>
                <w:szCs w:val="20"/>
              </w:rPr>
              <w:t>sta odprava podvajanja in poenotenje zadevnih lokacij ne bo mogoče preprosto premestiti delovnih mest, zato je treba zgraditi nove zmogljivosti).</w:t>
            </w:r>
          </w:p>
        </w:tc>
      </w:tr>
      <w:tr w:rsidR="009B5602">
        <w:trPr>
          <w:trHeight w:val="118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8</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8 – Povečanje uspešnosti slovaških visokošolskih ustanov – Reforma 5: Koncentracija odličnih izobraževalnih</w:t>
            </w:r>
            <w:r>
              <w:rPr>
                <w:rFonts w:ascii="Times New Roman" w:hAnsi="Times New Roman"/>
                <w:noProof/>
                <w:color w:val="006100"/>
                <w:sz w:val="20"/>
                <w:szCs w:val="20"/>
              </w:rPr>
              <w:t xml:space="preserve"> in raziskovalnih zmogljivosti</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Zaključek postopka združitve raziskovalnih enot</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Formalni postopek povezovanja, zaključen za vsaj 2 visokošolski enoti. [KOM: SK predloži </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993"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2026</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Formalni postopek povezovanja, zaključen za vsaj 2 visokošolski </w:t>
            </w:r>
            <w:r>
              <w:rPr>
                <w:rFonts w:ascii="Times New Roman" w:hAnsi="Times New Roman"/>
                <w:noProof/>
                <w:color w:val="006100"/>
                <w:sz w:val="20"/>
                <w:szCs w:val="20"/>
              </w:rPr>
              <w:t xml:space="preserve">enoti, potrjen z novim statutom za skupne univerze. </w:t>
            </w:r>
          </w:p>
        </w:tc>
      </w:tr>
      <w:tr w:rsidR="009B5602">
        <w:trPr>
          <w:trHeight w:val="171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9</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8 – povečanje uspešnosti slovaških visokošolskih ustanov – Naložbe1: podpora strateškemu razvoju univerz</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Sklenjena sta bila vsaj 2 razpisa za podporo strateškemu razvoju univerz.</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Oddaja naročil na podlagi razpisov </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Q3</w:t>
            </w:r>
          </w:p>
        </w:tc>
        <w:tc>
          <w:tcPr>
            <w:tcW w:w="993"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 razpisa za podporo strateškemu razvoju univerz, kot je opisano v reformi 5, bosta zagotovila:</w:t>
            </w:r>
          </w:p>
          <w:p w:rsidR="009B5602" w:rsidRDefault="00886830">
            <w:pPr>
              <w:rPr>
                <w:rFonts w:ascii="Times New Roman" w:hAnsi="Times New Roman"/>
                <w:noProof/>
                <w:sz w:val="20"/>
                <w:szCs w:val="20"/>
              </w:rPr>
            </w:pPr>
            <w:r>
              <w:rPr>
                <w:rFonts w:ascii="Times New Roman" w:hAnsi="Times New Roman"/>
                <w:noProof/>
                <w:color w:val="006100"/>
                <w:sz w:val="20"/>
                <w:szCs w:val="20"/>
              </w:rPr>
              <w:t>a) podprogram za razvoj univerz podpira infrastrukturne projekte za razvoj raziskovalne, izobraževalne in nast</w:t>
            </w:r>
            <w:r>
              <w:rPr>
                <w:rFonts w:ascii="Times New Roman" w:hAnsi="Times New Roman"/>
                <w:noProof/>
                <w:color w:val="006100"/>
                <w:sz w:val="20"/>
                <w:szCs w:val="20"/>
              </w:rPr>
              <w:t>anitvene infrastrukture z visoko dodano vrednostjo za odlične raziskave in internacionalizacijo: na primer nadgradnja obstoječih ali novih prostorov za koncentracijo odličnih raziskav in doktorskih študij, vključno s tujimi raziskovalci, nadgradnja obstoje</w:t>
            </w:r>
            <w:r>
              <w:rPr>
                <w:rFonts w:ascii="Times New Roman" w:hAnsi="Times New Roman"/>
                <w:noProof/>
                <w:color w:val="006100"/>
                <w:sz w:val="20"/>
                <w:szCs w:val="20"/>
              </w:rPr>
              <w:t>čih ali novih prostorov za praktično poučevanje na poklicnih dodiplomskih tečajih, posodobitev obstoječih ali novih prostorov za notranje prostore, odprava ovir in sodobna digitalizacija stavb.</w:t>
            </w:r>
          </w:p>
          <w:p w:rsidR="009B5602" w:rsidRDefault="00886830">
            <w:pPr>
              <w:rPr>
                <w:rFonts w:ascii="Times New Roman" w:hAnsi="Times New Roman"/>
                <w:noProof/>
                <w:sz w:val="20"/>
                <w:szCs w:val="20"/>
              </w:rPr>
            </w:pPr>
            <w:r>
              <w:rPr>
                <w:rFonts w:ascii="Times New Roman" w:hAnsi="Times New Roman"/>
                <w:noProof/>
                <w:color w:val="006100"/>
                <w:sz w:val="20"/>
                <w:szCs w:val="20"/>
              </w:rPr>
              <w:t>b) program za razvoj univerz podpira projektno vodenje in spod</w:t>
            </w:r>
            <w:r>
              <w:rPr>
                <w:rFonts w:ascii="Times New Roman" w:hAnsi="Times New Roman"/>
                <w:noProof/>
                <w:color w:val="006100"/>
                <w:sz w:val="20"/>
                <w:szCs w:val="20"/>
              </w:rPr>
              <w:t>buja naložbe z združevanjem univerz. Ko je načrt odobren ter glede na njegovo izvedljivost in ambicije, pa tudi utemeljitev potrebnih naložb in zagotavljanje njihove nadaljnje trajnosti, vključuje naložbeni načrt, povezan s procesom združevanja univerzitet</w:t>
            </w:r>
            <w:r>
              <w:rPr>
                <w:rFonts w:ascii="Times New Roman" w:hAnsi="Times New Roman"/>
                <w:noProof/>
                <w:color w:val="006100"/>
                <w:sz w:val="20"/>
                <w:szCs w:val="20"/>
              </w:rPr>
              <w:t>nih enot.</w:t>
            </w:r>
          </w:p>
        </w:tc>
      </w:tr>
      <w:tr w:rsidR="009B5602">
        <w:trPr>
          <w:trHeight w:val="186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10</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8 – povečanje uspešnosti slovaških visokošolskih ustanov – Naložbe1: podpora strateškemu razvoju univerz</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obnovljeno univerzitetno območje in kraj bivanja s prihranki primarne energije za več kot 30 % (v m²)</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262 647</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993"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2026</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 je 291830 m², vendar je treba rekonstruirati vsaj 262647 m² univerzitetnega območja, vključno s statičnimi prostori na univerzah, pri čemer prihranki primarne energije znašajo več kot 30 % in se spremljajo s certifikati o varčevanju z energijo.</w:t>
            </w:r>
          </w:p>
        </w:tc>
      </w:tr>
    </w:tbl>
    <w:p w:rsidR="009B5602" w:rsidRPr="00886830" w:rsidRDefault="009B5602">
      <w:pPr>
        <w:spacing w:after="0" w:line="240" w:lineRule="auto"/>
        <w:jc w:val="both"/>
        <w:rPr>
          <w:rFonts w:eastAsia="Times New Roman" w:cs="Calibri"/>
          <w:noProof/>
          <w:color w:val="006100"/>
          <w:sz w:val="15"/>
          <w:szCs w:val="15"/>
        </w:rPr>
      </w:pPr>
    </w:p>
    <w:p w:rsidR="009B5602" w:rsidRPr="00886830" w:rsidRDefault="009B5602">
      <w:pPr>
        <w:spacing w:after="0" w:line="240" w:lineRule="auto"/>
        <w:jc w:val="both"/>
        <w:rPr>
          <w:rFonts w:eastAsia="Times New Roman" w:cs="Calibri"/>
          <w:noProof/>
          <w:color w:val="006100"/>
          <w:sz w:val="15"/>
          <w:szCs w:val="15"/>
        </w:rPr>
        <w:sectPr w:rsidR="009B5602" w:rsidRPr="00886830">
          <w:headerReference w:type="even" r:id="rId108"/>
          <w:headerReference w:type="default" r:id="rId109"/>
          <w:footerReference w:type="even" r:id="rId110"/>
          <w:footerReference w:type="default" r:id="rId111"/>
          <w:headerReference w:type="first" r:id="rId112"/>
          <w:footerReference w:type="first" r:id="rId113"/>
          <w:pgSz w:w="16839" w:h="11907" w:orient="landscape"/>
          <w:pgMar w:top="1417" w:right="1134" w:bottom="1417" w:left="1134" w:header="709" w:footer="709" w:gutter="0"/>
          <w:cols w:space="720"/>
          <w:docGrid w:linePitch="360"/>
        </w:sectPr>
      </w:pPr>
    </w:p>
    <w:p w:rsidR="009B5602" w:rsidRDefault="00886830">
      <w:pPr>
        <w:keepNext/>
        <w:tabs>
          <w:tab w:val="left" w:pos="156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KOMPONENTA 9: Učinkovitejše upravljanje in krepitev financiranja na področju raziskav, razvoja in inovacij</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Ta komponenta slovaškega načrta za oživitev gospodarstva in odpornega načrta obravnava pomembna s</w:t>
      </w:r>
      <w:r>
        <w:rPr>
          <w:rFonts w:ascii="Times New Roman" w:hAnsi="Times New Roman"/>
          <w:noProof/>
          <w:sz w:val="24"/>
          <w:szCs w:val="24"/>
        </w:rPr>
        <w:t xml:space="preserve">trukturna ozka grla v slovaškem ekosistemu raziskav, razvoja in inovacij, kot so razdrobljenost upravljanja na področju raziskav, razvoja in inovacij, nezadostno sodelovanje med zasebnim in akademskim svetom, internacionalizacija in financiranje raziskav, </w:t>
      </w:r>
      <w:r>
        <w:rPr>
          <w:rFonts w:ascii="Times New Roman" w:hAnsi="Times New Roman"/>
          <w:noProof/>
          <w:sz w:val="24"/>
          <w:szCs w:val="24"/>
        </w:rPr>
        <w:t xml:space="preserve">razvoja in inovacij. Dolgoročni cilj je spodbuditi zasebno udeležbo v raziskavah, razvoju in inovacijah s povečanjem zasebnih izdatkov za razvoj podeželja.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Ta komponenta je namenjena krepitvi uspešnosti na področju raziskav, razvoja in inovacij ter inova</w:t>
      </w:r>
      <w:r>
        <w:rPr>
          <w:rFonts w:ascii="Times New Roman" w:hAnsi="Times New Roman"/>
          <w:noProof/>
          <w:sz w:val="24"/>
          <w:szCs w:val="24"/>
        </w:rPr>
        <w:t>cijskega potenciala, ki sta nujen predpogoj za konkurenčno in trajnostno gospodarsko rast. Predlagani ukrepi so osredotočeni na krepitev upravljanja raziskav, razvoja in inovacij, splošno usklajevanje, učinek in učinkovitost naložb v raziskave, razvoj in i</w:t>
      </w:r>
      <w:r>
        <w:rPr>
          <w:rFonts w:ascii="Times New Roman" w:hAnsi="Times New Roman"/>
          <w:noProof/>
          <w:sz w:val="24"/>
          <w:szCs w:val="24"/>
        </w:rPr>
        <w:t>novacije ter spodbujanje javno–zasebnega sodelovanja in zasebnih naložb. Ukrepi podpirajo raziskovalno odličnost in internacionalizacijo ter privabljanje in ohranjanje talentov na področju znanosti in inovacij. Cilj naložbenih shem je ustvariti nove projek</w:t>
      </w:r>
      <w:r>
        <w:rPr>
          <w:rFonts w:ascii="Times New Roman" w:hAnsi="Times New Roman"/>
          <w:noProof/>
          <w:sz w:val="24"/>
          <w:szCs w:val="24"/>
        </w:rPr>
        <w:t xml:space="preserve">te na področju raziskav, razvoja in inovacij v ključnem gospodarskem sektorju s potencialom za preobrazbo, da bi podprli ustvarjanje delovnih mest z višjo dodano vrednostjo in spodbudili rast inovacijskega ekosistema na nacionalni in regionalni ravni.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Pri</w:t>
      </w:r>
      <w:r>
        <w:rPr>
          <w:rFonts w:ascii="Times New Roman" w:hAnsi="Times New Roman"/>
          <w:noProof/>
          <w:sz w:val="24"/>
          <w:szCs w:val="24"/>
        </w:rPr>
        <w:t>čakuje se, da noben ukrep v tej komponenti ne bo znatno škodoval okoljskim ciljem v smislu člena 17 Uredbe (EU) 2020/852, ob upoštevanju opisa ukrepov in ukrepov za ublažitev, določenih v načrtu za okrevanje in odpornost v skladu s tehničnimi smernicami za</w:t>
      </w:r>
      <w:r>
        <w:rPr>
          <w:rFonts w:ascii="Times New Roman" w:hAnsi="Times New Roman"/>
          <w:noProof/>
          <w:sz w:val="24"/>
          <w:szCs w:val="24"/>
        </w:rPr>
        <w:t xml:space="preserve"> uporabo načela, da se ne škoduje bistveno (2021/C58/01).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Komponento sestavljata 2 reformi in 7 naložb, ki so med seboj tesno povezane. Reforme na področju raziskav, razvoja in inovacij so zasnovane tako, da so predpogoj za učinkovito in uspešno črpanje </w:t>
      </w:r>
      <w:r>
        <w:rPr>
          <w:rFonts w:ascii="Times New Roman" w:hAnsi="Times New Roman"/>
          <w:noProof/>
          <w:sz w:val="24"/>
          <w:szCs w:val="24"/>
        </w:rPr>
        <w:t>naložb.</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Vse naložbene sheme so skladne z načelom, da se ne škoduje bistveno, ki zahteva tehnološko nevtralne naložbe na ravni aplikacij in izključuje potencialno škodljiva področja, kot so fosilna goriva, vključno z nadaljnjo uporabo. Objava vseh konkurenč</w:t>
      </w:r>
      <w:r>
        <w:rPr>
          <w:rFonts w:ascii="Times New Roman" w:hAnsi="Times New Roman"/>
          <w:noProof/>
          <w:sz w:val="24"/>
          <w:szCs w:val="24"/>
        </w:rPr>
        <w:t>nih razpisov za zbiranje predlogov vključuje merila za upravičenost, ki zagotavljajo, da so izbrani projekti skladni z načelom, da se ne škoduje bistveno, z uporabo seznama izključitev in zahteve po skladnosti z ustrezno okoljsko zakonodajo EU in nacionaln</w:t>
      </w:r>
      <w:r>
        <w:rPr>
          <w:rFonts w:ascii="Times New Roman" w:hAnsi="Times New Roman"/>
          <w:noProof/>
          <w:sz w:val="24"/>
          <w:szCs w:val="24"/>
        </w:rPr>
        <w:t xml:space="preserve">o okoljsko zakonodajo.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color w:val="000000"/>
          <w:sz w:val="24"/>
          <w:szCs w:val="24"/>
        </w:rPr>
        <w:t>Naložbe in reforme prispevajo k priporočilom za posamezno državo, naslovljenim na Slovaško v zadnjih dveh letih, in sicer da bo „ekonomsko politiko z zvezi z naložbami osredotočila na [...] raziskave in inovacije“ (priporočilo za po</w:t>
      </w:r>
      <w:r>
        <w:rPr>
          <w:rFonts w:ascii="Times New Roman" w:hAnsi="Times New Roman"/>
          <w:noProof/>
          <w:color w:val="000000"/>
          <w:sz w:val="24"/>
          <w:szCs w:val="24"/>
        </w:rPr>
        <w:t>samezno državo št. 3 iz leta 2019), da „[u]smeri naložbe na zeleni in digitalni prehod“ (priporočilo za posamezno državo št. 3 iz leta 2020) ter okrepi usklajevanje in oblikovanje politik (priporočilo za posamezno državo št. 4 iz leta 2020).</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color w:val="000000"/>
          <w:sz w:val="24"/>
          <w:szCs w:val="24"/>
        </w:rPr>
        <w:t xml:space="preserve"> </w:t>
      </w:r>
      <w:r>
        <w:rPr>
          <w:rFonts w:ascii="Times New Roman" w:hAnsi="Times New Roman"/>
          <w:b/>
          <w:noProof/>
          <w:sz w:val="24"/>
          <w:szCs w:val="24"/>
          <w:u w:val="single"/>
        </w:rPr>
        <w:t xml:space="preserve">A.1 </w:t>
      </w:r>
      <w:r>
        <w:rPr>
          <w:rFonts w:ascii="Times New Roman" w:hAnsi="Times New Roman"/>
          <w:noProof/>
          <w:sz w:val="24"/>
          <w:szCs w:val="24"/>
        </w:rPr>
        <w:tab/>
      </w:r>
      <w:r>
        <w:rPr>
          <w:rFonts w:ascii="Times New Roman" w:hAnsi="Times New Roman"/>
          <w:b/>
          <w:noProof/>
          <w:sz w:val="24"/>
          <w:szCs w:val="24"/>
          <w:u w:val="single"/>
        </w:rPr>
        <w:t xml:space="preserve">Opis </w:t>
      </w:r>
      <w:r>
        <w:rPr>
          <w:rFonts w:ascii="Times New Roman" w:hAnsi="Times New Roman"/>
          <w:b/>
          <w:noProof/>
          <w:sz w:val="24"/>
          <w:szCs w:val="24"/>
          <w:u w:val="single"/>
        </w:rPr>
        <w:t>reform in naložb za nepovratno finančno podporo</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noProof/>
          <w:sz w:val="24"/>
          <w:szCs w:val="24"/>
        </w:rPr>
        <w:t>Reforma 1: Reforma upravljanja, ocenjevanja in podpore na področju znanosti, raziskav in inovacij.</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Reforma se osredotoča na spremembo zakonodaje na področju raziskav, razvoja in inovacij, ki bo okrepila struk</w:t>
      </w:r>
      <w:r>
        <w:rPr>
          <w:rFonts w:ascii="Times New Roman" w:hAnsi="Times New Roman"/>
          <w:noProof/>
          <w:sz w:val="24"/>
          <w:szCs w:val="24"/>
        </w:rPr>
        <w:t>turo upravljanja na področju raziskav, razvoja in inovacij ter okrepila in profesionalizirala medresorsko usklajevanje politik na področju raziskav, razvoja in inovacij. Novo strukturo upravljanja sestavljajo slovaška vlada, vladni svet za znanost, tehnolo</w:t>
      </w:r>
      <w:r>
        <w:rPr>
          <w:rFonts w:ascii="Times New Roman" w:hAnsi="Times New Roman"/>
          <w:noProof/>
          <w:sz w:val="24"/>
          <w:szCs w:val="24"/>
        </w:rPr>
        <w:t>gijo in inovacije ter sekretariat, ustanovljen v okviru vladnega urada. Reforma temelji na 5 stebrih: i) močna nadvladna strategija in usklajevanje, ii) učinkoviti medsektorski standardi za podporne instrumente, iii) konsolidacija agencij za nepovratna sre</w:t>
      </w:r>
      <w:r>
        <w:rPr>
          <w:rFonts w:ascii="Times New Roman" w:hAnsi="Times New Roman"/>
          <w:noProof/>
          <w:sz w:val="24"/>
          <w:szCs w:val="24"/>
        </w:rPr>
        <w:t>dstva in krepitev njihovega strokovnega znanja, iv) uporaba načel dobrega upravljanja in učinkovitosti ter v) enoten sistem institucionalnega ocenjevanja in financiranja raziskav, razvoja in inovacij. Revizijo zakonodaje (Zakon št. 172/2005) predlaga Minis</w:t>
      </w:r>
      <w:r>
        <w:rPr>
          <w:rFonts w:ascii="Times New Roman" w:hAnsi="Times New Roman"/>
          <w:noProof/>
          <w:sz w:val="24"/>
          <w:szCs w:val="24"/>
        </w:rPr>
        <w:t>trstvo za izobraževanje, znanost, raziskave in šport, ki začne veljati do 31. marca 2022. Reforma vključuje sprejetje nove nacionalne strategije za raziskave, razvoj in inovacije, ki bo zagotovila strateško usmeritev politike, cilje in orodja, ki se bodo d</w:t>
      </w:r>
      <w:r>
        <w:rPr>
          <w:rFonts w:ascii="Times New Roman" w:hAnsi="Times New Roman"/>
          <w:noProof/>
          <w:sz w:val="24"/>
          <w:szCs w:val="24"/>
        </w:rPr>
        <w:t>osledno in dopolnjevala za vse vrste javne podpore, vključno z nacionalnimi sredstvi in sredstvi EU. Vlada sprejme strategijo do 30. septembra 2022. Da bi čim bolj zmanjšali neučinkovitosti, se načela dobrega upravljanja in učinkovitega financiranja pretvo</w:t>
      </w:r>
      <w:r>
        <w:rPr>
          <w:rFonts w:ascii="Times New Roman" w:hAnsi="Times New Roman"/>
          <w:noProof/>
          <w:sz w:val="24"/>
          <w:szCs w:val="24"/>
        </w:rPr>
        <w:t>rijo v metodologijo za predhodno uporabo naložb v raziskave, razvoj in inovacije. Nova strategija in ukrepi na področju raziskav, razvoja in inovacij upoštevajo revidirano strategijo pametne specializacije za spodbujanje tematske osredotočenosti ter pripor</w:t>
      </w:r>
      <w:r>
        <w:rPr>
          <w:rFonts w:ascii="Times New Roman" w:hAnsi="Times New Roman"/>
          <w:noProof/>
          <w:sz w:val="24"/>
          <w:szCs w:val="24"/>
        </w:rPr>
        <w:t>očila iz nedavnih študij, kot je OECD, da bi izboljšali izvajanje naložb v raziskave, razvoj in inovacije ter „pridobljene izkušnje“ iz programskih obdobij kohezijske politike. Postopek ocenjevanja se reformira, da se poveča uporaba odbora in tujih ocenjev</w:t>
      </w:r>
      <w:r>
        <w:rPr>
          <w:rFonts w:ascii="Times New Roman" w:hAnsi="Times New Roman"/>
          <w:noProof/>
          <w:sz w:val="24"/>
          <w:szCs w:val="24"/>
        </w:rPr>
        <w:t>alcev, upravni postopki pa se poenostavijo.</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 Reforma se izvede do 30. septembra 2022.</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 xml:space="preserve">Reforma 2: Reforma organizacije in financiranja raziskovalnih ustanov, zlasti slovaške akademije znanosti.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Cilj reforme je dokončati preoblikovanje slovaške akademije </w:t>
      </w:r>
      <w:r>
        <w:rPr>
          <w:rFonts w:ascii="Times New Roman" w:hAnsi="Times New Roman"/>
          <w:noProof/>
          <w:sz w:val="24"/>
          <w:szCs w:val="24"/>
        </w:rPr>
        <w:t>znanosti (SAS) v javno organizacijo, da se omogoči spodbujanje financiranja iz več virov in sodelovanja z zasebnim sektorjem. Reforma bo omogočena z revizijo dveh zakonodajnih aktov (zakon št. 133/2002 o SAS in Zakon št. 243/2017 o javnih raziskovalnih ust</w:t>
      </w:r>
      <w:r>
        <w:rPr>
          <w:rFonts w:ascii="Times New Roman" w:hAnsi="Times New Roman"/>
          <w:noProof/>
          <w:sz w:val="24"/>
          <w:szCs w:val="24"/>
        </w:rPr>
        <w:t>anovah), ki ju predlaga Ministrstvo za izobraževanje, znanost, raziskave in šport. SRS omogoča sklepanje poslovnih in premoženjskih razmerij v zvezi z raziskavami, razvojem in inovacijami s popolno zaščito pravic intelektualne lastnine in finančnih dobičko</w:t>
      </w:r>
      <w:r>
        <w:rPr>
          <w:rFonts w:ascii="Times New Roman" w:hAnsi="Times New Roman"/>
          <w:noProof/>
          <w:sz w:val="24"/>
          <w:szCs w:val="24"/>
        </w:rPr>
        <w:t xml:space="preserve">v.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Reforma se izvede do 31. decembra 2021.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Naložba 1: Spodbujanje mednarodnega sodelovanja in udeležbe v projektih programa Obzorje Evropa in EIT.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Udeležba v mednarodnem sodelovanju, kot so okvirni programi EU za raziskovalne infrastrukture, je zelo niz</w:t>
      </w:r>
      <w:r>
        <w:rPr>
          <w:rFonts w:ascii="Times New Roman" w:hAnsi="Times New Roman"/>
          <w:noProof/>
          <w:sz w:val="24"/>
          <w:szCs w:val="24"/>
        </w:rPr>
        <w:t>ka, Slovaška pa je trenutno na 24. mestu v EU v zvezi s sredstvi EU, ki jih je prejela iz programa Obzorje 2020. Cilj naložbe je omogočiti večjo udeležbo slovaških institucij, raziskovalcev in podjetij v najsodobnejših projektih Evropskega raziskovalnega p</w:t>
      </w:r>
      <w:r>
        <w:rPr>
          <w:rFonts w:ascii="Times New Roman" w:hAnsi="Times New Roman"/>
          <w:noProof/>
          <w:sz w:val="24"/>
          <w:szCs w:val="24"/>
        </w:rPr>
        <w:t xml:space="preserve">rostora (ERP). Objavijo se vsaj trije razpisi za projekte za naslednje sheme: </w:t>
      </w:r>
    </w:p>
    <w:p w:rsidR="009B5602" w:rsidRDefault="00886830">
      <w:pPr>
        <w:numPr>
          <w:ilvl w:val="0"/>
          <w:numId w:val="4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Projekti, ki jih podeljujejo projekti „pečat odličnosti“/prag (kot so podoktorske štipendije za podoktorske štipendije Marie Skłodowska-Curie, povezovanje, program Evropskega ra</w:t>
      </w:r>
      <w:r>
        <w:rPr>
          <w:rFonts w:ascii="Times New Roman" w:hAnsi="Times New Roman"/>
          <w:noProof/>
          <w:sz w:val="24"/>
          <w:szCs w:val="24"/>
        </w:rPr>
        <w:t xml:space="preserve">ziskovalnega sveta z oceno A v drugem krogu). </w:t>
      </w:r>
    </w:p>
    <w:p w:rsidR="009B5602" w:rsidRDefault="00886830">
      <w:pPr>
        <w:numPr>
          <w:ilvl w:val="0"/>
          <w:numId w:val="4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Projekti, ki sodelujejo v shemi Evropskega sveta za inovacije z nagrado „pečat odličnosti“ iz Bratislave. </w:t>
      </w:r>
    </w:p>
    <w:p w:rsidR="009B5602" w:rsidRDefault="00886830">
      <w:pPr>
        <w:numPr>
          <w:ilvl w:val="0"/>
          <w:numId w:val="4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„Usklajevanje nepovratnih sredstev raziskovalnim ustanovam ali podjetjem z viri, ustvarjenimi v okviru programa Obzorje 2020/Obzorja Evropa. </w:t>
      </w:r>
    </w:p>
    <w:p w:rsidR="009B5602" w:rsidRDefault="00886830">
      <w:pPr>
        <w:numPr>
          <w:ilvl w:val="0"/>
          <w:numId w:val="4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Nepovratna sredstva za pripravo prijav Obzorje 2020/Obzorje Evropa.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Splošni pristop je podpora visokokakovostnim </w:t>
      </w:r>
      <w:r>
        <w:rPr>
          <w:rFonts w:ascii="Times New Roman" w:hAnsi="Times New Roman"/>
          <w:noProof/>
          <w:sz w:val="24"/>
          <w:szCs w:val="24"/>
        </w:rPr>
        <w:t xml:space="preserve">projektom, ki v programih ERP prejmejo zelo visoko oceno, vendar zanje ni sredstev. Pričakuje se, da bo naložba privedla do najmanj 48 prijav in sodelujočih projektov v programih Obzorje Evropa.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Naložba se izvede do 30. junija 2026.</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Naložba 2: Podpiranje </w:t>
      </w:r>
      <w:r>
        <w:rPr>
          <w:rFonts w:ascii="Times New Roman" w:hAnsi="Times New Roman"/>
          <w:b/>
          <w:noProof/>
          <w:sz w:val="24"/>
          <w:szCs w:val="24"/>
        </w:rPr>
        <w:t xml:space="preserve">sodelovanja med podjetji, akademskimi krogi ter raziskovalnimi in razvojnimi organizacijami.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Cilj naložbe je spodbuditi zasebno udeležbo v raziskavah, razvoju in inovacijah ter povečati delež inovativnih podjetij, zlasti na področju digitalnih inovacij. P</w:t>
      </w:r>
      <w:r>
        <w:rPr>
          <w:rFonts w:ascii="Times New Roman" w:hAnsi="Times New Roman"/>
          <w:noProof/>
          <w:sz w:val="24"/>
          <w:szCs w:val="24"/>
        </w:rPr>
        <w:t xml:space="preserve">odpira širšo vlogo zasebnega sektorja, krepitev zmogljivosti in povezovanje v mreže z raziskovalnimi organizacijami. Objavi se vsaj pet razpisov za naslednje sheme:  </w:t>
      </w:r>
    </w:p>
    <w:p w:rsidR="009B5602" w:rsidRDefault="00886830">
      <w:pPr>
        <w:numPr>
          <w:ilvl w:val="0"/>
          <w:numId w:val="4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„Usklajevanje nepovratnih sredstev“ raziskovalnim ustanovam za pridobivanje sredstev, zbr</w:t>
      </w:r>
      <w:r>
        <w:rPr>
          <w:rFonts w:ascii="Times New Roman" w:hAnsi="Times New Roman"/>
          <w:noProof/>
          <w:sz w:val="24"/>
          <w:szCs w:val="24"/>
        </w:rPr>
        <w:t xml:space="preserve">anih iz zasebnega sektorja v okviru sodelovanja na področju raziskav. Ta shema spodbuja akademske in raziskovalne organizacije k iskanju več zasebnih partnerstev. </w:t>
      </w:r>
    </w:p>
    <w:p w:rsidR="009B5602" w:rsidRDefault="00886830">
      <w:pPr>
        <w:numPr>
          <w:ilvl w:val="0"/>
          <w:numId w:val="4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Praksa doktorskih študentov in osebja med podjetji in akademskimi raziskovalnimi organizacij</w:t>
      </w:r>
      <w:r>
        <w:rPr>
          <w:rFonts w:ascii="Times New Roman" w:hAnsi="Times New Roman"/>
          <w:noProof/>
          <w:sz w:val="24"/>
          <w:szCs w:val="24"/>
        </w:rPr>
        <w:t xml:space="preserve">ami, vključno s skupnim vodenjem doktorskih kandidatov. </w:t>
      </w:r>
    </w:p>
    <w:p w:rsidR="009B5602" w:rsidRDefault="00886830">
      <w:pPr>
        <w:numPr>
          <w:ilvl w:val="0"/>
          <w:numId w:val="4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Programi podpore „voucher“ – za lažji prenos znanja, tehnologij in inovacij ter za krepitev sodelovanja s poslovnim sektorjem. Predlagane so tri vrste shem kuponov: I) inovacijski bon – za spodbujanj</w:t>
      </w:r>
      <w:r>
        <w:rPr>
          <w:rFonts w:ascii="Times New Roman" w:hAnsi="Times New Roman"/>
          <w:noProof/>
          <w:sz w:val="24"/>
          <w:szCs w:val="24"/>
        </w:rPr>
        <w:t xml:space="preserve">e sodelovanja MSP z raziskovalnimi organizacijami ali z občinami, ii) digitalni bon – za spodbujanje digitalizacije storitev in postopkov za MSP in podjetja ter iii) patentni bon – za spodbujanje varstva pravic intelektualne lastnine. </w:t>
      </w:r>
    </w:p>
    <w:p w:rsidR="009B5602" w:rsidRDefault="00886830">
      <w:pPr>
        <w:numPr>
          <w:ilvl w:val="0"/>
          <w:numId w:val="43"/>
        </w:numPr>
        <w:spacing w:before="120" w:after="120" w:line="240" w:lineRule="auto"/>
        <w:jc w:val="both"/>
        <w:rPr>
          <w:noProof/>
          <w:sz w:val="24"/>
          <w:szCs w:val="24"/>
        </w:rPr>
      </w:pPr>
      <w:r>
        <w:rPr>
          <w:rFonts w:ascii="Times New Roman" w:hAnsi="Times New Roman"/>
          <w:noProof/>
          <w:sz w:val="24"/>
          <w:szCs w:val="24"/>
        </w:rPr>
        <w:t>Cilj ukrepa oblikova</w:t>
      </w:r>
      <w:r>
        <w:rPr>
          <w:rFonts w:ascii="Times New Roman" w:hAnsi="Times New Roman"/>
          <w:noProof/>
          <w:sz w:val="24"/>
          <w:szCs w:val="24"/>
        </w:rPr>
        <w:t>nja vsaj dveh „transformativnih in inovativnih konzorcijev“ je ustvarjanje novih projektov na področju raziskav, razvoja in inovacij v ključnih gospodarskih sektorjih z največjim inovacijskim potencialom (kot so pametna mobilnost, zelene tehnologije), zlas</w:t>
      </w:r>
      <w:r>
        <w:rPr>
          <w:rFonts w:ascii="Times New Roman" w:hAnsi="Times New Roman"/>
          <w:noProof/>
          <w:sz w:val="24"/>
          <w:szCs w:val="24"/>
        </w:rPr>
        <w:t xml:space="preserve">ti v regijah Košice in Bratislava.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Od splošnega cilja je podpora 5 900 projektom, pri čemer je podprtih vsaj 5 500 projektov sodelovanja med podjetji, akademskimi krogi in organizacijami za redke bolezni ter boni.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Naložba se izvede do 30. junija 2026.</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noProof/>
          <w:sz w:val="24"/>
          <w:szCs w:val="24"/>
        </w:rPr>
        <w:t>Na</w:t>
      </w:r>
      <w:r>
        <w:rPr>
          <w:rFonts w:ascii="Times New Roman" w:hAnsi="Times New Roman"/>
          <w:b/>
          <w:noProof/>
          <w:sz w:val="24"/>
          <w:szCs w:val="24"/>
        </w:rPr>
        <w:t xml:space="preserve">ložba 3: Odlična znanost.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Stopnja internacionalizacije raziskovalnega okolja je zelo nizka, le 2 % univerzitetnega akademskega osebja prihaja iz tujine. Cilj naložbe je ustvariti mednarodno konkurenčno okolje za najboljše znanstvenike v smislu plač in raz</w:t>
      </w:r>
      <w:r>
        <w:rPr>
          <w:rFonts w:ascii="Times New Roman" w:hAnsi="Times New Roman"/>
          <w:noProof/>
          <w:sz w:val="24"/>
          <w:szCs w:val="24"/>
        </w:rPr>
        <w:t>položljivosti privlačnih raziskovalnih programov. Objavi se vsaj 6 razpisov za naslednje sheme:</w:t>
      </w:r>
    </w:p>
    <w:p w:rsidR="009B5602" w:rsidRDefault="00886830">
      <w:pPr>
        <w:numPr>
          <w:ilvl w:val="0"/>
          <w:numId w:val="42"/>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Štipendije za odlične raziskovalce na različnih stopnjah poklicne poti R1–R4 (raziskovalci prve faze, priznani raziskovalci, ustanovljeni raziskovalci, vodilni </w:t>
      </w:r>
      <w:r>
        <w:rPr>
          <w:rFonts w:ascii="Times New Roman" w:hAnsi="Times New Roman"/>
          <w:noProof/>
          <w:sz w:val="24"/>
          <w:szCs w:val="24"/>
        </w:rPr>
        <w:t xml:space="preserve">raziskovalci). </w:t>
      </w:r>
    </w:p>
    <w:p w:rsidR="009B5602" w:rsidRDefault="00886830">
      <w:pPr>
        <w:numPr>
          <w:ilvl w:val="0"/>
          <w:numId w:val="42"/>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Nepovratna sredstva za raziskave v zgodnji fazi. Shema je zasnovana tako, da mladim raziskovalcem omogoča, da začnejo raziskave na svojem področju.  </w:t>
      </w:r>
    </w:p>
    <w:p w:rsidR="009B5602" w:rsidRDefault="00886830">
      <w:pPr>
        <w:numPr>
          <w:ilvl w:val="0"/>
          <w:numId w:val="42"/>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Kapitalski „uspešnik“ dopolnjuje obstoječe sheme za financiranje naložb v osnovna sredstva</w:t>
      </w:r>
      <w:r>
        <w:rPr>
          <w:rFonts w:ascii="Times New Roman" w:hAnsi="Times New Roman"/>
          <w:noProof/>
          <w:sz w:val="24"/>
          <w:szCs w:val="24"/>
        </w:rPr>
        <w:t xml:space="preserve"> za raziskovalne projekte. </w:t>
      </w:r>
    </w:p>
    <w:p w:rsidR="009B5602" w:rsidRDefault="00886830">
      <w:pPr>
        <w:numPr>
          <w:ilvl w:val="0"/>
          <w:numId w:val="42"/>
        </w:numPr>
        <w:spacing w:before="120" w:after="120" w:line="240" w:lineRule="auto"/>
        <w:jc w:val="both"/>
        <w:rPr>
          <w:noProof/>
          <w:sz w:val="24"/>
          <w:szCs w:val="24"/>
        </w:rPr>
      </w:pPr>
      <w:r>
        <w:rPr>
          <w:rFonts w:ascii="Times New Roman" w:hAnsi="Times New Roman"/>
          <w:noProof/>
          <w:sz w:val="24"/>
          <w:szCs w:val="24"/>
        </w:rPr>
        <w:t>Namenski razpisi za velike raziskovalne projekte podpirajo odlične skupine na strateško opredeljenih področjih raziskav, razvoja in inovacij ter krepijo človeški kapital na področju raziskav, razvoja in inovacij. Pričakuje se, d</w:t>
      </w:r>
      <w:r>
        <w:rPr>
          <w:rFonts w:ascii="Times New Roman" w:hAnsi="Times New Roman"/>
          <w:noProof/>
          <w:sz w:val="24"/>
          <w:szCs w:val="24"/>
        </w:rPr>
        <w:t xml:space="preserve">a bo izbranih in zaključenih najmanj 15 visokokakovostnih raziskovalnih projektov.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Od splošnega cilja je podpora 1060 odličnim raziskovalcem, v okviru različnih shem pa je podprtih vsaj 1000 odličnih raziskovalcev.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Naložba se izvede do 31. marca 2026.</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noProof/>
          <w:sz w:val="24"/>
          <w:szCs w:val="24"/>
        </w:rPr>
        <w:t>Naložba 4: Raziskave in inovacije za razogljičenje gospodarstva.</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Cilj naložbene sheme je izboljšati sinergije na področju raziskav, razvoja in inovacij med nacionalno ravnjo in ravnjo EU.  Objavijo se tematski razpisi za podporo zelenemu prehodu ter odporn</w:t>
      </w:r>
      <w:r>
        <w:rPr>
          <w:rFonts w:ascii="Times New Roman" w:hAnsi="Times New Roman"/>
          <w:noProof/>
          <w:sz w:val="24"/>
          <w:szCs w:val="24"/>
        </w:rPr>
        <w:t>osti in prilagajanju podnebnim spremembam v skladu s temami, pričakovanimi v tematskih prednostnih nalogah programa Obzorje Evropa, kot so brezogljična energija, elektrifikacija, vodik, baterijske tehnologije in alternativna goriva, nizkoemisijski industri</w:t>
      </w:r>
      <w:r>
        <w:rPr>
          <w:rFonts w:ascii="Times New Roman" w:hAnsi="Times New Roman"/>
          <w:noProof/>
          <w:sz w:val="24"/>
          <w:szCs w:val="24"/>
        </w:rPr>
        <w:t>jski procesi in materiali ter biogospodarstvo. Poudarek bo na celotnem ciklu raziskav in inovacij (stopnja pripravljenosti na tehnologijo 1–9), pri čemer se največ sredstev nameni predstavitvenim projektom in bolj naprednim stopnjam tehnološke pripravljeno</w:t>
      </w:r>
      <w:r>
        <w:rPr>
          <w:rFonts w:ascii="Times New Roman" w:hAnsi="Times New Roman"/>
          <w:noProof/>
          <w:sz w:val="24"/>
          <w:szCs w:val="24"/>
        </w:rPr>
        <w:t>sti.</w:t>
      </w:r>
      <w:r>
        <w:rPr>
          <w:rFonts w:ascii="Times New Roman" w:hAnsi="Times New Roman"/>
          <w:b/>
          <w:bCs/>
          <w:noProof/>
          <w:sz w:val="24"/>
          <w:szCs w:val="24"/>
        </w:rPr>
        <w:t xml:space="preserve"> </w:t>
      </w:r>
      <w:r>
        <w:rPr>
          <w:rFonts w:ascii="Times New Roman" w:hAnsi="Times New Roman"/>
          <w:noProof/>
          <w:sz w:val="24"/>
          <w:szCs w:val="24"/>
        </w:rPr>
        <w:t>Od skupnega cilja je dokončanje 30 projektov, od katerih je vsaj 27 zaključenih v okviru razpisov do 30. junija 2026.</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Naložba se izvede do 30. junija 2026.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Naložba 5: Raziskave in inovacije za digitalizacijo gospodarstva.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Namen naložbe je podpreti </w:t>
      </w:r>
      <w:r>
        <w:rPr>
          <w:rFonts w:ascii="Times New Roman" w:hAnsi="Times New Roman"/>
          <w:noProof/>
          <w:sz w:val="24"/>
          <w:szCs w:val="24"/>
        </w:rPr>
        <w:t>prehod na digitalno gospodarstvo. Tematski razpisi, ki bodo objavljeni leta 2022, se usmerijo v teme, ki se pričakujejo v okviru tematskih prednostnih nalog programa Obzorje Evropa, kot so ključne digitalne in industrijske tehnologije, internet stvari, ume</w:t>
      </w:r>
      <w:r>
        <w:rPr>
          <w:rFonts w:ascii="Times New Roman" w:hAnsi="Times New Roman"/>
          <w:noProof/>
          <w:sz w:val="24"/>
          <w:szCs w:val="24"/>
        </w:rPr>
        <w:t>tna inteligenca in robotika, ter zajemajo celoten cikel raziskav in inovacij (tehnološke ravni 1–9). Od skupnega cilja je 155 projektov dokončati vsaj 140 projektov v okviru razpisov do 30. junija 2026.</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 Naložba se izvede do 30. junija 2026.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noProof/>
          <w:sz w:val="24"/>
          <w:szCs w:val="24"/>
        </w:rPr>
        <w:t>Naložba 6: Fi</w:t>
      </w:r>
      <w:r>
        <w:rPr>
          <w:rFonts w:ascii="Times New Roman" w:hAnsi="Times New Roman"/>
          <w:b/>
          <w:noProof/>
          <w:sz w:val="24"/>
          <w:szCs w:val="24"/>
        </w:rPr>
        <w:t xml:space="preserve">nančni instrumenti za podporo inovacijam.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Namen naložbe je znatno povečati delež inovativnih podjetij, zlasti za digitalne in zelene inovacije, ter vlagati v podjetja z znatnim tehnološkim in inovacijskim potencialom. Kapitalske naložbe zajemajo zgodnjo f</w:t>
      </w:r>
      <w:r>
        <w:rPr>
          <w:rFonts w:ascii="Times New Roman" w:hAnsi="Times New Roman"/>
          <w:noProof/>
          <w:sz w:val="24"/>
          <w:szCs w:val="24"/>
        </w:rPr>
        <w:t>azo (semenska faza) in fazo rasti (kot so skladi tveganega kapitala) v življenjskem ciklu družb ter se izvajajo prek finančnih posrednikov. Da bi povečali spodbude za MSP za vstop v zelene in digitalne projekte, se predlaga vzpostavitev vračljive oblike fi</w:t>
      </w:r>
      <w:r>
        <w:rPr>
          <w:rFonts w:ascii="Times New Roman" w:hAnsi="Times New Roman"/>
          <w:noProof/>
          <w:sz w:val="24"/>
          <w:szCs w:val="24"/>
        </w:rPr>
        <w:t xml:space="preserve">nanciranja s posojilnimi produkti. Zelena in digitalna posojila omogočajo kombiniranje posojila/kreditnega produkta s financiranjem nepovratnih sredstev.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Za skladnost s tehničnimi smernicami za uporabo načela, da se ne škoduje bistveno (2021/C58/01), se z</w:t>
      </w:r>
      <w:r>
        <w:rPr>
          <w:rFonts w:ascii="Times New Roman" w:hAnsi="Times New Roman"/>
          <w:noProof/>
          <w:sz w:val="24"/>
          <w:szCs w:val="24"/>
        </w:rPr>
        <w:t xml:space="preserve">a naložbene strategije, v katerih je opisana uporaba finančnih instrumentov, zahteva uporaba tehničnih smernic Komisije o preverjanju trajnosti za InvestEU in/ali uporaba seznama za izključitev ter skladnost z ustrezno okoljsko zakonodajo EU in nacionalno </w:t>
      </w:r>
      <w:r>
        <w:rPr>
          <w:rFonts w:ascii="Times New Roman" w:hAnsi="Times New Roman"/>
          <w:noProof/>
          <w:sz w:val="24"/>
          <w:szCs w:val="24"/>
        </w:rPr>
        <w:t xml:space="preserve">okoljsko zakonodajo. Naložbena strategija, vključno z zahtevami, da se ne škoduje bistveno, se ustrezno odraža v pogodbenem sporazumu med slovaškimi organi in izvajalskimi partnerji/finančnimi posredniki.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Od splošnega cilja je podpora 165 podjetjem do 30.</w:t>
      </w:r>
      <w:r>
        <w:rPr>
          <w:rFonts w:ascii="Times New Roman" w:hAnsi="Times New Roman"/>
          <w:noProof/>
          <w:sz w:val="24"/>
          <w:szCs w:val="24"/>
        </w:rPr>
        <w:t xml:space="preserve"> junija 2026 podpora vsaj 150 podjetjem s finančnimi instrumenti v obliki vložkov kapitala in mikroposojil.</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Naložba se izvede do 30. junija 2026.</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noProof/>
          <w:sz w:val="24"/>
          <w:szCs w:val="24"/>
        </w:rPr>
        <w:t>Naložba 7: Sistem IT za nepovratna sredstva za raziskave in razvoj.</w:t>
      </w:r>
      <w:r>
        <w:rPr>
          <w:rFonts w:ascii="Times New Roman" w:hAnsi="Times New Roman"/>
          <w:noProof/>
          <w:sz w:val="24"/>
          <w:szCs w:val="24"/>
          <w:u w:val="single"/>
        </w:rPr>
        <w:t xml:space="preserve">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Cilj naložbe, ki je tesno povezana z refo</w:t>
      </w:r>
      <w:r>
        <w:rPr>
          <w:rFonts w:ascii="Times New Roman" w:hAnsi="Times New Roman"/>
          <w:noProof/>
          <w:sz w:val="24"/>
          <w:szCs w:val="24"/>
        </w:rPr>
        <w:t>rmo 1, je vzpostaviti enoten informacijski sistem za pospešitev ocenjevanja razpisov za nepovratna sredstva. Sistem IT ima naslednje značilnosti: i) modul, ki povezuje register visokošolskega osebja z osebjem na področju raziskav, razvoja in inovacij ter d</w:t>
      </w:r>
      <w:r>
        <w:rPr>
          <w:rFonts w:ascii="Times New Roman" w:hAnsi="Times New Roman"/>
          <w:noProof/>
          <w:sz w:val="24"/>
          <w:szCs w:val="24"/>
        </w:rPr>
        <w:t>rugih sektorjev, ii) modul za registracijo organizacij za razvoj podeželja, iii) modularnost sistema za prožno uporabo različnih sistemov ocenjevanja, iv) modul za povezavo registra objav za ocenjevanje projektov in poročanje o rezultatih projekta ter v) i</w:t>
      </w:r>
      <w:r>
        <w:rPr>
          <w:rFonts w:ascii="Times New Roman" w:hAnsi="Times New Roman"/>
          <w:noProof/>
          <w:sz w:val="24"/>
          <w:szCs w:val="24"/>
        </w:rPr>
        <w:t xml:space="preserve">nterakcije s sistemom kohezijske politike – modul „ESIF ITMS“ in vi) modularnost, ki omogoča različno določanje razpisov (kot so projekti VEGA).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Naložba se izvede do 31. marca 2023.</w:t>
      </w:r>
    </w:p>
    <w:p w:rsidR="009B5602" w:rsidRDefault="00886830">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  </w:t>
      </w:r>
    </w:p>
    <w:p w:rsidR="009B5602" w:rsidRDefault="009B5602">
      <w:pPr>
        <w:tabs>
          <w:tab w:val="left" w:pos="1560"/>
        </w:tabs>
        <w:spacing w:before="120" w:after="120" w:line="240" w:lineRule="auto"/>
        <w:jc w:val="both"/>
        <w:rPr>
          <w:rFonts w:ascii="Times New Roman" w:hAnsi="Times New Roman"/>
          <w:noProof/>
          <w:sz w:val="24"/>
          <w:highlight w:val="yellow"/>
        </w:rPr>
        <w:sectPr w:rsidR="009B5602">
          <w:headerReference w:type="even" r:id="rId114"/>
          <w:headerReference w:type="default" r:id="rId115"/>
          <w:footerReference w:type="even" r:id="rId116"/>
          <w:footerReference w:type="default" r:id="rId117"/>
          <w:headerReference w:type="first" r:id="rId118"/>
          <w:footerReference w:type="first" r:id="rId119"/>
          <w:pgSz w:w="11907" w:h="16839"/>
          <w:pgMar w:top="1134" w:right="1417" w:bottom="1134" w:left="1417" w:header="709" w:footer="709" w:gutter="0"/>
          <w:cols w:space="720"/>
          <w:docGrid w:linePitch="360"/>
        </w:sectPr>
      </w:pPr>
    </w:p>
    <w:p w:rsidR="009B5602" w:rsidRDefault="00886830">
      <w:pPr>
        <w:tabs>
          <w:tab w:val="left" w:pos="1560"/>
        </w:tabs>
        <w:spacing w:before="120" w:after="120" w:line="240" w:lineRule="auto"/>
        <w:ind w:left="1276"/>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 xml:space="preserve">Mejniki, </w:t>
      </w:r>
      <w:r>
        <w:rPr>
          <w:rFonts w:ascii="Times New Roman" w:hAnsi="Times New Roman"/>
          <w:b/>
          <w:noProof/>
          <w:sz w:val="24"/>
          <w:u w:val="single"/>
        </w:rPr>
        <w:t>cilji, kazalniki in časovni razpored za spremljanje in izvajanje nepovratne finančne podpore</w:t>
      </w:r>
    </w:p>
    <w:p w:rsidR="009B5602" w:rsidRDefault="009B5602">
      <w:pPr>
        <w:tabs>
          <w:tab w:val="left" w:pos="1560"/>
          <w:tab w:val="left" w:pos="14601"/>
        </w:tabs>
        <w:spacing w:before="120" w:after="120" w:line="240" w:lineRule="auto"/>
        <w:ind w:left="1276" w:right="-455"/>
        <w:jc w:val="both"/>
        <w:rPr>
          <w:rFonts w:ascii="Times New Roman" w:hAnsi="Times New Roman"/>
          <w:noProof/>
          <w:sz w:val="24"/>
          <w:highlight w:val="yellow"/>
        </w:rPr>
      </w:pPr>
    </w:p>
    <w:tbl>
      <w:tblPr>
        <w:tblW w:w="15559" w:type="dxa"/>
        <w:tblLayout w:type="fixed"/>
        <w:tblLook w:val="04A0" w:firstRow="1" w:lastRow="0" w:firstColumn="1" w:lastColumn="0" w:noHBand="0" w:noVBand="1"/>
      </w:tblPr>
      <w:tblGrid>
        <w:gridCol w:w="817"/>
        <w:gridCol w:w="1630"/>
        <w:gridCol w:w="1205"/>
        <w:gridCol w:w="1559"/>
        <w:gridCol w:w="1418"/>
        <w:gridCol w:w="814"/>
        <w:gridCol w:w="777"/>
        <w:gridCol w:w="615"/>
        <w:gridCol w:w="821"/>
        <w:gridCol w:w="498"/>
        <w:gridCol w:w="5405"/>
      </w:tblGrid>
      <w:tr w:rsidR="009B5602">
        <w:trPr>
          <w:trHeight w:val="735"/>
        </w:trPr>
        <w:tc>
          <w:tcPr>
            <w:tcW w:w="817"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Zap. št.</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630"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Povezani ukrep (reforma ali naložba)</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205"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Mejnik/cilj</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559"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Ime</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418"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Kvalitativni kazalniki</w:t>
            </w:r>
            <w:r>
              <w:rPr>
                <w:rFonts w:ascii="Times New Roman" w:hAnsi="Times New Roman"/>
                <w:noProof/>
                <w:sz w:val="20"/>
                <w:szCs w:val="20"/>
              </w:rPr>
              <w:t xml:space="preserve">  </w:t>
            </w:r>
            <w:r>
              <w:rPr>
                <w:rFonts w:ascii="Times New Roman" w:hAnsi="Times New Roman"/>
                <w:b/>
                <w:bCs/>
                <w:noProof/>
                <w:sz w:val="20"/>
                <w:szCs w:val="20"/>
              </w:rPr>
              <w:t xml:space="preserve">  (za mejnike)</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2206"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Kvantitativni kazalniki</w:t>
            </w:r>
            <w:r>
              <w:rPr>
                <w:rFonts w:ascii="Times New Roman" w:hAnsi="Times New Roman"/>
                <w:noProof/>
                <w:sz w:val="20"/>
                <w:szCs w:val="20"/>
              </w:rPr>
              <w:t xml:space="preserve">  </w:t>
            </w:r>
            <w:r>
              <w:rPr>
                <w:rFonts w:ascii="Times New Roman" w:hAnsi="Times New Roman"/>
                <w:b/>
                <w:bCs/>
                <w:noProof/>
                <w:sz w:val="20"/>
                <w:szCs w:val="20"/>
              </w:rPr>
              <w:t xml:space="preserve">  (za cilje)</w:t>
            </w:r>
          </w:p>
        </w:tc>
        <w:tc>
          <w:tcPr>
            <w:tcW w:w="1319" w:type="dxa"/>
            <w:gridSpan w:val="2"/>
            <w:tcBorders>
              <w:top w:val="single" w:sz="8" w:space="0" w:color="auto"/>
              <w:left w:val="nil"/>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Okvirni časovni razpored za dokončanje </w:t>
            </w:r>
          </w:p>
        </w:tc>
        <w:tc>
          <w:tcPr>
            <w:tcW w:w="5405" w:type="dxa"/>
            <w:vMerge w:val="restart"/>
            <w:tcBorders>
              <w:top w:val="single" w:sz="8" w:space="0" w:color="auto"/>
              <w:left w:val="nil"/>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Opis in jasna opredelitev vsakega mejnika in cilja</w:t>
            </w:r>
          </w:p>
          <w:p w:rsidR="009B5602" w:rsidRDefault="00886830">
            <w:pPr>
              <w:rPr>
                <w:rFonts w:ascii="Times New Roman" w:hAnsi="Times New Roman"/>
                <w:noProof/>
                <w:sz w:val="20"/>
                <w:szCs w:val="20"/>
              </w:rPr>
            </w:pPr>
            <w:r>
              <w:rPr>
                <w:rFonts w:ascii="Times New Roman" w:hAnsi="Times New Roman"/>
                <w:noProof/>
                <w:sz w:val="20"/>
                <w:szCs w:val="20"/>
              </w:rPr>
              <w:t xml:space="preserve"> </w:t>
            </w:r>
          </w:p>
        </w:tc>
      </w:tr>
      <w:tr w:rsidR="009B5602">
        <w:trPr>
          <w:trHeight w:val="540"/>
        </w:trPr>
        <w:tc>
          <w:tcPr>
            <w:tcW w:w="817"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630"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205"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559"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418"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814" w:type="dxa"/>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Enota merjenja</w:t>
            </w:r>
          </w:p>
        </w:tc>
        <w:tc>
          <w:tcPr>
            <w:tcW w:w="777" w:type="dxa"/>
            <w:tcBorders>
              <w:top w:val="nil"/>
              <w:left w:val="single" w:sz="8" w:space="0" w:color="000000"/>
              <w:bottom w:val="single" w:sz="8" w:space="0" w:color="auto"/>
              <w:right w:val="single" w:sz="8" w:space="0" w:color="auto"/>
            </w:tcBorders>
            <w:shd w:val="clear" w:color="auto" w:fill="BDD7EE"/>
            <w:vAlign w:val="center"/>
          </w:tcPr>
          <w:p w:rsidR="009B5602" w:rsidRDefault="00886830">
            <w:pPr>
              <w:jc w:val="both"/>
              <w:rPr>
                <w:rFonts w:ascii="Times New Roman" w:hAnsi="Times New Roman"/>
                <w:noProof/>
                <w:sz w:val="20"/>
                <w:szCs w:val="20"/>
              </w:rPr>
            </w:pPr>
            <w:r>
              <w:rPr>
                <w:rFonts w:ascii="Times New Roman" w:hAnsi="Times New Roman"/>
                <w:b/>
                <w:bCs/>
                <w:noProof/>
                <w:sz w:val="20"/>
                <w:szCs w:val="20"/>
              </w:rPr>
              <w:t xml:space="preserve"> </w:t>
            </w:r>
          </w:p>
          <w:p w:rsidR="009B5602" w:rsidRDefault="00886830">
            <w:pPr>
              <w:jc w:val="both"/>
              <w:rPr>
                <w:rFonts w:ascii="Times New Roman" w:hAnsi="Times New Roman"/>
                <w:noProof/>
                <w:sz w:val="20"/>
                <w:szCs w:val="20"/>
              </w:rPr>
            </w:pPr>
            <w:r>
              <w:rPr>
                <w:rFonts w:ascii="Times New Roman" w:hAnsi="Times New Roman"/>
                <w:b/>
                <w:bCs/>
                <w:noProof/>
                <w:sz w:val="20"/>
                <w:szCs w:val="20"/>
              </w:rPr>
              <w:t>Izhodiščna raven</w:t>
            </w:r>
          </w:p>
        </w:tc>
        <w:tc>
          <w:tcPr>
            <w:tcW w:w="615" w:type="dxa"/>
            <w:tcBorders>
              <w:top w:val="nil"/>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p w:rsidR="009B5602" w:rsidRDefault="00886830">
            <w:pPr>
              <w:jc w:val="center"/>
              <w:rPr>
                <w:rFonts w:ascii="Times New Roman" w:hAnsi="Times New Roman"/>
                <w:noProof/>
                <w:sz w:val="20"/>
                <w:szCs w:val="20"/>
              </w:rPr>
            </w:pPr>
            <w:r>
              <w:rPr>
                <w:rFonts w:ascii="Times New Roman" w:hAnsi="Times New Roman"/>
                <w:b/>
                <w:bCs/>
                <w:noProof/>
                <w:sz w:val="20"/>
                <w:szCs w:val="20"/>
              </w:rPr>
              <w:t>Ciljna raven</w:t>
            </w:r>
          </w:p>
        </w:tc>
        <w:tc>
          <w:tcPr>
            <w:tcW w:w="821" w:type="dxa"/>
            <w:tcBorders>
              <w:top w:val="single" w:sz="8" w:space="0" w:color="auto"/>
              <w:left w:val="single" w:sz="8" w:space="0" w:color="000000"/>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Četrtletje</w:t>
            </w:r>
          </w:p>
        </w:tc>
        <w:tc>
          <w:tcPr>
            <w:tcW w:w="498" w:type="dxa"/>
            <w:tcBorders>
              <w:top w:val="nil"/>
              <w:left w:val="single" w:sz="8" w:space="0" w:color="000000"/>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Leto</w:t>
            </w:r>
          </w:p>
        </w:tc>
        <w:tc>
          <w:tcPr>
            <w:tcW w:w="5405" w:type="dxa"/>
            <w:vMerge/>
            <w:tcBorders>
              <w:left w:val="single" w:sz="8" w:space="0" w:color="000000"/>
              <w:bottom w:val="single" w:sz="8" w:space="0" w:color="auto"/>
              <w:right w:val="single" w:sz="8" w:space="0" w:color="auto"/>
            </w:tcBorders>
            <w:shd w:val="clear" w:color="auto" w:fill="BDD7EE"/>
            <w:vAlign w:val="center"/>
          </w:tcPr>
          <w:p w:rsidR="009B5602" w:rsidRDefault="009B5602">
            <w:pPr>
              <w:rPr>
                <w:rFonts w:ascii="Times New Roman" w:hAnsi="Times New Roman"/>
                <w:noProof/>
                <w:sz w:val="20"/>
                <w:szCs w:val="20"/>
              </w:rPr>
            </w:pPr>
          </w:p>
        </w:tc>
      </w:tr>
      <w:tr w:rsidR="009B5602">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9 – Učinkovitejše upravljanje in krepitev financiranja na področju raziskav, razvoja in inovacij – Reforma 1: Reforma upravljanja, ocenjevanja in podpore na področju znanosti, raziskav in inovacij</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Reforma </w:t>
            </w:r>
            <w:r>
              <w:rPr>
                <w:rFonts w:ascii="Times New Roman" w:hAnsi="Times New Roman"/>
                <w:noProof/>
                <w:color w:val="006100"/>
                <w:sz w:val="20"/>
                <w:szCs w:val="20"/>
              </w:rPr>
              <w:t>upravljanja in podpora raziskavam, razvoju in inovacijam.</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spremembe zakona 172/2005</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Q1</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Sprememba zakona krepi usklajevalno vlogo nove strukture upravljanja za raziskave, razvoj in inovacije (kot je opredelitev vloge sveta s</w:t>
            </w:r>
            <w:r>
              <w:rPr>
                <w:rFonts w:ascii="Times New Roman" w:hAnsi="Times New Roman"/>
                <w:noProof/>
                <w:color w:val="006100"/>
                <w:sz w:val="20"/>
                <w:szCs w:val="20"/>
              </w:rPr>
              <w:t>lovaške vlade za znanost, tehnologijo in inovacije ter njegovega sekretariata pod vladnim uradom). Zakon ureja različne vrste javne podpore, da se zagotovita usklajevanje in doslednost javnih intervencij. Agencijam omogoča postopno vključevanje postopkov i</w:t>
            </w:r>
            <w:r>
              <w:rPr>
                <w:rFonts w:ascii="Times New Roman" w:hAnsi="Times New Roman"/>
                <w:noProof/>
                <w:color w:val="006100"/>
                <w:sz w:val="20"/>
                <w:szCs w:val="20"/>
              </w:rPr>
              <w:t>n strokovno vrednotenje projektov razvoja podeželja ter poenostavitev in standardizacijo postopkov ocenjevanja projektov razvoja podeželja.</w:t>
            </w:r>
          </w:p>
        </w:tc>
      </w:tr>
      <w:tr w:rsidR="009B5602">
        <w:trPr>
          <w:trHeight w:val="117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9 – Učinkovitejše upravljanje in krepitev financiranja na področju raziskav, razvoja in inovacij – Reforma 1: </w:t>
            </w:r>
            <w:r>
              <w:rPr>
                <w:rFonts w:ascii="Times New Roman" w:hAnsi="Times New Roman"/>
                <w:noProof/>
                <w:color w:val="006100"/>
                <w:sz w:val="20"/>
                <w:szCs w:val="20"/>
              </w:rPr>
              <w:t>Reforma upravljanja, ocenjevanja in podpore na področju znanosti, raziskav in inovacij</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Oblikovanje splošne nacionalne strategije za raziskave, razvoj in inovacije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Sprejetje nacionalne strategije za raziskave, razvoj in inovacije s strani vlade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Q3</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Vlada odobri nacionalno strategijo za raziskave, razvoj in inovacije, ki bo do leta 2030 postala krovni dokument za vse javno financiranje raziskav, razvoja in inovacij. Razmisli o preteklih izkušnjah in ponudi horizontalni okvir za povezovanje o</w:t>
            </w:r>
            <w:r>
              <w:rPr>
                <w:rFonts w:ascii="Times New Roman" w:hAnsi="Times New Roman"/>
                <w:noProof/>
                <w:color w:val="006100"/>
                <w:sz w:val="20"/>
                <w:szCs w:val="20"/>
              </w:rPr>
              <w:t>bstoječih strategij (kot je strategija pametne specializacije). Zagotavlja strateški okvir in smernice za politiko na področju raziskav, razvoja in inovacij ter opredeljuje cilje in ukrepe za njihovo doseganje.</w:t>
            </w:r>
          </w:p>
        </w:tc>
      </w:tr>
      <w:tr w:rsidR="009B5602">
        <w:trPr>
          <w:trHeight w:val="69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3</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9 – Učinkovitejše upravljanje in krepitev </w:t>
            </w:r>
            <w:r>
              <w:rPr>
                <w:rFonts w:ascii="Times New Roman" w:hAnsi="Times New Roman"/>
                <w:noProof/>
                <w:color w:val="006100"/>
                <w:sz w:val="20"/>
                <w:szCs w:val="20"/>
              </w:rPr>
              <w:t>financiranja na področju raziskav, razvoja in inovacij – Reforma 2: Reforma organizacije in financiranja neposlovnih raziskovalnih ustanov, zlasti slovaške akademije znanosti</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Reforma slovaške akademije znanosti (SaS)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spremembe</w:t>
            </w:r>
            <w:r>
              <w:rPr>
                <w:rFonts w:ascii="Times New Roman" w:hAnsi="Times New Roman"/>
                <w:noProof/>
                <w:color w:val="006100"/>
                <w:sz w:val="20"/>
                <w:szCs w:val="20"/>
              </w:rPr>
              <w:t xml:space="preserve"> Zakona št. 133/2002 o SAS in spremembe zakona št. 243/2017 o javni raziskovalni ustanovi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2021</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sprememb zakonov, s katerimi se Slovaška akademija znanosti preoblikuje v javno ustanovo, ki omogoča financiranje iz več virov, tud</w:t>
            </w:r>
            <w:r>
              <w:rPr>
                <w:rFonts w:ascii="Times New Roman" w:hAnsi="Times New Roman"/>
                <w:noProof/>
                <w:color w:val="006100"/>
                <w:sz w:val="20"/>
                <w:szCs w:val="20"/>
              </w:rPr>
              <w:t xml:space="preserve">i iz zasebnega sektorja, hkrati pa zagotavlja popolno zaščito intelektualne lastnine in finančno donosnost. </w:t>
            </w:r>
          </w:p>
        </w:tc>
      </w:tr>
      <w:tr w:rsidR="009B5602">
        <w:trPr>
          <w:trHeight w:val="27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4</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19 – Učinkovitejše upravljanje in krepitev financiranja na področju raziskav, razvoja in inovacij – Naložba 1: Spodbujanje mednarodnega </w:t>
            </w:r>
            <w:r>
              <w:rPr>
                <w:rFonts w:ascii="Times New Roman" w:hAnsi="Times New Roman"/>
                <w:noProof/>
                <w:color w:val="006100"/>
                <w:sz w:val="20"/>
                <w:szCs w:val="20"/>
              </w:rPr>
              <w:t>sodelovanja in udeležbe v projektih programa Obzorje Evropa in EIT</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Objava razpisov za projekte v podporo sodelovanju slovaških akterjev v programu Obzorje Evropa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Objava razpisov za projekte v podporo sodelovanju slovaških akterjev v programu Obzorj</w:t>
            </w:r>
            <w:r>
              <w:rPr>
                <w:rFonts w:ascii="Times New Roman" w:hAnsi="Times New Roman"/>
                <w:noProof/>
                <w:color w:val="006100"/>
                <w:sz w:val="20"/>
                <w:szCs w:val="20"/>
              </w:rPr>
              <w:t xml:space="preserve">e Evropa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3</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Objavijo se vsaj trije razpisi za projekte, da se podpre sodelovanje slovaških akterjev v programih Obzorje Evropa v okviru naslednjih shem: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Program za podporo pripravi prijav za program Obzorje Evropa</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 Program za podporo </w:t>
            </w:r>
            <w:r>
              <w:rPr>
                <w:rFonts w:ascii="Times New Roman" w:hAnsi="Times New Roman"/>
                <w:noProof/>
                <w:color w:val="006100"/>
                <w:sz w:val="20"/>
                <w:szCs w:val="20"/>
              </w:rPr>
              <w:t>projektom, ki so prejeli pečat odličnosti ali visok rezultat</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„usklajevanje nepovratnih sredstev“ za uspešne projekte v okviru programa Obzorje 2020/Obzorje Evropa</w:t>
            </w:r>
          </w:p>
        </w:tc>
      </w:tr>
      <w:tr w:rsidR="009B5602">
        <w:trPr>
          <w:trHeight w:val="66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5</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after="0"/>
              <w:rPr>
                <w:rFonts w:ascii="Times New Roman" w:hAnsi="Times New Roman"/>
                <w:noProof/>
                <w:color w:val="006100"/>
                <w:sz w:val="20"/>
                <w:szCs w:val="20"/>
              </w:rPr>
            </w:pPr>
          </w:p>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9 – Učinkovitejše upravljanje in krepitev financiranja na področju raziskav, razvoja in</w:t>
            </w:r>
            <w:r>
              <w:rPr>
                <w:rFonts w:ascii="Times New Roman" w:hAnsi="Times New Roman"/>
                <w:noProof/>
                <w:color w:val="006100"/>
                <w:sz w:val="20"/>
                <w:szCs w:val="20"/>
              </w:rPr>
              <w:t xml:space="preserve"> inovacij – Naložba 1: Spodbujanje mednarodnega sodelovanja in udeležbe v projektih programa Obzorje Evropa in EIT</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Finančna podpora za vloge in sodelujoče projekte v programih Obzorje Evropa v okviru razpisov, ki jih financira RRF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Zneski (v milijonih EUR)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43</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2026</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Od splošnega cilja je treba plačati 46 300 000 EUR, tj. vsaj 43 000 000 EUR, za projekte, izbrane v okviru razpisov, katerih cilj je povečati udeležbo v programih Obzorje Evropa.</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Pričakuje se, da bo naložba privedla d</w:t>
            </w:r>
            <w:r>
              <w:rPr>
                <w:rFonts w:ascii="Times New Roman" w:hAnsi="Times New Roman"/>
                <w:noProof/>
                <w:color w:val="006100"/>
                <w:sz w:val="20"/>
                <w:szCs w:val="20"/>
              </w:rPr>
              <w:t>o:</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 vsaj 48 prijav in sodelujočih projektov v programih Obzorje Evropa </w:t>
            </w:r>
          </w:p>
          <w:p w:rsidR="009B5602" w:rsidRDefault="00886830">
            <w:pPr>
              <w:spacing w:after="0"/>
              <w:rPr>
                <w:rFonts w:ascii="Times New Roman" w:hAnsi="Times New Roman"/>
                <w:noProof/>
                <w:sz w:val="20"/>
                <w:szCs w:val="20"/>
              </w:rPr>
            </w:pPr>
            <w:r>
              <w:rPr>
                <w:rFonts w:ascii="Times New Roman" w:hAnsi="Times New Roman"/>
                <w:noProof/>
                <w:sz w:val="20"/>
                <w:szCs w:val="20"/>
              </w:rPr>
              <w:t>• Vsaj 1 600 donacij za podporo pripravi vlog za projekte</w:t>
            </w:r>
            <w:r>
              <w:rPr>
                <w:rFonts w:ascii="Times New Roman" w:hAnsi="Times New Roman"/>
                <w:noProof/>
                <w:color w:val="4F6228"/>
                <w:sz w:val="20"/>
                <w:szCs w:val="20"/>
              </w:rPr>
              <w:t xml:space="preserve">  </w:t>
            </w:r>
          </w:p>
        </w:tc>
      </w:tr>
      <w:tr w:rsidR="009B5602">
        <w:trPr>
          <w:trHeight w:val="25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6</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after="0"/>
              <w:rPr>
                <w:rFonts w:ascii="Times New Roman" w:hAnsi="Times New Roman"/>
                <w:noProof/>
                <w:color w:val="006100"/>
                <w:sz w:val="20"/>
                <w:szCs w:val="20"/>
              </w:rPr>
            </w:pP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9 Učinkovitejše upravljanje in krepitev financiranja na področju raziskav, razvoja in inovacij – Naložba 2: Podpora </w:t>
            </w:r>
            <w:r>
              <w:rPr>
                <w:rFonts w:ascii="Times New Roman" w:hAnsi="Times New Roman"/>
                <w:noProof/>
                <w:color w:val="006100"/>
                <w:sz w:val="20"/>
                <w:szCs w:val="20"/>
              </w:rPr>
              <w:t>sodelovanju med podjetji, akademskimi krogi in organizacijami za redke bolezni</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Objava razpisov za projekte v podporo sodelovanju med podjetji, akademiki in organizacijami na področju raziskav in razvoja ter bonom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Objava razpisov za projekte podpira sodelovanje med podjetji, akademiki in organizacijami na področju raziskav in razvoja ter bone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5</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V skladu z načelom, da se ne škoduje bistveno, se objavi vsaj pet razpisov za projekte, da se podpre </w:t>
            </w:r>
            <w:r>
              <w:rPr>
                <w:rFonts w:ascii="Times New Roman" w:hAnsi="Times New Roman"/>
                <w:noProof/>
                <w:color w:val="006100"/>
                <w:sz w:val="20"/>
                <w:szCs w:val="20"/>
              </w:rPr>
              <w:t>sodelovanje med podjetji, akademskimi krogi in organizacijami za redke bolezni ter podprejo sheme bonov:</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„primerjalna“ nepovratna sredstva raziskovalnim ustanovam za pridobivanje sredstev iz zasebnega sektorja v okviru sodelovanja na področju raziskav.</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w:t>
            </w:r>
            <w:r>
              <w:rPr>
                <w:rFonts w:ascii="Times New Roman" w:hAnsi="Times New Roman"/>
                <w:noProof/>
                <w:color w:val="006100"/>
                <w:sz w:val="20"/>
                <w:szCs w:val="20"/>
              </w:rPr>
              <w:t xml:space="preserve"> Praksa doktorskih študentov ter osebje med podjetji in akademskimi raziskovalnimi organizacijami</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ustanavljanje „preoblikovanih in inovativnih“ konzorcijev</w:t>
            </w:r>
          </w:p>
          <w:p w:rsidR="009B5602" w:rsidRDefault="00886830">
            <w:pPr>
              <w:spacing w:after="0"/>
              <w:rPr>
                <w:rFonts w:ascii="Times New Roman" w:hAnsi="Times New Roman"/>
                <w:noProof/>
                <w:color w:val="006100"/>
                <w:sz w:val="20"/>
                <w:szCs w:val="20"/>
              </w:rPr>
            </w:pPr>
            <w:r>
              <w:rPr>
                <w:rFonts w:ascii="Times New Roman" w:hAnsi="Times New Roman"/>
                <w:noProof/>
                <w:color w:val="006100"/>
                <w:sz w:val="20"/>
                <w:szCs w:val="20"/>
              </w:rPr>
              <w:t>• Sheme podpore za bone, ki vključujejo inovacijske bone, digitalne kupone in patentne kupone;</w:t>
            </w:r>
          </w:p>
          <w:p w:rsidR="009B5602" w:rsidRDefault="009B5602">
            <w:pPr>
              <w:spacing w:after="0"/>
              <w:rPr>
                <w:rFonts w:ascii="Times New Roman" w:hAnsi="Times New Roman"/>
                <w:noProof/>
                <w:sz w:val="20"/>
                <w:szCs w:val="20"/>
              </w:rPr>
            </w:pPr>
          </w:p>
        </w:tc>
      </w:tr>
      <w:tr w:rsidR="009B5602">
        <w:trPr>
          <w:trHeight w:val="90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7</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after="0"/>
              <w:rPr>
                <w:rFonts w:ascii="Times New Roman" w:hAnsi="Times New Roman"/>
                <w:noProof/>
                <w:color w:val="006100"/>
                <w:sz w:val="20"/>
                <w:szCs w:val="20"/>
              </w:rPr>
            </w:pPr>
          </w:p>
          <w:p w:rsidR="009B5602" w:rsidRDefault="00886830">
            <w:pPr>
              <w:spacing w:after="0"/>
              <w:rPr>
                <w:rFonts w:ascii="Times New Roman" w:hAnsi="Times New Roman"/>
                <w:noProof/>
                <w:color w:val="006100"/>
                <w:sz w:val="20"/>
                <w:szCs w:val="20"/>
              </w:rPr>
            </w:pPr>
            <w:r>
              <w:rPr>
                <w:rFonts w:ascii="Times New Roman" w:hAnsi="Times New Roman"/>
                <w:noProof/>
                <w:color w:val="006100"/>
                <w:sz w:val="20"/>
                <w:szCs w:val="20"/>
              </w:rPr>
              <w:t>9 Učinkovitejše upravljanje in krepitev financiranja na področju raziskav, razvoja in inovacij – Naložba 2: Podpora sodelovanju med podjetji, akademskimi krogi in organizacijami za redke bolezni</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Število podprtih skupnih projektov in bonov</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r>
              <w:rPr>
                <w:rFonts w:ascii="Times New Roman" w:hAnsi="Times New Roman"/>
                <w:noProof/>
                <w:color w:val="006100"/>
                <w:sz w:val="20"/>
                <w:szCs w:val="20"/>
              </w:rPr>
              <w:t xml:space="preserve"> projektov</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2 660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2024</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Splošni cilj je podpreti 2 950 projektov, podpira pa se vsaj 2 660 projektov sodelovanja med podjetji, akademskimi krogi in organizacijami za redke bolezni ter boni.</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Pričakuje se, da bo naložba privedla do: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Ustanovitev najmanj</w:t>
            </w:r>
            <w:r>
              <w:rPr>
                <w:rFonts w:ascii="Times New Roman" w:hAnsi="Times New Roman"/>
                <w:noProof/>
                <w:color w:val="006100"/>
                <w:sz w:val="20"/>
                <w:szCs w:val="20"/>
              </w:rPr>
              <w:t xml:space="preserve"> 2 „transformativnih in inovativnih“ konzorcijev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 2 000 skupnih projektov, podprtih v okviru ustreznih nepovratnih sredstev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 50 podprtih (začasnih) pripravništev med podjetji in akademskimi raziskovalnimi organizacijami </w:t>
            </w:r>
          </w:p>
          <w:p w:rsidR="009B5602" w:rsidRDefault="00886830">
            <w:pPr>
              <w:spacing w:after="0"/>
              <w:rPr>
                <w:rFonts w:ascii="Times New Roman" w:hAnsi="Times New Roman"/>
                <w:noProof/>
                <w:color w:val="006100"/>
                <w:sz w:val="20"/>
                <w:szCs w:val="20"/>
              </w:rPr>
            </w:pPr>
            <w:r>
              <w:rPr>
                <w:rFonts w:ascii="Times New Roman" w:hAnsi="Times New Roman"/>
                <w:noProof/>
                <w:color w:val="006100"/>
                <w:sz w:val="20"/>
                <w:szCs w:val="20"/>
              </w:rPr>
              <w:t>• Izvedenih je 500 inovativnih</w:t>
            </w:r>
            <w:r>
              <w:rPr>
                <w:rFonts w:ascii="Times New Roman" w:hAnsi="Times New Roman"/>
                <w:noProof/>
                <w:color w:val="006100"/>
                <w:sz w:val="20"/>
                <w:szCs w:val="20"/>
              </w:rPr>
              <w:t xml:space="preserve"> in patentnih bonov ter 400 digitalnih bonov </w:t>
            </w:r>
          </w:p>
          <w:p w:rsidR="009B5602" w:rsidRDefault="009B5602">
            <w:pPr>
              <w:spacing w:after="0"/>
              <w:rPr>
                <w:rFonts w:ascii="Times New Roman" w:hAnsi="Times New Roman"/>
                <w:noProof/>
                <w:sz w:val="20"/>
                <w:szCs w:val="20"/>
              </w:rPr>
            </w:pPr>
          </w:p>
        </w:tc>
      </w:tr>
      <w:tr w:rsidR="009B5602">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8</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after="0"/>
              <w:rPr>
                <w:rFonts w:ascii="Times New Roman" w:hAnsi="Times New Roman"/>
                <w:noProof/>
                <w:color w:val="006100"/>
                <w:sz w:val="20"/>
                <w:szCs w:val="20"/>
              </w:rPr>
            </w:pP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9 Učinkovitejše upravljanje in krepitev financiranja na področju raziskav, razvoja in inovacij – Naložba 2: Podpora sodelovanju med podjetji, akademskimi krogi in organizacijami za redke bolezni</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 podprtih skupnih projektov in bonov</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Število projektov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2 600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5 500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2026</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Od splošnega cilja je podpora 5 900 projektom, pri čemer je podprtih vsaj 5 500 projektov sodelovanja med podjetji, akademskimi krogi in organizacijami za redke bolezni te</w:t>
            </w:r>
            <w:r>
              <w:rPr>
                <w:rFonts w:ascii="Times New Roman" w:hAnsi="Times New Roman"/>
                <w:noProof/>
                <w:color w:val="006100"/>
                <w:sz w:val="20"/>
                <w:szCs w:val="20"/>
              </w:rPr>
              <w:t>r boni:</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Pričakuje se, da bo naložba privedla do: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 delujeta vsaj 2 „transformativna in inovativna“ konzorcija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 4 000 skupnih projektov, podprtih v okviru ustreznih nepovratnih sredstev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100 podprtih pripravništev med podjetji in akademskimi raziskov</w:t>
            </w:r>
            <w:r>
              <w:rPr>
                <w:rFonts w:ascii="Times New Roman" w:hAnsi="Times New Roman"/>
                <w:noProof/>
                <w:color w:val="006100"/>
                <w:sz w:val="20"/>
                <w:szCs w:val="20"/>
              </w:rPr>
              <w:t xml:space="preserve">alnimi organizacijami </w:t>
            </w:r>
          </w:p>
          <w:p w:rsidR="009B5602" w:rsidRDefault="00886830">
            <w:pPr>
              <w:spacing w:after="0"/>
              <w:rPr>
                <w:rFonts w:ascii="Times New Roman" w:hAnsi="Times New Roman"/>
                <w:noProof/>
                <w:color w:val="006100"/>
                <w:sz w:val="20"/>
                <w:szCs w:val="20"/>
              </w:rPr>
            </w:pPr>
            <w:r>
              <w:rPr>
                <w:rFonts w:ascii="Times New Roman" w:hAnsi="Times New Roman"/>
                <w:noProof/>
                <w:color w:val="006100"/>
                <w:sz w:val="20"/>
                <w:szCs w:val="20"/>
              </w:rPr>
              <w:t xml:space="preserve">• Dostavljenih in dokončanih 500 inovativnih, 500 patentnih in 800 digitalnih volivcev  </w:t>
            </w:r>
          </w:p>
          <w:p w:rsidR="009B5602" w:rsidRDefault="009B5602">
            <w:pPr>
              <w:spacing w:after="0"/>
              <w:rPr>
                <w:rFonts w:ascii="Times New Roman" w:hAnsi="Times New Roman"/>
                <w:noProof/>
                <w:sz w:val="20"/>
                <w:szCs w:val="20"/>
              </w:rPr>
            </w:pPr>
          </w:p>
        </w:tc>
      </w:tr>
      <w:tr w:rsidR="009B5602">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9</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after="0"/>
              <w:rPr>
                <w:rFonts w:ascii="Times New Roman" w:hAnsi="Times New Roman"/>
                <w:noProof/>
                <w:color w:val="006100"/>
                <w:sz w:val="20"/>
                <w:szCs w:val="20"/>
              </w:rPr>
            </w:pP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9 Učinkovitejše upravljanje in krepitev financiranja na področju raziskav, razvoja in inovacij – Naložba 3: Odlična znanost</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Objava </w:t>
            </w:r>
            <w:r>
              <w:rPr>
                <w:rFonts w:ascii="Times New Roman" w:hAnsi="Times New Roman"/>
                <w:noProof/>
                <w:color w:val="006100"/>
                <w:sz w:val="20"/>
                <w:szCs w:val="20"/>
              </w:rPr>
              <w:t>razpisov za podporo odličnim raziskovalcem</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Objava razpisov za projekte v podporo odličnim raziskovalcem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6</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Objavi se najmanj šest razpisov za projekte za podporo odličnim raziskovalcem v skladu z načelom, da se ne škoduje bistveno, v okviru na</w:t>
            </w:r>
            <w:r>
              <w:rPr>
                <w:rFonts w:ascii="Times New Roman" w:hAnsi="Times New Roman"/>
                <w:noProof/>
                <w:color w:val="006100"/>
                <w:sz w:val="20"/>
                <w:szCs w:val="20"/>
              </w:rPr>
              <w:t>slednjih shem:</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štipendije za odlične doktorske programe</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Podoktorske štipendije</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Višja raziskovalna štipendija</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Veliki projekti za odlične raziskovalce</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Nepovratna sredstva za raziskave v zgodnji fazi</w:t>
            </w:r>
          </w:p>
          <w:p w:rsidR="009B5602" w:rsidRDefault="00886830">
            <w:pPr>
              <w:spacing w:after="0"/>
              <w:rPr>
                <w:rFonts w:ascii="Times New Roman" w:hAnsi="Times New Roman"/>
                <w:noProof/>
                <w:color w:val="006100"/>
                <w:sz w:val="20"/>
                <w:szCs w:val="20"/>
              </w:rPr>
            </w:pPr>
            <w:r>
              <w:rPr>
                <w:rFonts w:ascii="Times New Roman" w:hAnsi="Times New Roman"/>
                <w:noProof/>
                <w:color w:val="006100"/>
                <w:sz w:val="20"/>
                <w:szCs w:val="20"/>
              </w:rPr>
              <w:t>• Povečanje kapitala za obstoječe programe podp</w:t>
            </w:r>
            <w:r>
              <w:rPr>
                <w:rFonts w:ascii="Times New Roman" w:hAnsi="Times New Roman"/>
                <w:noProof/>
                <w:color w:val="006100"/>
                <w:sz w:val="20"/>
                <w:szCs w:val="20"/>
              </w:rPr>
              <w:t>ore za razvoj podeželja</w:t>
            </w:r>
          </w:p>
          <w:p w:rsidR="009B5602" w:rsidRDefault="009B5602">
            <w:pPr>
              <w:spacing w:after="0"/>
              <w:rPr>
                <w:rFonts w:ascii="Times New Roman" w:hAnsi="Times New Roman"/>
                <w:noProof/>
                <w:sz w:val="20"/>
                <w:szCs w:val="20"/>
              </w:rPr>
            </w:pPr>
          </w:p>
        </w:tc>
      </w:tr>
      <w:tr w:rsidR="009B5602">
        <w:trPr>
          <w:trHeight w:val="3312"/>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10</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after="0"/>
              <w:rPr>
                <w:rFonts w:ascii="Times New Roman" w:hAnsi="Times New Roman"/>
                <w:noProof/>
                <w:color w:val="006100"/>
                <w:sz w:val="20"/>
                <w:szCs w:val="20"/>
              </w:rPr>
            </w:pP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9 Učinkovitejše upravljanje in krepitev financiranja na področju raziskav, razvoja in inovacij – Naložba 3: Odlična znanost</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Število podprtih odličnih raziskovalcev</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 raziskovalcev</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650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Q1</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2024</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Splošni cilj je podpora 715 raziskovalcem, vsaj 650 odličnim raziskovalcem, ki prejemajo podporo v okviru razpisov.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Pričakuje se, da bo naložba privedla do: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 Izbor 15 velikih nepovratnih sredstev za odlične skupine raziskovalcev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Podpora: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 425 </w:t>
            </w:r>
            <w:r>
              <w:rPr>
                <w:rFonts w:ascii="Times New Roman" w:hAnsi="Times New Roman"/>
                <w:noProof/>
                <w:color w:val="006100"/>
                <w:sz w:val="20"/>
                <w:szCs w:val="20"/>
              </w:rPr>
              <w:t>štipendij za raziskovalce na različnih stopnjah poklicne poti (R1–R4)</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200 raziskovalnih štipendij za mlade raziskovalce v „začetni fazi“</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 90 projektov v okviru kapitalskega spodbudnika </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r>
      <w:tr w:rsidR="009B5602">
        <w:trPr>
          <w:trHeight w:val="115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11</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after="0"/>
              <w:rPr>
                <w:rFonts w:ascii="Times New Roman" w:hAnsi="Times New Roman"/>
                <w:noProof/>
                <w:color w:val="006100"/>
                <w:sz w:val="20"/>
                <w:szCs w:val="20"/>
              </w:rPr>
            </w:pP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9 Učinkovitejše upravljanje in krepitev financiranja na </w:t>
            </w:r>
            <w:r>
              <w:rPr>
                <w:rFonts w:ascii="Times New Roman" w:hAnsi="Times New Roman"/>
                <w:noProof/>
                <w:color w:val="006100"/>
                <w:sz w:val="20"/>
                <w:szCs w:val="20"/>
              </w:rPr>
              <w:t>področju raziskav, razvoja in inovacij – Naložba 3: Odlična znanost</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Število podprtih odličnih raziskovalcev </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Število raziskovalcev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650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1 000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Q1</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2026</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Splošni cilj je podpora 1060 raziskovalcem, vsaj 1000 odličnim raziskovalcem, ki prejemajo </w:t>
            </w:r>
            <w:r>
              <w:rPr>
                <w:rFonts w:ascii="Times New Roman" w:hAnsi="Times New Roman"/>
                <w:noProof/>
                <w:color w:val="006100"/>
                <w:sz w:val="20"/>
                <w:szCs w:val="20"/>
              </w:rPr>
              <w:t>podporo v okviru razpisov.</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Pričakuje se, da bo naložba privedla do: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425 štipendij za raziskovalce na različnih stopnjah poklicne poti (R1–R4)</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500 raziskovalnih štipendij za mlade raziskovalce v „začetni fazi“</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120 projektov s kapitalskim zagonom</w:t>
            </w:r>
          </w:p>
          <w:p w:rsidR="009B5602" w:rsidRDefault="00886830">
            <w:pPr>
              <w:spacing w:after="0"/>
              <w:rPr>
                <w:rFonts w:ascii="Times New Roman" w:hAnsi="Times New Roman"/>
                <w:noProof/>
                <w:color w:val="006100"/>
                <w:sz w:val="20"/>
                <w:szCs w:val="20"/>
              </w:rPr>
            </w:pPr>
            <w:r>
              <w:rPr>
                <w:rFonts w:ascii="Times New Roman" w:hAnsi="Times New Roman"/>
                <w:noProof/>
                <w:color w:val="006100"/>
                <w:sz w:val="20"/>
                <w:szCs w:val="20"/>
              </w:rPr>
              <w:t>• Iz</w:t>
            </w:r>
            <w:r>
              <w:rPr>
                <w:rFonts w:ascii="Times New Roman" w:hAnsi="Times New Roman"/>
                <w:noProof/>
                <w:color w:val="006100"/>
                <w:sz w:val="20"/>
                <w:szCs w:val="20"/>
              </w:rPr>
              <w:t xml:space="preserve">vaja se 15 velikih nepovratnih sredstev za odlične raziskovalce  </w:t>
            </w:r>
          </w:p>
          <w:p w:rsidR="009B5602" w:rsidRDefault="009B5602">
            <w:pPr>
              <w:spacing w:after="0"/>
              <w:rPr>
                <w:rFonts w:ascii="Times New Roman" w:hAnsi="Times New Roman"/>
                <w:noProof/>
                <w:sz w:val="20"/>
                <w:szCs w:val="20"/>
              </w:rPr>
            </w:pPr>
          </w:p>
        </w:tc>
      </w:tr>
      <w:tr w:rsidR="009B5602">
        <w:trPr>
          <w:trHeight w:val="91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12</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after="0"/>
              <w:rPr>
                <w:rFonts w:ascii="Times New Roman" w:hAnsi="Times New Roman"/>
                <w:noProof/>
                <w:color w:val="006100"/>
                <w:sz w:val="20"/>
                <w:szCs w:val="20"/>
              </w:rPr>
            </w:pPr>
          </w:p>
          <w:p w:rsidR="009B5602" w:rsidRDefault="00886830">
            <w:pPr>
              <w:spacing w:after="0"/>
              <w:rPr>
                <w:rFonts w:ascii="Times New Roman" w:hAnsi="Times New Roman"/>
                <w:noProof/>
                <w:color w:val="006100"/>
                <w:sz w:val="20"/>
                <w:szCs w:val="20"/>
              </w:rPr>
            </w:pPr>
            <w:r>
              <w:rPr>
                <w:rFonts w:ascii="Times New Roman" w:hAnsi="Times New Roman"/>
                <w:noProof/>
                <w:color w:val="006100"/>
                <w:sz w:val="20"/>
                <w:szCs w:val="20"/>
              </w:rPr>
              <w:t>9 Učinkovitejše upravljanje in krepitev financiranja na področju raziskav, razvoja in inovacij – Naložba 4: Raziskave in inovacije za razogljičenje gospodarstva</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Objava razpisov </w:t>
            </w:r>
            <w:r>
              <w:rPr>
                <w:rFonts w:ascii="Times New Roman" w:hAnsi="Times New Roman"/>
                <w:noProof/>
                <w:color w:val="006100"/>
                <w:sz w:val="20"/>
                <w:szCs w:val="20"/>
              </w:rPr>
              <w:t>za tematske projekte, ki temeljijo na povpraševanju in obravnavajo izzive zelenega prehoda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Objava razpisov za tematske projekte, ki temeljijo na povpraševanju in obravnavajo izzive zelenega prehoda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2</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 V skladu z načelom, da se ne škoduje bist</w:t>
            </w:r>
            <w:r>
              <w:rPr>
                <w:rFonts w:ascii="Times New Roman" w:hAnsi="Times New Roman"/>
                <w:noProof/>
                <w:color w:val="006100"/>
                <w:sz w:val="20"/>
                <w:szCs w:val="20"/>
              </w:rPr>
              <w:t xml:space="preserve">veno, se objavita vsaj dva razpisa za tematske projekte, ki temeljijo na povpraševanju in obravnavajo izzive zelenega prehoda, razogljičenja ter odpornosti in prilagajanja podnebnim spremembam.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Podpora je namenjena temam, ki so predvidene v tematskih pred</w:t>
            </w:r>
            <w:r>
              <w:rPr>
                <w:rFonts w:ascii="Times New Roman" w:hAnsi="Times New Roman"/>
                <w:noProof/>
                <w:color w:val="006100"/>
                <w:sz w:val="20"/>
                <w:szCs w:val="20"/>
              </w:rPr>
              <w:t>nostnih nalogah programa Obzorje Evropa, kot so:</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Brezogljična energija</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elektrifikacija</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Vodik, tehnologije baterij in alternativna goriva</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Industrijski postopki in materiali z nizkimi emisijami</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Biogospodarstvo, trajnostno kmetijstvo in gozdarstvo.</w:t>
            </w:r>
          </w:p>
          <w:p w:rsidR="009B5602" w:rsidRDefault="00886830">
            <w:pPr>
              <w:spacing w:after="0"/>
              <w:rPr>
                <w:rFonts w:ascii="Times New Roman" w:hAnsi="Times New Roman"/>
                <w:noProof/>
                <w:color w:val="006100"/>
                <w:sz w:val="20"/>
                <w:szCs w:val="20"/>
              </w:rPr>
            </w:pPr>
            <w:r>
              <w:rPr>
                <w:rFonts w:ascii="Times New Roman" w:hAnsi="Times New Roman"/>
                <w:noProof/>
                <w:color w:val="006100"/>
                <w:sz w:val="20"/>
                <w:szCs w:val="20"/>
              </w:rPr>
              <w:t>Razpisi za projekte zajemajo celoten raziskovalni in inovacijski cikel (stopnje tehnološke pripravljenosti1–9).</w:t>
            </w:r>
          </w:p>
          <w:p w:rsidR="009B5602" w:rsidRDefault="009B5602">
            <w:pPr>
              <w:spacing w:after="0"/>
              <w:rPr>
                <w:rFonts w:ascii="Times New Roman" w:hAnsi="Times New Roman"/>
                <w:noProof/>
                <w:sz w:val="20"/>
                <w:szCs w:val="20"/>
              </w:rPr>
            </w:pPr>
          </w:p>
        </w:tc>
      </w:tr>
      <w:tr w:rsidR="009B5602">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13</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after="0"/>
              <w:rPr>
                <w:rFonts w:ascii="Times New Roman" w:hAnsi="Times New Roman"/>
                <w:noProof/>
                <w:color w:val="006100"/>
                <w:sz w:val="20"/>
                <w:szCs w:val="20"/>
              </w:rPr>
            </w:pP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9 Učinkovitejše upravljanje in krepitev financiranja na področju raziskav, razvoja in inovacij – Naložba 4: Raziskave in inovacije za </w:t>
            </w:r>
            <w:r>
              <w:rPr>
                <w:rFonts w:ascii="Times New Roman" w:hAnsi="Times New Roman"/>
                <w:noProof/>
                <w:color w:val="006100"/>
                <w:sz w:val="20"/>
                <w:szCs w:val="20"/>
              </w:rPr>
              <w:t>razogljičenje gospodarstva</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Število izbranih projektov, ki obravnavajo izzive zelenega prehoda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 projektov</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27</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2024</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Od splošnega cilja je izbira 30 projektov, vsaj 27 projektov, izbranih v okviru razpisov, ki obravnavajo izzive zelenega </w:t>
            </w:r>
            <w:r>
              <w:rPr>
                <w:rFonts w:ascii="Times New Roman" w:hAnsi="Times New Roman"/>
                <w:noProof/>
                <w:color w:val="006100"/>
                <w:sz w:val="20"/>
                <w:szCs w:val="20"/>
              </w:rPr>
              <w:t>prehoda in razogljičenja.</w:t>
            </w:r>
          </w:p>
          <w:p w:rsidR="009B5602" w:rsidRDefault="00886830">
            <w:pPr>
              <w:rPr>
                <w:rFonts w:ascii="Times New Roman" w:hAnsi="Times New Roman"/>
                <w:noProof/>
                <w:sz w:val="20"/>
                <w:szCs w:val="20"/>
              </w:rPr>
            </w:pPr>
            <w:r>
              <w:rPr>
                <w:rFonts w:ascii="Times New Roman" w:hAnsi="Times New Roman"/>
                <w:noProof/>
                <w:color w:val="006100"/>
                <w:sz w:val="20"/>
                <w:szCs w:val="20"/>
              </w:rPr>
              <w:t>Projekti se odobrijo v različnih fazah tehnološke pripravljenosti (TRL –1–9).</w:t>
            </w:r>
          </w:p>
        </w:tc>
      </w:tr>
      <w:tr w:rsidR="009B5602">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14</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after="0"/>
              <w:rPr>
                <w:rFonts w:ascii="Times New Roman" w:hAnsi="Times New Roman"/>
                <w:noProof/>
                <w:color w:val="006100"/>
                <w:sz w:val="20"/>
                <w:szCs w:val="20"/>
              </w:rPr>
            </w:pPr>
          </w:p>
          <w:p w:rsidR="009B5602" w:rsidRDefault="00886830">
            <w:pPr>
              <w:spacing w:after="0"/>
              <w:rPr>
                <w:rFonts w:ascii="Times New Roman" w:hAnsi="Times New Roman"/>
                <w:noProof/>
                <w:color w:val="006100"/>
                <w:sz w:val="20"/>
                <w:szCs w:val="20"/>
              </w:rPr>
            </w:pPr>
            <w:r>
              <w:rPr>
                <w:rFonts w:ascii="Times New Roman" w:hAnsi="Times New Roman"/>
                <w:noProof/>
                <w:color w:val="006100"/>
                <w:sz w:val="20"/>
                <w:szCs w:val="20"/>
              </w:rPr>
              <w:t>9 Učinkovitejše upravljanje in krepitev financiranja na področju raziskav, razvoja in inovacij – Naložba 4: Raziskave in inovacije za razogljičenje</w:t>
            </w:r>
            <w:r>
              <w:rPr>
                <w:rFonts w:ascii="Times New Roman" w:hAnsi="Times New Roman"/>
                <w:noProof/>
                <w:color w:val="006100"/>
                <w:sz w:val="20"/>
                <w:szCs w:val="20"/>
              </w:rPr>
              <w:t xml:space="preserve"> gospodarstva</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 zaključenih projektov, ki obravnavajo izzive zelenega prehoda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 projektov</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27</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2026</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Od skupnega cilja je dokončanje 30 projektov, od katerih je vsaj 27 projektov, izbranih v okviru razpisov, zaključenih.</w:t>
            </w:r>
          </w:p>
        </w:tc>
      </w:tr>
      <w:tr w:rsidR="009B5602">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15</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after="0"/>
              <w:rPr>
                <w:rFonts w:ascii="Times New Roman" w:hAnsi="Times New Roman"/>
                <w:noProof/>
                <w:color w:val="006100"/>
                <w:sz w:val="20"/>
                <w:szCs w:val="20"/>
              </w:rPr>
            </w:pP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9 </w:t>
            </w:r>
            <w:r>
              <w:rPr>
                <w:rFonts w:ascii="Times New Roman" w:hAnsi="Times New Roman"/>
                <w:noProof/>
                <w:color w:val="006100"/>
                <w:sz w:val="20"/>
                <w:szCs w:val="20"/>
              </w:rPr>
              <w:t>Učinkovitejše upravljanje in krepitev financiranja na področju raziskav, razvoja in inovacij – Naložba 5: Raziskave in inovacije za digitalizacijo gospodarstva</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Objava razpisov za tematske projekte, ki temeljijo na povpraševanju in obravnavajo izzive</w:t>
            </w:r>
            <w:r>
              <w:rPr>
                <w:rFonts w:ascii="Times New Roman" w:hAnsi="Times New Roman"/>
                <w:noProof/>
                <w:color w:val="006100"/>
                <w:sz w:val="20"/>
                <w:szCs w:val="20"/>
              </w:rPr>
              <w:t xml:space="preserve"> digitalnega prehoda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Objava razpisov za tematske projekte, ki temeljijo na povpraševanju in obravnavajo izzive digitalnega prehoda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2</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Vsaj dva razpisa za tematske projekte, ki temeljijo na povpraševanju, se objavita v skladu z načelom, da se </w:t>
            </w:r>
            <w:r>
              <w:rPr>
                <w:rFonts w:ascii="Times New Roman" w:hAnsi="Times New Roman"/>
                <w:noProof/>
                <w:color w:val="006100"/>
                <w:sz w:val="20"/>
                <w:szCs w:val="20"/>
              </w:rPr>
              <w:t>ne škoduje bistveno, ki obravnava izzive digitalne preobrazbe in pomaga uresničevati ambicije Evropske komisije za digitalno avtonomijo.</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Podpora je namenjena temam v skladu s tematskimi prednostnimi nalogami programa Obzorje Evropa, kot so: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Ključne digi</w:t>
            </w:r>
            <w:r>
              <w:rPr>
                <w:rFonts w:ascii="Times New Roman" w:hAnsi="Times New Roman"/>
                <w:noProof/>
                <w:color w:val="006100"/>
                <w:sz w:val="20"/>
                <w:szCs w:val="20"/>
              </w:rPr>
              <w:t>talne tehnologije (kot je kibernetska varnost; kvantne tehnologije za kibernetsko varnost, senzorje in internet stvari; mikroelektronika in elektronske komponente ter rešitve v oblaku)</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 Umetna inteligenca in robotika </w:t>
            </w:r>
          </w:p>
          <w:p w:rsidR="009B5602" w:rsidRDefault="00886830">
            <w:pPr>
              <w:spacing w:after="0"/>
              <w:rPr>
                <w:rFonts w:ascii="Times New Roman" w:hAnsi="Times New Roman"/>
                <w:noProof/>
                <w:color w:val="006100"/>
                <w:sz w:val="20"/>
                <w:szCs w:val="20"/>
              </w:rPr>
            </w:pPr>
            <w:r>
              <w:rPr>
                <w:rFonts w:ascii="Times New Roman" w:hAnsi="Times New Roman"/>
                <w:noProof/>
                <w:color w:val="006100"/>
                <w:sz w:val="20"/>
                <w:szCs w:val="20"/>
              </w:rPr>
              <w:t xml:space="preserve">Razpisi za projekte zajemajo celoten </w:t>
            </w:r>
            <w:r>
              <w:rPr>
                <w:rFonts w:ascii="Times New Roman" w:hAnsi="Times New Roman"/>
                <w:noProof/>
                <w:color w:val="006100"/>
                <w:sz w:val="20"/>
                <w:szCs w:val="20"/>
              </w:rPr>
              <w:t xml:space="preserve">raziskovalni in inovacijski cikel (stopnja tehnološke pripravljenosti 1–9). </w:t>
            </w:r>
          </w:p>
          <w:p w:rsidR="009B5602" w:rsidRDefault="009B5602">
            <w:pPr>
              <w:spacing w:after="0"/>
              <w:rPr>
                <w:rFonts w:ascii="Times New Roman" w:hAnsi="Times New Roman"/>
                <w:noProof/>
                <w:sz w:val="20"/>
                <w:szCs w:val="20"/>
              </w:rPr>
            </w:pPr>
          </w:p>
        </w:tc>
      </w:tr>
      <w:tr w:rsidR="009B5602">
        <w:trPr>
          <w:trHeight w:val="150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16</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after="0"/>
              <w:rPr>
                <w:rFonts w:ascii="Times New Roman" w:hAnsi="Times New Roman"/>
                <w:noProof/>
                <w:color w:val="006100"/>
                <w:sz w:val="20"/>
                <w:szCs w:val="20"/>
              </w:rPr>
            </w:pPr>
          </w:p>
          <w:p w:rsidR="009B5602" w:rsidRDefault="00886830">
            <w:pPr>
              <w:spacing w:after="0"/>
              <w:rPr>
                <w:rFonts w:ascii="Times New Roman" w:hAnsi="Times New Roman"/>
                <w:noProof/>
                <w:color w:val="006100"/>
                <w:sz w:val="20"/>
                <w:szCs w:val="20"/>
              </w:rPr>
            </w:pPr>
            <w:r>
              <w:rPr>
                <w:rFonts w:ascii="Times New Roman" w:hAnsi="Times New Roman"/>
                <w:noProof/>
                <w:color w:val="006100"/>
                <w:sz w:val="20"/>
                <w:szCs w:val="20"/>
              </w:rPr>
              <w:t>9 Učinkovitejše upravljanje in krepitev financiranja na področju raziskav, razvoja in inovacij – Naložba 5: Raziskave in inovacije za digitalizacijo gospodarstva</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 projektov na področju raziskav, razvoja in inovacij, izbranih v okviru razpisov za obravnavo izzivov digitalne preobrazbe.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 projektov</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140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2024</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Med splošnim ciljem je izbrati 155 projektov, od katerih je vsaj 140 izbranih v okviru razp</w:t>
            </w:r>
            <w:r>
              <w:rPr>
                <w:rFonts w:ascii="Times New Roman" w:hAnsi="Times New Roman"/>
                <w:noProof/>
                <w:color w:val="006100"/>
                <w:sz w:val="20"/>
                <w:szCs w:val="20"/>
              </w:rPr>
              <w:t>isov za tematske projekte, ki temeljijo na povpraševanju in obravnavajo izzive digitalne preobrazbe na različnih ravneh tehnološke pripravljenosti (TRL –1–9).</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r>
      <w:tr w:rsidR="009B5602">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17</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after="0"/>
              <w:rPr>
                <w:rFonts w:ascii="Times New Roman" w:hAnsi="Times New Roman"/>
                <w:noProof/>
                <w:color w:val="006100"/>
                <w:sz w:val="20"/>
                <w:szCs w:val="20"/>
              </w:rPr>
            </w:pP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9 Učinkovitejše upravljanje in krepitev financiranja na področju raziskav, razvoja in </w:t>
            </w:r>
            <w:r>
              <w:rPr>
                <w:rFonts w:ascii="Times New Roman" w:hAnsi="Times New Roman"/>
                <w:noProof/>
                <w:color w:val="006100"/>
                <w:sz w:val="20"/>
                <w:szCs w:val="20"/>
              </w:rPr>
              <w:t>inovacij – Naložba 5: Raziskave in inovacije za digitalizacijo gospodarstva</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 zaključenih projektov na področju raziskav, razvoja in inovacij, ki obravnavajo izzive digitalne preobrazbe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 projektov</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140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2026</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Od splošnega cilja je 155</w:t>
            </w:r>
            <w:r>
              <w:rPr>
                <w:rFonts w:ascii="Times New Roman" w:hAnsi="Times New Roman"/>
                <w:noProof/>
                <w:color w:val="006100"/>
                <w:sz w:val="20"/>
                <w:szCs w:val="20"/>
              </w:rPr>
              <w:t xml:space="preserve"> projektov zaključenih vsaj 140 projektov, izbranih v okviru razpisov.</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r>
      <w:tr w:rsidR="009B5602">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18</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after="0"/>
              <w:rPr>
                <w:rFonts w:ascii="Times New Roman" w:hAnsi="Times New Roman"/>
                <w:noProof/>
                <w:color w:val="006100"/>
                <w:sz w:val="20"/>
                <w:szCs w:val="20"/>
              </w:rPr>
            </w:pPr>
          </w:p>
          <w:p w:rsidR="009B5602" w:rsidRDefault="00886830">
            <w:pPr>
              <w:spacing w:after="0"/>
              <w:rPr>
                <w:rFonts w:ascii="Times New Roman" w:hAnsi="Times New Roman"/>
                <w:noProof/>
                <w:color w:val="006100"/>
                <w:sz w:val="20"/>
                <w:szCs w:val="20"/>
              </w:rPr>
            </w:pPr>
            <w:r>
              <w:rPr>
                <w:rFonts w:ascii="Times New Roman" w:hAnsi="Times New Roman"/>
                <w:noProof/>
                <w:color w:val="006100"/>
                <w:sz w:val="20"/>
                <w:szCs w:val="20"/>
              </w:rPr>
              <w:t>9 Učinkovitejše upravljanje in krepitev financiranja na področju raziskav, razvoja in inovacij – Naložba 6: Finančni instrumenti za podporo inovacijam</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Uvedba in izvajanje </w:t>
            </w:r>
            <w:r>
              <w:rPr>
                <w:rFonts w:ascii="Times New Roman" w:hAnsi="Times New Roman"/>
                <w:noProof/>
                <w:color w:val="006100"/>
                <w:sz w:val="20"/>
                <w:szCs w:val="20"/>
              </w:rPr>
              <w:t>finančnih instrumentov za podporo inovacijam</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Začetek naložbene faze finančnih instrumentov za podporo inovacijam v skladu z naložbeno strategijo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2</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after="0"/>
              <w:rPr>
                <w:rFonts w:ascii="Times New Roman" w:hAnsi="Times New Roman"/>
                <w:noProof/>
                <w:color w:val="006100"/>
                <w:sz w:val="20"/>
                <w:szCs w:val="20"/>
              </w:rPr>
            </w:pPr>
            <w:r>
              <w:rPr>
                <w:rFonts w:ascii="Times New Roman" w:hAnsi="Times New Roman"/>
                <w:noProof/>
                <w:color w:val="006100"/>
                <w:sz w:val="20"/>
                <w:szCs w:val="20"/>
              </w:rPr>
              <w:t xml:space="preserve">V naložbeni fazi se uvedeta vsaj dva finančna instrumenta v skladu z naložbeno strategijo/pogodbenim sporazumom, ki sta v skladu s tehničnimi smernicami za uporabo načela, da se ne škoduje bistveno (2021/C58/01), ki zahtevajo preverjanje trajnosti, merila </w:t>
            </w:r>
            <w:r>
              <w:rPr>
                <w:rFonts w:ascii="Times New Roman" w:hAnsi="Times New Roman"/>
                <w:noProof/>
                <w:color w:val="006100"/>
                <w:sz w:val="20"/>
                <w:szCs w:val="20"/>
              </w:rPr>
              <w:t xml:space="preserve">za izključitev naložb ter skladnost z ustrezno okoljsko zakonodajo EU in nacionalno okoljsko zakonodajo.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Vidiki načela, da se ne škoduje bistveno, se ustrezno odražajo v pogodbenem sporazumu med slovaškimi organi in izvajalskimi partnerji/finančnimi posre</w:t>
            </w:r>
            <w:r>
              <w:rPr>
                <w:rFonts w:ascii="Times New Roman" w:hAnsi="Times New Roman"/>
                <w:noProof/>
                <w:color w:val="006100"/>
                <w:sz w:val="20"/>
                <w:szCs w:val="20"/>
              </w:rPr>
              <w:t>dniki.</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Finančni instrumenti podpirajo inovacije v podjetjih in vključujejo naslednje sheme: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•Vložek kapitala v zgodnji fazi poslovnega cikla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Vložek kapitala v podjetja v fazi rasti</w:t>
            </w:r>
          </w:p>
          <w:p w:rsidR="009B5602" w:rsidRDefault="00886830">
            <w:pPr>
              <w:spacing w:after="0"/>
              <w:rPr>
                <w:rFonts w:ascii="Times New Roman" w:hAnsi="Times New Roman"/>
                <w:noProof/>
                <w:color w:val="006100"/>
                <w:sz w:val="20"/>
                <w:szCs w:val="20"/>
              </w:rPr>
            </w:pPr>
            <w:r>
              <w:rPr>
                <w:rFonts w:ascii="Times New Roman" w:hAnsi="Times New Roman"/>
                <w:noProof/>
                <w:color w:val="006100"/>
                <w:sz w:val="20"/>
                <w:szCs w:val="20"/>
              </w:rPr>
              <w:t>• mikroposojila za „zelena“ in „digitalna“ posojila</w:t>
            </w:r>
          </w:p>
          <w:p w:rsidR="009B5602" w:rsidRDefault="009B5602">
            <w:pPr>
              <w:spacing w:after="0"/>
              <w:rPr>
                <w:rFonts w:ascii="Times New Roman" w:hAnsi="Times New Roman"/>
                <w:noProof/>
                <w:sz w:val="20"/>
                <w:szCs w:val="20"/>
              </w:rPr>
            </w:pPr>
          </w:p>
        </w:tc>
      </w:tr>
      <w:tr w:rsidR="009B5602">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19</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after="0"/>
              <w:rPr>
                <w:rFonts w:ascii="Times New Roman" w:hAnsi="Times New Roman"/>
                <w:noProof/>
                <w:color w:val="006100"/>
                <w:sz w:val="20"/>
                <w:szCs w:val="20"/>
              </w:rPr>
            </w:pP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9 </w:t>
            </w:r>
            <w:r>
              <w:rPr>
                <w:rFonts w:ascii="Times New Roman" w:hAnsi="Times New Roman"/>
                <w:noProof/>
                <w:color w:val="006100"/>
                <w:sz w:val="20"/>
                <w:szCs w:val="20"/>
              </w:rPr>
              <w:t>Učinkovitejše upravljanje in krepitev financiranja na področju raziskav, razvoja in inovacij – Naložba 6: Finančni instrumenti za podporo inovacijam</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Število podjetij, podprtih s finančnimi instrumenti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 podjetij</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150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2026</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Od splošnega </w:t>
            </w:r>
            <w:r>
              <w:rPr>
                <w:rFonts w:ascii="Times New Roman" w:hAnsi="Times New Roman"/>
                <w:noProof/>
                <w:color w:val="006100"/>
                <w:sz w:val="20"/>
                <w:szCs w:val="20"/>
              </w:rPr>
              <w:t>cilja je podpora 165 podjetjem, vsaj 150 podjetjem, podprta s finančnimi instrumenti v obliki vložkov kapitala in mikroposojil.</w:t>
            </w:r>
          </w:p>
          <w:p w:rsidR="009B5602" w:rsidRDefault="00886830">
            <w:pPr>
              <w:spacing w:after="0"/>
              <w:rPr>
                <w:rFonts w:ascii="Times New Roman" w:hAnsi="Times New Roman"/>
                <w:noProof/>
                <w:color w:val="006100"/>
                <w:sz w:val="20"/>
                <w:szCs w:val="20"/>
              </w:rPr>
            </w:pPr>
            <w:r>
              <w:rPr>
                <w:rFonts w:ascii="Times New Roman" w:hAnsi="Times New Roman"/>
                <w:noProof/>
                <w:color w:val="006100"/>
                <w:sz w:val="20"/>
                <w:szCs w:val="20"/>
              </w:rPr>
              <w:t>Ocenjuje se, da ima 40 podjetij koristi od kapitalske injekcije, 125 podjetij pa od „zelenih“ ali „digitalnih“ posojil.</w:t>
            </w:r>
          </w:p>
        </w:tc>
      </w:tr>
      <w:tr w:rsidR="009B5602">
        <w:trPr>
          <w:trHeight w:val="3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spacing w:after="0"/>
              <w:rPr>
                <w:rFonts w:ascii="Times New Roman" w:hAnsi="Times New Roman"/>
                <w:noProof/>
                <w:color w:val="006100"/>
                <w:sz w:val="20"/>
                <w:szCs w:val="20"/>
              </w:rPr>
            </w:pP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9 </w:t>
            </w:r>
            <w:r>
              <w:rPr>
                <w:rFonts w:ascii="Times New Roman" w:hAnsi="Times New Roman"/>
                <w:noProof/>
                <w:color w:val="006100"/>
                <w:sz w:val="20"/>
                <w:szCs w:val="20"/>
              </w:rPr>
              <w:t>Učinkovitejše upravljanje in krepitev financiranja na področju raziskav, razvoja in inovacij – Naložba 7: Podpira enotni sistem nepovratnih sredstev za razvoj podeželja</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Zasnova novega informacijskega sistema za redke bolezni za vrednotenje shem nepovratnih sredstev</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Prvi razpisi za nepovratna sredstva, izvedeni v novem informacijskem sistemu za ocenjevanje nepovratnih sredstev za razvoj podeželja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1</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Q1</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2023</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Nov infor</w:t>
            </w:r>
            <w:r>
              <w:rPr>
                <w:rFonts w:ascii="Times New Roman" w:hAnsi="Times New Roman"/>
                <w:noProof/>
                <w:color w:val="006100"/>
                <w:sz w:val="20"/>
                <w:szCs w:val="20"/>
              </w:rPr>
              <w:t xml:space="preserve">macijski sistem za vrednotenje nepovratnih sredstev za razvoj podeželja deluje in se preskusi s prvimi razpisi.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Sistem IT naj bi imel naslednje posebne značilnosti:</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modul, ki povezuje register visokošolskega osebja z osebjem na področju raziskav, razvo</w:t>
            </w:r>
            <w:r>
              <w:rPr>
                <w:rFonts w:ascii="Times New Roman" w:hAnsi="Times New Roman"/>
                <w:noProof/>
                <w:color w:val="006100"/>
                <w:sz w:val="20"/>
                <w:szCs w:val="20"/>
              </w:rPr>
              <w:t>ja in inovacij ter drugih sektorjev,</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xml:space="preserve">• modul za registracijo organizacij redkih bolezni, </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modularnost sistema za prožno uporabo različnih sistemov ocenjevanja,</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modul, ki povezuje register izložkov objav za ocenjevanje projektov in poročanje o rezultati</w:t>
            </w:r>
            <w:r>
              <w:rPr>
                <w:rFonts w:ascii="Times New Roman" w:hAnsi="Times New Roman"/>
                <w:noProof/>
                <w:color w:val="006100"/>
                <w:sz w:val="20"/>
                <w:szCs w:val="20"/>
              </w:rPr>
              <w:t>h projektov,</w:t>
            </w:r>
          </w:p>
          <w:p w:rsidR="009B5602" w:rsidRDefault="00886830">
            <w:pPr>
              <w:spacing w:after="0"/>
              <w:rPr>
                <w:rFonts w:ascii="Times New Roman" w:hAnsi="Times New Roman"/>
                <w:noProof/>
                <w:sz w:val="20"/>
                <w:szCs w:val="20"/>
              </w:rPr>
            </w:pPr>
            <w:r>
              <w:rPr>
                <w:rFonts w:ascii="Times New Roman" w:hAnsi="Times New Roman"/>
                <w:noProof/>
                <w:color w:val="006100"/>
                <w:sz w:val="20"/>
                <w:szCs w:val="20"/>
              </w:rPr>
              <w:t>• interakcije z informacijskim sistemom kohezijske politike in</w:t>
            </w:r>
          </w:p>
          <w:p w:rsidR="009B5602" w:rsidRDefault="00886830">
            <w:pPr>
              <w:spacing w:after="0"/>
              <w:rPr>
                <w:rFonts w:ascii="Times New Roman" w:hAnsi="Times New Roman"/>
                <w:noProof/>
                <w:color w:val="006100"/>
                <w:sz w:val="20"/>
                <w:szCs w:val="20"/>
              </w:rPr>
            </w:pPr>
            <w:r>
              <w:rPr>
                <w:rFonts w:ascii="Times New Roman" w:hAnsi="Times New Roman"/>
                <w:noProof/>
                <w:color w:val="006100"/>
                <w:sz w:val="20"/>
                <w:szCs w:val="20"/>
              </w:rPr>
              <w:t>• modularnost, ki omogoča spremenljive nastavitve klicev</w:t>
            </w:r>
          </w:p>
          <w:p w:rsidR="009B5602" w:rsidRDefault="009B5602">
            <w:pPr>
              <w:spacing w:after="0"/>
              <w:rPr>
                <w:rFonts w:ascii="Times New Roman" w:hAnsi="Times New Roman"/>
                <w:noProof/>
                <w:color w:val="006100"/>
                <w:sz w:val="20"/>
                <w:szCs w:val="20"/>
              </w:rPr>
            </w:pPr>
          </w:p>
        </w:tc>
      </w:tr>
    </w:tbl>
    <w:p w:rsidR="009B5602" w:rsidRDefault="009B5602">
      <w:pPr>
        <w:tabs>
          <w:tab w:val="left" w:pos="1560"/>
        </w:tabs>
        <w:spacing w:before="120" w:after="120" w:line="240" w:lineRule="auto"/>
        <w:ind w:left="1276"/>
        <w:jc w:val="both"/>
        <w:rPr>
          <w:rFonts w:ascii="Times New Roman" w:hAnsi="Times New Roman"/>
          <w:i/>
          <w:iCs/>
          <w:noProof/>
          <w:highlight w:val="yellow"/>
        </w:rPr>
      </w:pPr>
    </w:p>
    <w:p w:rsidR="009B5602" w:rsidRDefault="009B5602">
      <w:pPr>
        <w:spacing w:before="120" w:after="120" w:line="240" w:lineRule="auto"/>
        <w:ind w:left="850"/>
        <w:jc w:val="both"/>
        <w:rPr>
          <w:rFonts w:ascii="Times New Roman" w:hAnsi="Times New Roman"/>
          <w:i/>
          <w:iCs/>
          <w:noProof/>
          <w:color w:val="4F81BD"/>
          <w:sz w:val="24"/>
        </w:rPr>
        <w:sectPr w:rsidR="009B5602">
          <w:headerReference w:type="even" r:id="rId120"/>
          <w:headerReference w:type="default" r:id="rId121"/>
          <w:footerReference w:type="even" r:id="rId122"/>
          <w:footerReference w:type="default" r:id="rId123"/>
          <w:headerReference w:type="first" r:id="rId124"/>
          <w:footerReference w:type="first" r:id="rId125"/>
          <w:pgSz w:w="16839" w:h="11907" w:orient="landscape"/>
          <w:pgMar w:top="1417" w:right="1134" w:bottom="1417" w:left="709" w:header="709" w:footer="709" w:gutter="0"/>
          <w:cols w:space="720"/>
          <w:docGrid w:linePitch="360"/>
        </w:sectPr>
      </w:pPr>
    </w:p>
    <w:p w:rsidR="009B5602" w:rsidRDefault="00886830">
      <w:pPr>
        <w:keepNext/>
        <w:tabs>
          <w:tab w:val="left" w:pos="850"/>
        </w:tabs>
        <w:spacing w:before="360" w:after="120" w:line="240" w:lineRule="auto"/>
        <w:ind w:left="1700" w:hanging="850"/>
        <w:jc w:val="both"/>
        <w:outlineLvl w:val="0"/>
        <w:rPr>
          <w:rFonts w:ascii="Times New Roman" w:hAnsi="Times New Roman"/>
          <w:b/>
          <w:smallCaps/>
          <w:noProof/>
          <w:sz w:val="24"/>
        </w:rPr>
      </w:pPr>
      <w:r>
        <w:rPr>
          <w:rFonts w:ascii="Times New Roman" w:hAnsi="Times New Roman"/>
          <w:b/>
          <w:smallCaps/>
          <w:noProof/>
          <w:sz w:val="24"/>
        </w:rPr>
        <w:t>KOMPONENTA 10: Pritegnitev in ohranjanje talentov</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 xml:space="preserve">Cilj te </w:t>
      </w:r>
      <w:r>
        <w:rPr>
          <w:rFonts w:ascii="Times New Roman" w:hAnsi="Times New Roman"/>
          <w:noProof/>
          <w:sz w:val="24"/>
        </w:rPr>
        <w:t>komponente slovaškega načrta za okrevanje in odpornost je razviti učinkovite politike za spodbujanje mobilnosti študentov in delovne sile ter dejavno motivirati visokokvalificirane tuje strokovnjake (vključno s slovaškimi državljani), študente in podjetnik</w:t>
      </w:r>
      <w:r>
        <w:rPr>
          <w:rFonts w:ascii="Times New Roman" w:hAnsi="Times New Roman"/>
          <w:noProof/>
          <w:sz w:val="24"/>
        </w:rPr>
        <w:t>e za ustanovitev na Slovaškem. Cilj teh ukrepov je privabiti in ohraniti človeški kapital, ki je bistvenega pomena za gospodarski razvoj Slovaške. Cilj organov je v petletnem obdobju povečati delež visoko usposobljenih tujih državljanov v delovni sili z 0,</w:t>
      </w:r>
      <w:r>
        <w:rPr>
          <w:rFonts w:ascii="Times New Roman" w:hAnsi="Times New Roman"/>
          <w:noProof/>
          <w:sz w:val="24"/>
        </w:rPr>
        <w:t>5 % na 1 % in uravnotežiti razmerje med odhajajočimi in prihajajočimi študenti na slovaških visokošolskih ustanovah.</w:t>
      </w:r>
    </w:p>
    <w:p w:rsidR="009B5602" w:rsidRDefault="00886830">
      <w:pPr>
        <w:spacing w:before="120" w:after="120" w:line="240" w:lineRule="auto"/>
        <w:ind w:left="850"/>
        <w:jc w:val="both"/>
        <w:rPr>
          <w:rFonts w:ascii="Times New Roman" w:hAnsi="Times New Roman"/>
          <w:noProof/>
          <w:sz w:val="24"/>
          <w:szCs w:val="24"/>
        </w:rPr>
      </w:pPr>
      <w:r>
        <w:rPr>
          <w:rFonts w:ascii="Times New Roman" w:hAnsi="Times New Roman"/>
          <w:noProof/>
          <w:sz w:val="24"/>
          <w:szCs w:val="24"/>
        </w:rPr>
        <w:t>Pričakuje se, da noben ukrep v tej komponenti ne bo znatno škodoval okoljskim ciljem v smislu člena 17 Uredbe (EU) 2020/852, ob upoštevanju</w:t>
      </w:r>
      <w:r>
        <w:rPr>
          <w:rFonts w:ascii="Times New Roman" w:hAnsi="Times New Roman"/>
          <w:noProof/>
          <w:sz w:val="24"/>
          <w:szCs w:val="24"/>
        </w:rPr>
        <w:t xml:space="preserve"> opisa ukrepov in ukrepov za ublažitev, določenih v načrtu za okrevanje in odpornost v skladu s tehničnimi smernicami za uporabo načela, da se ne škoduje bistveno (2021/C58/01).  </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Ukrepi v tej komponenti prispevajo k obravnavi priporočil za posamezne držav</w:t>
      </w:r>
      <w:r>
        <w:rPr>
          <w:rFonts w:ascii="Times New Roman" w:hAnsi="Times New Roman"/>
          <w:noProof/>
          <w:sz w:val="24"/>
        </w:rPr>
        <w:t>e, naslovljenih na Slovaško, zlasti da bo „izboljšala kakovost izobraževanja in zagotovila, da bo to na vseh ravneh vključujoče, ter spodbujala pridobivanje znanj in spretnosti“ in „spodbujala vključevanje prikrajšanih skupin“ (priporočilo za posamezne drž</w:t>
      </w:r>
      <w:r>
        <w:rPr>
          <w:rFonts w:ascii="Times New Roman" w:hAnsi="Times New Roman"/>
          <w:noProof/>
          <w:sz w:val="24"/>
        </w:rPr>
        <w:t xml:space="preserve">ave št. 2 iz leta 2019) ter da „[o]krepi odpornost zdravstvenega sistema na področjih zdravstvenih delavcev“ (priporočilo za posamezno državo št. 1 iz leta 2020). </w:t>
      </w:r>
    </w:p>
    <w:p w:rsidR="009B5602" w:rsidRDefault="009B5602">
      <w:pPr>
        <w:spacing w:before="120" w:after="120" w:line="240" w:lineRule="auto"/>
        <w:ind w:left="850"/>
        <w:jc w:val="both"/>
        <w:rPr>
          <w:rFonts w:ascii="Times New Roman" w:hAnsi="Times New Roman"/>
          <w:noProof/>
          <w:sz w:val="24"/>
        </w:rPr>
      </w:pPr>
    </w:p>
    <w:p w:rsidR="009B5602" w:rsidRDefault="00886830">
      <w:pPr>
        <w:spacing w:before="120" w:after="120" w:line="240" w:lineRule="auto"/>
        <w:ind w:left="850"/>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Opis reform in naložb za nepovratno finančno podporo</w:t>
      </w:r>
    </w:p>
    <w:p w:rsidR="009B5602" w:rsidRDefault="009B5602">
      <w:pPr>
        <w:spacing w:before="120" w:after="120" w:line="240" w:lineRule="auto"/>
        <w:ind w:left="850"/>
        <w:jc w:val="both"/>
        <w:rPr>
          <w:rFonts w:ascii="Times New Roman" w:hAnsi="Times New Roman"/>
          <w:noProof/>
          <w:sz w:val="24"/>
        </w:rPr>
      </w:pPr>
    </w:p>
    <w:p w:rsidR="009B5602" w:rsidRDefault="00886830">
      <w:pPr>
        <w:spacing w:before="120" w:after="120" w:line="240" w:lineRule="auto"/>
        <w:ind w:left="260" w:firstLine="590"/>
        <w:jc w:val="both"/>
        <w:rPr>
          <w:rFonts w:ascii="Times New Roman" w:hAnsi="Times New Roman"/>
          <w:b/>
          <w:noProof/>
          <w:sz w:val="24"/>
        </w:rPr>
      </w:pPr>
      <w:r>
        <w:rPr>
          <w:rFonts w:ascii="Times New Roman" w:hAnsi="Times New Roman"/>
          <w:b/>
          <w:noProof/>
          <w:sz w:val="24"/>
        </w:rPr>
        <w:t xml:space="preserve">Reforma 1: Reforma zakonodaje o </w:t>
      </w:r>
      <w:r>
        <w:rPr>
          <w:rFonts w:ascii="Times New Roman" w:hAnsi="Times New Roman"/>
          <w:b/>
          <w:noProof/>
          <w:sz w:val="24"/>
        </w:rPr>
        <w:t>prebivališču in delovne zakonodaje</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Veljavni postopki za pridobitev dovoljenja za delo in prebivanje na Slovaškem so na splošno zahtevni tako za delavca kot za podjetje in so običajno dolgotrajni. Cilj te reforme je skrajšati in znatno poenostaviti te posto</w:t>
      </w:r>
      <w:r>
        <w:rPr>
          <w:rFonts w:ascii="Times New Roman" w:hAnsi="Times New Roman"/>
          <w:noProof/>
          <w:sz w:val="24"/>
        </w:rPr>
        <w:t xml:space="preserve">pke za visokokvalificirane državljane tretjih držav, vključno z njihovimi družinskimi člani. </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Reforma uporablja obstoječi pospešeni sistem za nacionalne vizume (D) v interesu države in ga odpre za novo kategorijo visokokvalificiranih državljanov tretjih dr</w:t>
      </w:r>
      <w:r>
        <w:rPr>
          <w:rFonts w:ascii="Times New Roman" w:hAnsi="Times New Roman"/>
          <w:noProof/>
          <w:sz w:val="24"/>
        </w:rPr>
        <w:t>žav, ki iščejo zaposlitev. Ta kategorija delavcev je izvzeta iz potrebe po dokazovanju zajamčene zaposlitve pred vstopom v državo in lahko začne delati z nacionalnim vizumom (D) takoj po zaposlitvi. Zagotovi se skladnost z revizijo direktive o modri karti.</w:t>
      </w:r>
      <w:r>
        <w:rPr>
          <w:rFonts w:ascii="Times New Roman" w:hAnsi="Times New Roman"/>
          <w:noProof/>
          <w:sz w:val="24"/>
        </w:rPr>
        <w:t xml:space="preserve"> </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Reforma se izvede do 31. marca 2022.</w:t>
      </w:r>
    </w:p>
    <w:p w:rsidR="009B5602" w:rsidRDefault="00886830">
      <w:pPr>
        <w:spacing w:before="120" w:after="120" w:line="240" w:lineRule="auto"/>
        <w:ind w:left="850"/>
        <w:jc w:val="both"/>
        <w:rPr>
          <w:rFonts w:ascii="Times New Roman" w:hAnsi="Times New Roman"/>
          <w:b/>
          <w:noProof/>
          <w:sz w:val="24"/>
        </w:rPr>
      </w:pPr>
      <w:r>
        <w:rPr>
          <w:rFonts w:ascii="Times New Roman" w:hAnsi="Times New Roman"/>
          <w:b/>
          <w:noProof/>
          <w:sz w:val="24"/>
        </w:rPr>
        <w:t>Reforma 2: Poenostavitev ureditve za priznavanje kvalifikacij in poklicnih kvalifikacij za opravljanje reguliranih poklicev</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 xml:space="preserve">S to reformo se poenostavi priznavanje izobrazbenih kvalifikacij s strani tujih delavcev, da </w:t>
      </w:r>
      <w:r>
        <w:rPr>
          <w:rFonts w:ascii="Times New Roman" w:hAnsi="Times New Roman"/>
          <w:noProof/>
          <w:sz w:val="24"/>
        </w:rPr>
        <w:t xml:space="preserve">se olajša njihovo ustanavljanje na Slovaškem. </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Za države z dvostranskim sporazumom o priznavanju kvalifikacij so prijavitelji oproščeni predložitve potrdila o akreditaciji univerze za zagotavljanje ustreznega izobraževanja. Poleg tega se okrepi zmogljivost</w:t>
      </w:r>
      <w:r>
        <w:rPr>
          <w:rFonts w:ascii="Times New Roman" w:hAnsi="Times New Roman"/>
          <w:noProof/>
          <w:sz w:val="24"/>
        </w:rPr>
        <w:t xml:space="preserve"> Centra za priznavanje priznavanja izobrazbe, da se pospeši postopek priznavanja kvalifikacij za vse države.</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Za kvalifikacije zdravnikov reforma:</w:t>
      </w:r>
    </w:p>
    <w:p w:rsidR="009B5602" w:rsidRDefault="00886830">
      <w:pPr>
        <w:numPr>
          <w:ilvl w:val="0"/>
          <w:numId w:val="30"/>
        </w:numPr>
        <w:spacing w:before="120" w:after="120" w:line="240" w:lineRule="auto"/>
        <w:jc w:val="both"/>
        <w:rPr>
          <w:rFonts w:ascii="Times New Roman" w:hAnsi="Times New Roman"/>
          <w:noProof/>
          <w:sz w:val="24"/>
        </w:rPr>
      </w:pPr>
      <w:r>
        <w:rPr>
          <w:rFonts w:ascii="Times New Roman" w:hAnsi="Times New Roman"/>
          <w:noProof/>
          <w:sz w:val="24"/>
        </w:rPr>
        <w:t>krajša roke za priznavanje diplom, navedenih v Prilogi 3 k Zakonu o izvajalcih zdravstvenega varstva, s treh m</w:t>
      </w:r>
      <w:r>
        <w:rPr>
          <w:rFonts w:ascii="Times New Roman" w:hAnsi="Times New Roman"/>
          <w:noProof/>
          <w:sz w:val="24"/>
        </w:rPr>
        <w:t>esecev na en mesec; avtomatično priznava usklajene specializacije na ravni EU za zdravnike in zobozdravnike;</w:t>
      </w:r>
    </w:p>
    <w:p w:rsidR="009B5602" w:rsidRDefault="00886830">
      <w:pPr>
        <w:numPr>
          <w:ilvl w:val="0"/>
          <w:numId w:val="30"/>
        </w:numPr>
        <w:spacing w:before="120" w:after="120" w:line="240" w:lineRule="auto"/>
        <w:jc w:val="both"/>
        <w:rPr>
          <w:rFonts w:ascii="Times New Roman" w:hAnsi="Times New Roman"/>
          <w:noProof/>
          <w:sz w:val="24"/>
        </w:rPr>
      </w:pPr>
      <w:r>
        <w:rPr>
          <w:rFonts w:ascii="Times New Roman" w:hAnsi="Times New Roman"/>
          <w:noProof/>
          <w:sz w:val="24"/>
        </w:rPr>
        <w:t>krajša roke za priznavanje diplom, ki niso navedene v Prilogi 3 k Zakonu o izvajalcih zdravstvenega varstva, ki jih izdajo pristojni organi v sklad</w:t>
      </w:r>
      <w:r>
        <w:rPr>
          <w:rFonts w:ascii="Times New Roman" w:hAnsi="Times New Roman"/>
          <w:noProof/>
          <w:sz w:val="24"/>
        </w:rPr>
        <w:t>u z zakonodajo držav članic, s treh mesecev na dva meseca;</w:t>
      </w:r>
    </w:p>
    <w:p w:rsidR="009B5602" w:rsidRDefault="00886830">
      <w:pPr>
        <w:numPr>
          <w:ilvl w:val="0"/>
          <w:numId w:val="30"/>
        </w:numPr>
        <w:spacing w:before="120" w:after="120" w:line="240" w:lineRule="auto"/>
        <w:jc w:val="both"/>
        <w:rPr>
          <w:rFonts w:ascii="Times New Roman" w:hAnsi="Times New Roman"/>
          <w:noProof/>
          <w:sz w:val="24"/>
        </w:rPr>
      </w:pPr>
      <w:r>
        <w:rPr>
          <w:rFonts w:ascii="Times New Roman" w:hAnsi="Times New Roman"/>
          <w:noProof/>
          <w:sz w:val="24"/>
        </w:rPr>
        <w:t xml:space="preserve">krajša roke za priznavanje diplom, ki jih izdajo pristojni organi v skladu z zakonodajo tretjih držav, s treh mesecev na dva meseca; prilagaja roke za priznavanje diplom, izdanih v drugi državi, s </w:t>
      </w:r>
      <w:r>
        <w:rPr>
          <w:rFonts w:ascii="Times New Roman" w:hAnsi="Times New Roman"/>
          <w:noProof/>
          <w:sz w:val="24"/>
        </w:rPr>
        <w:t>štirih mesecev na dva meseca;</w:t>
      </w:r>
    </w:p>
    <w:p w:rsidR="009B5602" w:rsidRDefault="00886830">
      <w:pPr>
        <w:numPr>
          <w:ilvl w:val="0"/>
          <w:numId w:val="30"/>
        </w:numPr>
        <w:spacing w:before="120" w:after="120" w:line="240" w:lineRule="auto"/>
        <w:jc w:val="both"/>
        <w:rPr>
          <w:rFonts w:ascii="Times New Roman" w:hAnsi="Times New Roman"/>
          <w:noProof/>
          <w:sz w:val="24"/>
        </w:rPr>
      </w:pPr>
      <w:r>
        <w:rPr>
          <w:rFonts w:ascii="Times New Roman" w:hAnsi="Times New Roman"/>
          <w:noProof/>
          <w:sz w:val="24"/>
        </w:rPr>
        <w:t>razširja začasna pripravništva po sedanjem kriznem obdobju s spremembo 30.a člena Zakona o izvajalcih zdravstvenega varstva.</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Reforma se izvede do 31. marca 2022.</w:t>
      </w:r>
    </w:p>
    <w:p w:rsidR="009B5602" w:rsidRDefault="00886830">
      <w:pPr>
        <w:spacing w:before="120" w:after="120" w:line="240" w:lineRule="auto"/>
        <w:ind w:left="850"/>
        <w:jc w:val="both"/>
        <w:rPr>
          <w:rFonts w:ascii="Times New Roman" w:hAnsi="Times New Roman"/>
          <w:b/>
          <w:noProof/>
          <w:sz w:val="24"/>
        </w:rPr>
      </w:pPr>
      <w:r>
        <w:rPr>
          <w:rFonts w:ascii="Times New Roman" w:hAnsi="Times New Roman"/>
          <w:b/>
          <w:noProof/>
          <w:sz w:val="24"/>
        </w:rPr>
        <w:t>Naložba 1: Podporna orodja in pomoč za povratnike, visokokvalifi</w:t>
      </w:r>
      <w:r>
        <w:rPr>
          <w:rFonts w:ascii="Times New Roman" w:hAnsi="Times New Roman"/>
          <w:b/>
          <w:noProof/>
          <w:sz w:val="24"/>
        </w:rPr>
        <w:t>cirane delavce iz tretjih držav in njihove družinske člane ter tuje visokošolske študente, ki študirajo na Slovaškem</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 xml:space="preserve">Namen te naložbe je pomagati pri vključevanju visoko usposobljenih delavcev, povratnikov iz tujine in njihovih družinskih članov. </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 xml:space="preserve">Naložbe </w:t>
      </w:r>
      <w:r>
        <w:rPr>
          <w:rFonts w:ascii="Times New Roman" w:hAnsi="Times New Roman"/>
          <w:noProof/>
          <w:sz w:val="24"/>
        </w:rPr>
        <w:t>podpirajo programe vključevanja za ciljne skupine tujih študentov, visoko usposobljene delavce in njihove družinske člane ter povratnike iz tujine, vključno s projektnim financiranjem. Vzpostavi se pravni okvir za „vse na enem mestu“ (centri za celovito sv</w:t>
      </w:r>
      <w:r>
        <w:rPr>
          <w:rFonts w:ascii="Times New Roman" w:hAnsi="Times New Roman"/>
          <w:noProof/>
          <w:sz w:val="24"/>
        </w:rPr>
        <w:t>etovanje in storitve, ki olajšujejo ustanavljanje na Slovaškem in začetek poklicne poti), čemur sledi vzpostavitev treh takih centrov. Jezikovno znanje zaposlenih v javnem sektorju (zlasti osebje za prvi stik) in krepitev njihove zmogljivosti pri integraci</w:t>
      </w:r>
      <w:r>
        <w:rPr>
          <w:rFonts w:ascii="Times New Roman" w:hAnsi="Times New Roman"/>
          <w:noProof/>
          <w:sz w:val="24"/>
        </w:rPr>
        <w:t>jskem svetovanju za tujce se okrepita z usposabljanjem.</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Naložba se izvede do 31. marca 2025.</w:t>
      </w:r>
    </w:p>
    <w:p w:rsidR="009B5602" w:rsidRDefault="00886830">
      <w:pPr>
        <w:spacing w:before="120" w:after="120" w:line="240" w:lineRule="auto"/>
        <w:ind w:left="850"/>
        <w:jc w:val="both"/>
        <w:rPr>
          <w:rFonts w:ascii="Times New Roman" w:hAnsi="Times New Roman"/>
          <w:b/>
          <w:noProof/>
          <w:sz w:val="24"/>
        </w:rPr>
      </w:pPr>
      <w:r>
        <w:rPr>
          <w:rFonts w:ascii="Times New Roman" w:hAnsi="Times New Roman"/>
          <w:b/>
          <w:noProof/>
          <w:sz w:val="24"/>
        </w:rPr>
        <w:t>Naložba 2: Krepitev odnosov z diasporo, podpora državljanskim pobudam</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Cilj tega ukrepa je okrepiti odnose s Slovaški v tujini, vključno s člani nove diaspore, pove</w:t>
      </w:r>
      <w:r>
        <w:rPr>
          <w:rFonts w:ascii="Times New Roman" w:hAnsi="Times New Roman"/>
          <w:noProof/>
          <w:sz w:val="24"/>
        </w:rPr>
        <w:t>čati verjetnost vrnitve domov in uporabiti njihovo strokovno znanje za posodobitev Slovaške. Cilj ni oviranje gibanja visoko usposobljenih delavcev, temveč spodbujanje „kroženja možganov“.</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Naložbe podpirajo spodbujanje poklicnih priložnosti na Slovaškem, t</w:t>
      </w:r>
      <w:r>
        <w:rPr>
          <w:rFonts w:ascii="Times New Roman" w:hAnsi="Times New Roman"/>
          <w:noProof/>
          <w:sz w:val="24"/>
        </w:rPr>
        <w:t>udi prek digitalnih platform, ki vsebujejo informacije, pomembne za vrnitev domov. Podpira tudi dejavnosti nevladnih pobud z izkušnjami na tem področju in partnerstva med vladnimi in nevladnimi pobudami.</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Naložba se izvede do 31. marca 2026.</w:t>
      </w:r>
    </w:p>
    <w:p w:rsidR="009B5602" w:rsidRDefault="00886830">
      <w:pPr>
        <w:spacing w:before="120" w:after="120" w:line="240" w:lineRule="auto"/>
        <w:ind w:left="850"/>
        <w:jc w:val="both"/>
        <w:rPr>
          <w:rFonts w:ascii="Times New Roman" w:hAnsi="Times New Roman"/>
          <w:b/>
          <w:noProof/>
          <w:sz w:val="24"/>
        </w:rPr>
      </w:pPr>
      <w:r>
        <w:rPr>
          <w:rFonts w:ascii="Times New Roman" w:hAnsi="Times New Roman"/>
          <w:b/>
          <w:noProof/>
          <w:sz w:val="24"/>
        </w:rPr>
        <w:t>Naložba 3: Štip</w:t>
      </w:r>
      <w:r>
        <w:rPr>
          <w:rFonts w:ascii="Times New Roman" w:hAnsi="Times New Roman"/>
          <w:b/>
          <w:noProof/>
          <w:sz w:val="24"/>
        </w:rPr>
        <w:t>endije za domače in tuje nadarjene študente</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Program štipendiranja finančno podpira nadarjene študente v treh skupinah:</w:t>
      </w:r>
    </w:p>
    <w:p w:rsidR="009B5602" w:rsidRDefault="00886830">
      <w:pPr>
        <w:numPr>
          <w:ilvl w:val="4"/>
          <w:numId w:val="5"/>
        </w:numPr>
        <w:spacing w:before="120" w:after="120" w:line="240" w:lineRule="auto"/>
        <w:ind w:left="1701" w:hanging="357"/>
        <w:jc w:val="both"/>
        <w:rPr>
          <w:rFonts w:ascii="Times New Roman" w:hAnsi="Times New Roman"/>
          <w:noProof/>
          <w:sz w:val="24"/>
        </w:rPr>
      </w:pPr>
      <w:r>
        <w:rPr>
          <w:rFonts w:ascii="Times New Roman" w:hAnsi="Times New Roman"/>
          <w:noProof/>
          <w:sz w:val="24"/>
        </w:rPr>
        <w:t>najbolj nadarjeni slovaški srednješolci – merjeno glede na njihovo srednješolsko izobrazbo, s poudarkom na specializacijah z večjim delež</w:t>
      </w:r>
      <w:r>
        <w:rPr>
          <w:rFonts w:ascii="Times New Roman" w:hAnsi="Times New Roman"/>
          <w:noProof/>
          <w:sz w:val="24"/>
        </w:rPr>
        <w:t>em kot odhod iz Slovaške (matematika, tuji jeziki);</w:t>
      </w:r>
    </w:p>
    <w:p w:rsidR="009B5602" w:rsidRDefault="00886830">
      <w:pPr>
        <w:numPr>
          <w:ilvl w:val="4"/>
          <w:numId w:val="5"/>
        </w:numPr>
        <w:spacing w:before="120" w:after="120" w:line="240" w:lineRule="auto"/>
        <w:ind w:left="1701" w:hanging="357"/>
        <w:jc w:val="both"/>
        <w:rPr>
          <w:rFonts w:ascii="Times New Roman" w:hAnsi="Times New Roman"/>
          <w:noProof/>
          <w:sz w:val="24"/>
        </w:rPr>
      </w:pPr>
      <w:r>
        <w:rPr>
          <w:rFonts w:ascii="Times New Roman" w:hAnsi="Times New Roman"/>
          <w:noProof/>
          <w:sz w:val="24"/>
        </w:rPr>
        <w:t>najbolj nadarjeni študenti iz tujine – merjeno s standardiziranimi mednarodnimi testi;</w:t>
      </w:r>
    </w:p>
    <w:p w:rsidR="009B5602" w:rsidRDefault="00886830">
      <w:pPr>
        <w:numPr>
          <w:ilvl w:val="4"/>
          <w:numId w:val="5"/>
        </w:numPr>
        <w:spacing w:before="120" w:after="120" w:line="240" w:lineRule="auto"/>
        <w:ind w:left="1701" w:hanging="357"/>
        <w:jc w:val="both"/>
        <w:rPr>
          <w:rFonts w:ascii="Times New Roman" w:hAnsi="Times New Roman"/>
          <w:noProof/>
          <w:sz w:val="24"/>
        </w:rPr>
      </w:pPr>
      <w:r>
        <w:rPr>
          <w:rFonts w:ascii="Times New Roman" w:hAnsi="Times New Roman"/>
          <w:noProof/>
          <w:sz w:val="24"/>
        </w:rPr>
        <w:t>nadpovprečni študenti iz socialno in ekonomsko prikrajšanih okolij ali tisti, ki pripadajo posebnim prikrajšanim skup</w:t>
      </w:r>
      <w:r>
        <w:rPr>
          <w:rFonts w:ascii="Times New Roman" w:hAnsi="Times New Roman"/>
          <w:noProof/>
          <w:sz w:val="24"/>
        </w:rPr>
        <w:t>inam (kot so sirote, otroci v centrih za otroke in družine ali tako imenovani univerzitetni študenti prve generacije) – merjeno s stopnjo visokošolske izobrazbe.</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 xml:space="preserve">Program zagotavlja štipendije za izbrane študente v prvih treh letih diplome. Za univerze, ki </w:t>
      </w:r>
      <w:r>
        <w:rPr>
          <w:rFonts w:ascii="Times New Roman" w:hAnsi="Times New Roman"/>
          <w:noProof/>
          <w:sz w:val="24"/>
        </w:rPr>
        <w:t xml:space="preserve">sprejemajo študente, se plača finančna spodbuda, ki jo lahko uporabijo za podporo odličnim študentom na drugi stopnji ali za programe vključevanja in poklicnega razvoja za odlične domače ali tuje študente. </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Shema začne delovati v obdobju 2022–2027 (tj. šti</w:t>
      </w:r>
      <w:r>
        <w:rPr>
          <w:rFonts w:ascii="Times New Roman" w:hAnsi="Times New Roman"/>
          <w:noProof/>
          <w:sz w:val="24"/>
        </w:rPr>
        <w:t xml:space="preserve">pendije do leta 2029). Načrt za okrevanje in odpornost podpira študente, ki vstopajo med letoma 2022 in 2024, medtem ko se drugi finančni viri uporabijo za zagotovitev take podpore vsaj do konca leta 2027. </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Naložba se izvede do 31. decembra 2024.</w:t>
      </w:r>
    </w:p>
    <w:p w:rsidR="009B5602" w:rsidRDefault="00886830">
      <w:pPr>
        <w:spacing w:before="120" w:after="120" w:line="240" w:lineRule="auto"/>
        <w:ind w:left="850"/>
        <w:jc w:val="both"/>
        <w:rPr>
          <w:rFonts w:ascii="Times New Roman" w:hAnsi="Times New Roman"/>
          <w:b/>
          <w:noProof/>
          <w:sz w:val="24"/>
        </w:rPr>
      </w:pPr>
      <w:r>
        <w:rPr>
          <w:rFonts w:ascii="Times New Roman" w:hAnsi="Times New Roman"/>
          <w:b/>
          <w:noProof/>
          <w:sz w:val="24"/>
        </w:rPr>
        <w:t>Naložba 4</w:t>
      </w:r>
      <w:r>
        <w:rPr>
          <w:rFonts w:ascii="Times New Roman" w:hAnsi="Times New Roman"/>
          <w:b/>
          <w:noProof/>
          <w:sz w:val="24"/>
        </w:rPr>
        <w:t>: Spodbujanje internacionalizacije v akademskem okolju</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 xml:space="preserve">Cilj te naložbe je podpreti internacionalizacijo univerz in raziskovalnih ustanov na Slovaškem. </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Vlada sprejme strategijo za internacionalizacijo univerz, ki vključuje podporo skupnim univerzitetnim pr</w:t>
      </w:r>
      <w:r>
        <w:rPr>
          <w:rFonts w:ascii="Times New Roman" w:hAnsi="Times New Roman"/>
          <w:noProof/>
          <w:sz w:val="24"/>
        </w:rPr>
        <w:t xml:space="preserve">ogramom, ukrepe za privabljanje tujih študentov in akademikov ter izvajanje načel strategije človeških virov za raziskave (HRS4R). </w:t>
      </w:r>
    </w:p>
    <w:p w:rsidR="009B5602" w:rsidRDefault="00886830">
      <w:pPr>
        <w:spacing w:before="120" w:after="120" w:line="240" w:lineRule="auto"/>
        <w:ind w:left="850"/>
        <w:jc w:val="both"/>
        <w:rPr>
          <w:rFonts w:ascii="Times New Roman" w:hAnsi="Times New Roman"/>
          <w:noProof/>
          <w:sz w:val="24"/>
        </w:rPr>
      </w:pPr>
      <w:r>
        <w:rPr>
          <w:rFonts w:ascii="Times New Roman" w:hAnsi="Times New Roman"/>
          <w:noProof/>
          <w:sz w:val="24"/>
        </w:rPr>
        <w:t xml:space="preserve">Naložba podpira: </w:t>
      </w:r>
    </w:p>
    <w:p w:rsidR="009B5602" w:rsidRDefault="00886830">
      <w:pPr>
        <w:numPr>
          <w:ilvl w:val="0"/>
          <w:numId w:val="30"/>
        </w:numPr>
        <w:spacing w:before="120" w:after="120" w:line="240" w:lineRule="auto"/>
        <w:jc w:val="both"/>
        <w:rPr>
          <w:rFonts w:ascii="Times New Roman" w:hAnsi="Times New Roman"/>
          <w:noProof/>
          <w:sz w:val="24"/>
        </w:rPr>
      </w:pPr>
      <w:r>
        <w:rPr>
          <w:rFonts w:ascii="Times New Roman" w:hAnsi="Times New Roman"/>
          <w:noProof/>
          <w:sz w:val="24"/>
        </w:rPr>
        <w:t xml:space="preserve">sistemske ukrepe, kot so revizije kakovosti in podporne sheme za razvoj univerz, ki temeljijo na </w:t>
      </w:r>
      <w:r>
        <w:rPr>
          <w:rFonts w:ascii="Times New Roman" w:hAnsi="Times New Roman"/>
          <w:noProof/>
          <w:sz w:val="24"/>
        </w:rPr>
        <w:t>rezultatih revizij;</w:t>
      </w:r>
    </w:p>
    <w:p w:rsidR="009B5602" w:rsidRDefault="00886830">
      <w:pPr>
        <w:numPr>
          <w:ilvl w:val="0"/>
          <w:numId w:val="30"/>
        </w:numPr>
        <w:spacing w:before="120" w:after="120" w:line="240" w:lineRule="auto"/>
        <w:jc w:val="both"/>
        <w:rPr>
          <w:rFonts w:ascii="Times New Roman" w:hAnsi="Times New Roman"/>
          <w:noProof/>
          <w:sz w:val="24"/>
        </w:rPr>
      </w:pPr>
      <w:r>
        <w:rPr>
          <w:rFonts w:ascii="Times New Roman" w:hAnsi="Times New Roman"/>
          <w:noProof/>
          <w:sz w:val="24"/>
        </w:rPr>
        <w:t xml:space="preserve">podporo programom mobilnosti študentov (štipendije CEEPUS, štipendije na podlagi dvostranskih sporazumov, slovaški nacionalni štipendijski program); </w:t>
      </w:r>
    </w:p>
    <w:p w:rsidR="009B5602" w:rsidRDefault="00886830">
      <w:pPr>
        <w:numPr>
          <w:ilvl w:val="0"/>
          <w:numId w:val="30"/>
        </w:numPr>
        <w:spacing w:before="120" w:after="120" w:line="240" w:lineRule="auto"/>
        <w:jc w:val="both"/>
        <w:rPr>
          <w:rFonts w:ascii="Times New Roman" w:hAnsi="Times New Roman"/>
          <w:noProof/>
          <w:sz w:val="24"/>
        </w:rPr>
      </w:pPr>
      <w:r>
        <w:rPr>
          <w:rFonts w:ascii="Times New Roman" w:hAnsi="Times New Roman"/>
          <w:noProof/>
          <w:sz w:val="24"/>
        </w:rPr>
        <w:t>spodbujanje slovaškega visokošolskega izobraževanja in znanosti v tujini ter podporo m</w:t>
      </w:r>
      <w:r>
        <w:rPr>
          <w:rFonts w:ascii="Times New Roman" w:hAnsi="Times New Roman"/>
          <w:noProof/>
          <w:sz w:val="24"/>
        </w:rPr>
        <w:t>ednarodnemu povezovanju slovaških univerz.</w:t>
      </w:r>
    </w:p>
    <w:p w:rsidR="009B5602" w:rsidRDefault="00886830">
      <w:pPr>
        <w:spacing w:before="120" w:after="120" w:line="240" w:lineRule="auto"/>
        <w:ind w:left="850"/>
        <w:jc w:val="both"/>
        <w:rPr>
          <w:rFonts w:ascii="Times New Roman" w:hAnsi="Times New Roman"/>
          <w:b/>
          <w:noProof/>
          <w:sz w:val="24"/>
          <w:u w:val="single"/>
        </w:rPr>
      </w:pPr>
      <w:r>
        <w:rPr>
          <w:rFonts w:ascii="Times New Roman" w:hAnsi="Times New Roman"/>
          <w:noProof/>
          <w:sz w:val="24"/>
        </w:rPr>
        <w:t>Naložba se izvede do 31. marca 2026.</w:t>
      </w:r>
    </w:p>
    <w:p w:rsidR="009B5602" w:rsidRDefault="009B5602">
      <w:pPr>
        <w:spacing w:before="120" w:after="120" w:line="240" w:lineRule="auto"/>
        <w:ind w:left="850"/>
        <w:jc w:val="both"/>
        <w:rPr>
          <w:rFonts w:ascii="Times New Roman" w:hAnsi="Times New Roman"/>
          <w:b/>
          <w:noProof/>
          <w:sz w:val="24"/>
          <w:u w:val="single"/>
        </w:rPr>
      </w:pPr>
    </w:p>
    <w:p w:rsidR="009B5602" w:rsidRDefault="009B5602">
      <w:pPr>
        <w:spacing w:before="120" w:after="120" w:line="240" w:lineRule="auto"/>
        <w:ind w:left="850"/>
        <w:jc w:val="both"/>
        <w:rPr>
          <w:rFonts w:ascii="Times New Roman" w:hAnsi="Times New Roman"/>
          <w:b/>
          <w:noProof/>
          <w:sz w:val="24"/>
          <w:u w:val="single"/>
        </w:rPr>
      </w:pPr>
    </w:p>
    <w:p w:rsidR="009B5602" w:rsidRDefault="009B5602">
      <w:pPr>
        <w:spacing w:before="120" w:after="120" w:line="240" w:lineRule="auto"/>
        <w:ind w:left="850"/>
        <w:jc w:val="both"/>
        <w:rPr>
          <w:rFonts w:ascii="Times New Roman" w:hAnsi="Times New Roman"/>
          <w:b/>
          <w:noProof/>
          <w:sz w:val="24"/>
          <w:u w:val="single"/>
        </w:rPr>
        <w:sectPr w:rsidR="009B5602">
          <w:headerReference w:type="even" r:id="rId126"/>
          <w:headerReference w:type="default" r:id="rId127"/>
          <w:footerReference w:type="even" r:id="rId128"/>
          <w:footerReference w:type="default" r:id="rId129"/>
          <w:headerReference w:type="first" r:id="rId130"/>
          <w:footerReference w:type="first" r:id="rId131"/>
          <w:pgSz w:w="11907" w:h="16839"/>
          <w:pgMar w:top="1134" w:right="1418" w:bottom="1134" w:left="568" w:header="709" w:footer="709" w:gutter="0"/>
          <w:cols w:space="720"/>
          <w:docGrid w:linePitch="360"/>
        </w:sectPr>
      </w:pPr>
    </w:p>
    <w:p w:rsidR="009B5602" w:rsidRDefault="00886830">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Mejniki, cilji, kazalniki in časovni razpored za spremljanje in izvajanje nepovratne finančne podpore</w:t>
      </w:r>
    </w:p>
    <w:tbl>
      <w:tblPr>
        <w:tblW w:w="16018" w:type="dxa"/>
        <w:tblInd w:w="-601" w:type="dxa"/>
        <w:tblLayout w:type="fixed"/>
        <w:tblLook w:val="04A0" w:firstRow="1" w:lastRow="0" w:firstColumn="1" w:lastColumn="0" w:noHBand="0" w:noVBand="1"/>
      </w:tblPr>
      <w:tblGrid>
        <w:gridCol w:w="709"/>
        <w:gridCol w:w="1674"/>
        <w:gridCol w:w="1161"/>
        <w:gridCol w:w="1390"/>
        <w:gridCol w:w="1729"/>
        <w:gridCol w:w="967"/>
        <w:gridCol w:w="1017"/>
        <w:gridCol w:w="851"/>
        <w:gridCol w:w="1134"/>
        <w:gridCol w:w="992"/>
        <w:gridCol w:w="4394"/>
      </w:tblGrid>
      <w:tr w:rsidR="009B5602">
        <w:trPr>
          <w:trHeight w:val="742"/>
        </w:trPr>
        <w:tc>
          <w:tcPr>
            <w:tcW w:w="709" w:type="dxa"/>
            <w:vMerge w:val="restart"/>
            <w:tcBorders>
              <w:top w:val="single" w:sz="4" w:space="0" w:color="auto"/>
              <w:left w:val="single" w:sz="4" w:space="0" w:color="auto"/>
              <w:right w:val="single" w:sz="4" w:space="0" w:color="auto"/>
            </w:tcBorders>
            <w:shd w:val="clear" w:color="B4C7E7"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Zap. št.</w:t>
            </w:r>
          </w:p>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1674" w:type="dxa"/>
            <w:vMerge w:val="restart"/>
            <w:tcBorders>
              <w:top w:val="single" w:sz="4" w:space="0" w:color="auto"/>
              <w:left w:val="nil"/>
              <w:right w:val="single" w:sz="4" w:space="0" w:color="auto"/>
            </w:tcBorders>
            <w:shd w:val="clear" w:color="B4C7E7"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Povezani ukrep (reforma ali naložba)</w:t>
            </w:r>
          </w:p>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1161" w:type="dxa"/>
            <w:vMerge w:val="restart"/>
            <w:tcBorders>
              <w:top w:val="single" w:sz="4" w:space="0" w:color="auto"/>
              <w:left w:val="nil"/>
              <w:right w:val="single" w:sz="4" w:space="0" w:color="auto"/>
            </w:tcBorders>
            <w:shd w:val="clear" w:color="B4C7E7"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Mejnik/cilj</w:t>
            </w:r>
          </w:p>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1390" w:type="dxa"/>
            <w:vMerge w:val="restart"/>
            <w:tcBorders>
              <w:top w:val="single" w:sz="4" w:space="0" w:color="auto"/>
              <w:left w:val="nil"/>
              <w:right w:val="single" w:sz="4" w:space="0" w:color="auto"/>
            </w:tcBorders>
            <w:shd w:val="clear" w:color="B4C7E7"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Ime</w:t>
            </w:r>
          </w:p>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1729" w:type="dxa"/>
            <w:vMerge w:val="restart"/>
            <w:tcBorders>
              <w:top w:val="single" w:sz="4" w:space="0" w:color="auto"/>
              <w:left w:val="nil"/>
              <w:right w:val="single" w:sz="4" w:space="0" w:color="auto"/>
            </w:tcBorders>
            <w:shd w:val="clear" w:color="B4C7E7"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Kvalitativni kazalniki (za mejnike)</w:t>
            </w:r>
          </w:p>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2835" w:type="dxa"/>
            <w:gridSpan w:val="3"/>
            <w:tcBorders>
              <w:top w:val="single" w:sz="4" w:space="0" w:color="auto"/>
              <w:left w:val="nil"/>
              <w:bottom w:val="single" w:sz="4" w:space="0" w:color="auto"/>
              <w:right w:val="single" w:sz="4" w:space="0" w:color="000000"/>
            </w:tcBorders>
            <w:shd w:val="clear" w:color="B4C7E7"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Kvantitativni kazalniki (za cilje)</w:t>
            </w:r>
          </w:p>
        </w:tc>
        <w:tc>
          <w:tcPr>
            <w:tcW w:w="2126" w:type="dxa"/>
            <w:gridSpan w:val="2"/>
            <w:tcBorders>
              <w:top w:val="single" w:sz="4" w:space="0" w:color="auto"/>
              <w:left w:val="nil"/>
              <w:bottom w:val="single" w:sz="4" w:space="0" w:color="auto"/>
              <w:right w:val="single" w:sz="4" w:space="0" w:color="000000"/>
            </w:tcBorders>
            <w:shd w:val="clear" w:color="B4C7E7"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 xml:space="preserve">Okvirni časovni razpored za dokončanje </w:t>
            </w:r>
          </w:p>
        </w:tc>
        <w:tc>
          <w:tcPr>
            <w:tcW w:w="4394" w:type="dxa"/>
            <w:vMerge w:val="restart"/>
            <w:tcBorders>
              <w:top w:val="single" w:sz="4" w:space="0" w:color="auto"/>
              <w:left w:val="nil"/>
              <w:right w:val="single" w:sz="4" w:space="0" w:color="auto"/>
            </w:tcBorders>
            <w:shd w:val="clear" w:color="B4C7E7"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Opis in jasna opredelitev vsakega mejnika in cilja</w:t>
            </w:r>
          </w:p>
          <w:p w:rsidR="009B5602" w:rsidRDefault="00886830">
            <w:pPr>
              <w:spacing w:after="0"/>
              <w:rPr>
                <w:rFonts w:ascii="Times New Roman" w:eastAsia="Times New Roman" w:hAnsi="Times New Roman"/>
                <w:b/>
                <w:noProof/>
                <w:sz w:val="20"/>
                <w:szCs w:val="20"/>
              </w:rPr>
            </w:pPr>
            <w:r>
              <w:rPr>
                <w:rFonts w:ascii="Times New Roman" w:hAnsi="Times New Roman"/>
                <w:noProof/>
                <w:sz w:val="20"/>
                <w:szCs w:val="20"/>
              </w:rPr>
              <w:t> </w:t>
            </w:r>
          </w:p>
        </w:tc>
      </w:tr>
      <w:tr w:rsidR="009B5602">
        <w:trPr>
          <w:trHeight w:val="541"/>
        </w:trPr>
        <w:tc>
          <w:tcPr>
            <w:tcW w:w="709" w:type="dxa"/>
            <w:vMerge/>
            <w:tcBorders>
              <w:left w:val="single" w:sz="4" w:space="0" w:color="auto"/>
              <w:bottom w:val="single" w:sz="4" w:space="0" w:color="auto"/>
              <w:right w:val="single" w:sz="4" w:space="0" w:color="auto"/>
            </w:tcBorders>
            <w:shd w:val="clear" w:color="000000" w:fill="BDD7EE"/>
            <w:vAlign w:val="center"/>
            <w:hideMark/>
          </w:tcPr>
          <w:p w:rsidR="009B5602" w:rsidRDefault="009B5602">
            <w:pPr>
              <w:spacing w:after="0"/>
              <w:jc w:val="center"/>
              <w:rPr>
                <w:rFonts w:ascii="Times New Roman" w:eastAsia="Times New Roman" w:hAnsi="Times New Roman"/>
                <w:b/>
                <w:noProof/>
                <w:sz w:val="20"/>
                <w:szCs w:val="20"/>
              </w:rPr>
            </w:pPr>
          </w:p>
        </w:tc>
        <w:tc>
          <w:tcPr>
            <w:tcW w:w="1674" w:type="dxa"/>
            <w:vMerge/>
            <w:tcBorders>
              <w:left w:val="nil"/>
              <w:bottom w:val="single" w:sz="4" w:space="0" w:color="auto"/>
              <w:right w:val="single" w:sz="4" w:space="0" w:color="auto"/>
            </w:tcBorders>
            <w:shd w:val="clear" w:color="000000" w:fill="BDD7EE"/>
            <w:vAlign w:val="center"/>
            <w:hideMark/>
          </w:tcPr>
          <w:p w:rsidR="009B5602" w:rsidRDefault="009B5602">
            <w:pPr>
              <w:spacing w:after="0"/>
              <w:jc w:val="center"/>
              <w:rPr>
                <w:rFonts w:ascii="Times New Roman" w:eastAsia="Times New Roman" w:hAnsi="Times New Roman"/>
                <w:b/>
                <w:noProof/>
                <w:sz w:val="20"/>
                <w:szCs w:val="20"/>
              </w:rPr>
            </w:pPr>
          </w:p>
        </w:tc>
        <w:tc>
          <w:tcPr>
            <w:tcW w:w="1161" w:type="dxa"/>
            <w:vMerge/>
            <w:tcBorders>
              <w:left w:val="nil"/>
              <w:bottom w:val="single" w:sz="4" w:space="0" w:color="auto"/>
              <w:right w:val="single" w:sz="4" w:space="0" w:color="auto"/>
            </w:tcBorders>
            <w:shd w:val="clear" w:color="000000" w:fill="BDD7EE"/>
            <w:vAlign w:val="center"/>
            <w:hideMark/>
          </w:tcPr>
          <w:p w:rsidR="009B5602" w:rsidRDefault="009B5602">
            <w:pPr>
              <w:spacing w:after="0"/>
              <w:jc w:val="center"/>
              <w:rPr>
                <w:rFonts w:ascii="Times New Roman" w:eastAsia="Times New Roman" w:hAnsi="Times New Roman"/>
                <w:b/>
                <w:noProof/>
                <w:sz w:val="20"/>
                <w:szCs w:val="20"/>
              </w:rPr>
            </w:pPr>
          </w:p>
        </w:tc>
        <w:tc>
          <w:tcPr>
            <w:tcW w:w="1390" w:type="dxa"/>
            <w:vMerge/>
            <w:tcBorders>
              <w:left w:val="nil"/>
              <w:bottom w:val="single" w:sz="4" w:space="0" w:color="auto"/>
              <w:right w:val="single" w:sz="4" w:space="0" w:color="auto"/>
            </w:tcBorders>
            <w:shd w:val="clear" w:color="000000" w:fill="BDD7EE"/>
            <w:vAlign w:val="center"/>
            <w:hideMark/>
          </w:tcPr>
          <w:p w:rsidR="009B5602" w:rsidRDefault="009B5602">
            <w:pPr>
              <w:spacing w:after="0"/>
              <w:jc w:val="center"/>
              <w:rPr>
                <w:rFonts w:ascii="Times New Roman" w:eastAsia="Times New Roman" w:hAnsi="Times New Roman"/>
                <w:b/>
                <w:noProof/>
                <w:sz w:val="20"/>
                <w:szCs w:val="20"/>
              </w:rPr>
            </w:pPr>
          </w:p>
        </w:tc>
        <w:tc>
          <w:tcPr>
            <w:tcW w:w="1729" w:type="dxa"/>
            <w:vMerge/>
            <w:tcBorders>
              <w:left w:val="nil"/>
              <w:bottom w:val="single" w:sz="4" w:space="0" w:color="auto"/>
              <w:right w:val="single" w:sz="4" w:space="0" w:color="auto"/>
            </w:tcBorders>
            <w:shd w:val="clear" w:color="000000" w:fill="BDD7EE"/>
            <w:vAlign w:val="center"/>
            <w:hideMark/>
          </w:tcPr>
          <w:p w:rsidR="009B5602" w:rsidRDefault="009B5602">
            <w:pPr>
              <w:spacing w:after="0"/>
              <w:jc w:val="center"/>
              <w:rPr>
                <w:rFonts w:ascii="Times New Roman" w:eastAsia="Times New Roman" w:hAnsi="Times New Roman"/>
                <w:b/>
                <w:noProof/>
                <w:sz w:val="20"/>
                <w:szCs w:val="20"/>
              </w:rPr>
            </w:pPr>
          </w:p>
        </w:tc>
        <w:tc>
          <w:tcPr>
            <w:tcW w:w="967" w:type="dxa"/>
            <w:tcBorders>
              <w:top w:val="nil"/>
              <w:left w:val="nil"/>
              <w:bottom w:val="single" w:sz="4" w:space="0" w:color="auto"/>
              <w:right w:val="single" w:sz="4" w:space="0" w:color="auto"/>
            </w:tcBorders>
            <w:shd w:val="clear" w:color="000000"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Enota merjenja</w:t>
            </w:r>
          </w:p>
        </w:tc>
        <w:tc>
          <w:tcPr>
            <w:tcW w:w="1017" w:type="dxa"/>
            <w:tcBorders>
              <w:top w:val="nil"/>
              <w:left w:val="nil"/>
              <w:bottom w:val="single" w:sz="4" w:space="0" w:color="auto"/>
              <w:right w:val="single" w:sz="4" w:space="0" w:color="auto"/>
            </w:tcBorders>
            <w:shd w:val="clear" w:color="000000"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Izhodiščna</w:t>
            </w:r>
            <w:r>
              <w:rPr>
                <w:rFonts w:ascii="Times New Roman" w:hAnsi="Times New Roman"/>
                <w:b/>
                <w:noProof/>
                <w:sz w:val="20"/>
                <w:szCs w:val="20"/>
              </w:rPr>
              <w:t xml:space="preserve"> raven</w:t>
            </w:r>
          </w:p>
        </w:tc>
        <w:tc>
          <w:tcPr>
            <w:tcW w:w="851" w:type="dxa"/>
            <w:tcBorders>
              <w:top w:val="nil"/>
              <w:left w:val="nil"/>
              <w:bottom w:val="single" w:sz="4" w:space="0" w:color="auto"/>
              <w:right w:val="single" w:sz="4" w:space="0" w:color="auto"/>
            </w:tcBorders>
            <w:shd w:val="clear" w:color="000000"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Ciljna raven</w:t>
            </w:r>
          </w:p>
        </w:tc>
        <w:tc>
          <w:tcPr>
            <w:tcW w:w="1134" w:type="dxa"/>
            <w:tcBorders>
              <w:top w:val="nil"/>
              <w:left w:val="nil"/>
              <w:bottom w:val="single" w:sz="4" w:space="0" w:color="auto"/>
              <w:right w:val="single" w:sz="4" w:space="0" w:color="auto"/>
            </w:tcBorders>
            <w:shd w:val="clear" w:color="000000"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Četrtletje</w:t>
            </w:r>
          </w:p>
        </w:tc>
        <w:tc>
          <w:tcPr>
            <w:tcW w:w="992" w:type="dxa"/>
            <w:tcBorders>
              <w:top w:val="nil"/>
              <w:left w:val="nil"/>
              <w:bottom w:val="single" w:sz="4" w:space="0" w:color="auto"/>
              <w:right w:val="single" w:sz="4" w:space="0" w:color="auto"/>
            </w:tcBorders>
            <w:shd w:val="clear" w:color="000000"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Leto</w:t>
            </w:r>
          </w:p>
        </w:tc>
        <w:tc>
          <w:tcPr>
            <w:tcW w:w="4394" w:type="dxa"/>
            <w:vMerge/>
            <w:tcBorders>
              <w:left w:val="nil"/>
              <w:bottom w:val="single" w:sz="4" w:space="0" w:color="auto"/>
              <w:right w:val="single" w:sz="4" w:space="0" w:color="auto"/>
            </w:tcBorders>
            <w:shd w:val="clear" w:color="000000" w:fill="BDD7EE"/>
            <w:vAlign w:val="center"/>
            <w:hideMark/>
          </w:tcPr>
          <w:p w:rsidR="009B5602" w:rsidRDefault="009B5602">
            <w:pPr>
              <w:spacing w:after="0"/>
              <w:rPr>
                <w:rFonts w:ascii="Times New Roman" w:eastAsia="Times New Roman" w:hAnsi="Times New Roman"/>
                <w:noProof/>
                <w:sz w:val="20"/>
                <w:szCs w:val="20"/>
              </w:rPr>
            </w:pPr>
          </w:p>
        </w:tc>
      </w:tr>
      <w:tr w:rsidR="009B5602">
        <w:trPr>
          <w:trHeight w:val="882"/>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1</w:t>
            </w:r>
          </w:p>
        </w:tc>
        <w:tc>
          <w:tcPr>
            <w:tcW w:w="167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 – Pritegnitev in ohranjanje talentov – Reforma 1: Reforma zakonodaje o prebivališču in delovne zakonodaje</w:t>
            </w:r>
          </w:p>
        </w:tc>
        <w:tc>
          <w:tcPr>
            <w:tcW w:w="116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390"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Shema, ki opredeljuje novo kategorijo prosilcev za nacionalni vizum (D).</w:t>
            </w:r>
          </w:p>
        </w:tc>
        <w:tc>
          <w:tcPr>
            <w:tcW w:w="1729"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Sprejetje sheme z vladno </w:t>
            </w:r>
            <w:r>
              <w:rPr>
                <w:rFonts w:ascii="Times New Roman" w:hAnsi="Times New Roman"/>
                <w:noProof/>
                <w:color w:val="006100"/>
                <w:sz w:val="20"/>
                <w:szCs w:val="20"/>
              </w:rPr>
              <w:t>resolucijo in začetek veljavnosti.</w:t>
            </w:r>
          </w:p>
        </w:tc>
        <w:tc>
          <w:tcPr>
            <w:tcW w:w="96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1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134"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Q1</w:t>
            </w:r>
          </w:p>
        </w:tc>
        <w:tc>
          <w:tcPr>
            <w:tcW w:w="992"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439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Sprejetje sheme, ki opredeljuje kategorijo prosilcev za nacionalni vizum (D) v interesu Slovaške. Uvede se nova vizumska kategorija, ki zajema visokokvalificirane državljane tretjih držav, ki iščejo zaposlit</w:t>
            </w:r>
            <w:r>
              <w:rPr>
                <w:rFonts w:ascii="Times New Roman" w:hAnsi="Times New Roman"/>
                <w:noProof/>
                <w:color w:val="006100"/>
                <w:sz w:val="20"/>
                <w:szCs w:val="20"/>
              </w:rPr>
              <w:t>ev in so izvzeti iz potrebe po dokazovanju zajamčene zaposlitve pred vstopom na Slovaško. Osebe lahko takoj začnejo delati z nacionalnim vizumom (D). Ukrep se nanaša na kategorije, kot so diplomanti na vodilnih svetovnih univerzah (ne glede na področje); d</w:t>
            </w:r>
            <w:r>
              <w:rPr>
                <w:rFonts w:ascii="Times New Roman" w:hAnsi="Times New Roman"/>
                <w:noProof/>
                <w:color w:val="006100"/>
                <w:sz w:val="20"/>
                <w:szCs w:val="20"/>
              </w:rPr>
              <w:t>iplomanti vrhunskih univerz in raziskovalnih ustanov na tretji stopnji (ne glede na področje); druge izbrane skupine glede na gospodarske interese Slovaške (npr. strokovnjaki za IT, strokovnjaki iz sektorjev z visoko dodano vrednostjo, zdravniki).</w:t>
            </w:r>
          </w:p>
        </w:tc>
      </w:tr>
      <w:tr w:rsidR="009B5602">
        <w:trPr>
          <w:trHeight w:val="1062"/>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w:t>
            </w:r>
          </w:p>
        </w:tc>
        <w:tc>
          <w:tcPr>
            <w:tcW w:w="167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10 – </w:t>
            </w:r>
            <w:r>
              <w:rPr>
                <w:rFonts w:ascii="Times New Roman" w:hAnsi="Times New Roman"/>
                <w:noProof/>
                <w:color w:val="006100"/>
                <w:sz w:val="20"/>
                <w:szCs w:val="20"/>
              </w:rPr>
              <w:t>Pritegnitev in ohranjanje talentov – Reforma 1: Reforma zakonodaje o prebivališču in delovne zakonodaje</w:t>
            </w:r>
          </w:p>
        </w:tc>
        <w:tc>
          <w:tcPr>
            <w:tcW w:w="116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390"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Olajšanje vrnitve v državo in povečanje privlačnosti države za tujce z družinskimi vezmi</w:t>
            </w:r>
          </w:p>
        </w:tc>
        <w:tc>
          <w:tcPr>
            <w:tcW w:w="1729"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Sprejetje v Parlamentu in začetek veljavnosti </w:t>
            </w:r>
          </w:p>
        </w:tc>
        <w:tc>
          <w:tcPr>
            <w:tcW w:w="96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1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134"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Q1</w:t>
            </w:r>
          </w:p>
        </w:tc>
        <w:tc>
          <w:tcPr>
            <w:tcW w:w="992"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4394" w:type="dxa"/>
            <w:tcBorders>
              <w:top w:val="nil"/>
              <w:left w:val="nil"/>
              <w:bottom w:val="single" w:sz="4" w:space="0" w:color="auto"/>
              <w:right w:val="single" w:sz="4" w:space="0" w:color="auto"/>
            </w:tcBorders>
            <w:shd w:val="clear" w:color="000000" w:fill="C6EFCE"/>
            <w:vAlign w:val="center"/>
            <w:hideMark/>
          </w:tcPr>
          <w:p w:rsidR="009B5602" w:rsidRDefault="009B5602">
            <w:pPr>
              <w:spacing w:after="0"/>
              <w:rPr>
                <w:rFonts w:ascii="Times New Roman" w:eastAsia="Times New Roman" w:hAnsi="Times New Roman"/>
                <w:noProof/>
                <w:color w:val="006100"/>
                <w:sz w:val="20"/>
                <w:szCs w:val="20"/>
              </w:rPr>
            </w:pP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Sprememba Zakona št. 40/1993 o slovaškem državljanstvu, ki olajšuje vrnitev v državo in povečuje privlačnost države za tujce z družinskimi vezmi na Slovaškem. S spremembo se uvede poenostavljen režim za pridobitev državljanstva, tako da se odpravi za</w:t>
            </w:r>
            <w:r>
              <w:rPr>
                <w:rFonts w:ascii="Times New Roman" w:hAnsi="Times New Roman"/>
                <w:noProof/>
                <w:color w:val="006100"/>
                <w:sz w:val="20"/>
                <w:szCs w:val="20"/>
              </w:rPr>
              <w:t>hteva po minimalnem obdobju prebivanja na Slovaškem.</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w:t>
            </w:r>
          </w:p>
        </w:tc>
      </w:tr>
      <w:tr w:rsidR="009B5602">
        <w:trPr>
          <w:trHeight w:val="77"/>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3</w:t>
            </w:r>
          </w:p>
        </w:tc>
        <w:tc>
          <w:tcPr>
            <w:tcW w:w="167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 – Pritegnitev in ohranjanje talentov – Reforma 2: Poenostavitev ureditve za priznavanje kvalifikacij in poklicnih kvalifikacij za opravljanje reguliranih poklicev</w:t>
            </w:r>
          </w:p>
        </w:tc>
        <w:tc>
          <w:tcPr>
            <w:tcW w:w="116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390"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Poenostavitev priznavanja izobrazbe in poklicnih kvalifikacij </w:t>
            </w:r>
          </w:p>
        </w:tc>
        <w:tc>
          <w:tcPr>
            <w:tcW w:w="1729"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Sprejetje v Parlamentu in začetek veljavnosti </w:t>
            </w:r>
          </w:p>
        </w:tc>
        <w:tc>
          <w:tcPr>
            <w:tcW w:w="96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1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134"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Q1</w:t>
            </w:r>
          </w:p>
        </w:tc>
        <w:tc>
          <w:tcPr>
            <w:tcW w:w="992"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439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Sprememba Zakona št. 422/2015 o priznavanju dokazil o izobrazbi in priznavanju poklicnih kvalifikacij omogoča:</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Olajšanje </w:t>
            </w:r>
            <w:r>
              <w:rPr>
                <w:rFonts w:ascii="Times New Roman" w:hAnsi="Times New Roman"/>
                <w:noProof/>
                <w:color w:val="006100"/>
                <w:sz w:val="20"/>
                <w:szCs w:val="20"/>
              </w:rPr>
              <w:t xml:space="preserve">priznavanja diplom/potrdil o usposabljanju za države, s katerimi ima Slovaška dvostranske sporazume na področju priznavanja diplom/dokumentov o usposabljanju, z zmanjšanjem zahtevanih dokumentov prosilca (npr. univerzitetna spričevala o usposobljenosti za </w:t>
            </w:r>
            <w:r>
              <w:rPr>
                <w:rFonts w:ascii="Times New Roman" w:hAnsi="Times New Roman"/>
                <w:noProof/>
                <w:color w:val="006100"/>
                <w:sz w:val="20"/>
                <w:szCs w:val="20"/>
              </w:rPr>
              <w:t>zagotavljanje ustreznega izobraževanja);</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Krepitev kompetenc Centra za priznavanje kvalifikacij (SUDV) za priznavanje dokumentov za potrjevanje visokošolske izobrazbe tudi za države zunaj evropskega visokošolskega prostora (EHEA) brez dvostranskega sporaz</w:t>
            </w:r>
            <w:r>
              <w:rPr>
                <w:rFonts w:ascii="Times New Roman" w:hAnsi="Times New Roman"/>
                <w:noProof/>
                <w:color w:val="006100"/>
                <w:sz w:val="20"/>
                <w:szCs w:val="20"/>
              </w:rPr>
              <w:t>uma, kar bo znatno pospešilo in poenostavilo postopek v primerjavi s sedanjim stanjem, ko so edine upravičene ustanove univerze, da bi olajšale priznavanje diplom/dokumentov za države, s katerimi ima Slovaška sklenjene dvostranske sporazume o priznavanju d</w:t>
            </w:r>
            <w:r>
              <w:rPr>
                <w:rFonts w:ascii="Times New Roman" w:hAnsi="Times New Roman"/>
                <w:noProof/>
                <w:color w:val="006100"/>
                <w:sz w:val="20"/>
                <w:szCs w:val="20"/>
              </w:rPr>
              <w:t>iplom/dokumentov o usposabljanju.</w:t>
            </w:r>
          </w:p>
          <w:p w:rsidR="009B5602" w:rsidRDefault="009B5602">
            <w:pPr>
              <w:spacing w:after="0"/>
              <w:rPr>
                <w:rFonts w:ascii="Times New Roman" w:eastAsia="Times New Roman" w:hAnsi="Times New Roman"/>
                <w:noProof/>
                <w:color w:val="006100"/>
                <w:sz w:val="20"/>
                <w:szCs w:val="20"/>
              </w:rPr>
            </w:pP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Sprememba Zakona št. 578/2004 o izvajalcih zdravstvenega varstva, zdravstvenih delavcih in poklicnih organizacijah v zdravstvenem sektorju omogoča:</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skrajšanje roka za priznavanje dokumentov za nadaljnje usposabljanje vi</w:t>
            </w:r>
            <w:r>
              <w:rPr>
                <w:rFonts w:ascii="Times New Roman" w:hAnsi="Times New Roman"/>
                <w:noProof/>
                <w:color w:val="006100"/>
                <w:sz w:val="20"/>
                <w:szCs w:val="20"/>
              </w:rPr>
              <w:t>soko usposobljenih zdravstvenih delavcev;</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Podaljšanje začasnega pripravništva za zdravnike po pandemiji</w:t>
            </w:r>
          </w:p>
        </w:tc>
      </w:tr>
      <w:tr w:rsidR="009B5602">
        <w:trPr>
          <w:trHeight w:val="1500"/>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4</w:t>
            </w:r>
          </w:p>
        </w:tc>
        <w:tc>
          <w:tcPr>
            <w:tcW w:w="167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10 – Pritegnitev in ohranjanje talentov – Naložba 1: Podporna orodja in pomoč za povratnike, visokokvalificirane delavce iz tretjih držav in </w:t>
            </w:r>
            <w:r>
              <w:rPr>
                <w:rFonts w:ascii="Times New Roman" w:hAnsi="Times New Roman"/>
                <w:noProof/>
                <w:color w:val="006100"/>
                <w:sz w:val="20"/>
                <w:szCs w:val="20"/>
              </w:rPr>
              <w:t>njihove družinske člane ter tuje visokošolske študente, ki študirajo na Slovaškem</w:t>
            </w:r>
          </w:p>
        </w:tc>
        <w:tc>
          <w:tcPr>
            <w:tcW w:w="116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390"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 točk „vse na enem mestu“ za vključevanje na Slovaškem</w:t>
            </w:r>
          </w:p>
        </w:tc>
        <w:tc>
          <w:tcPr>
            <w:tcW w:w="1729" w:type="dxa"/>
            <w:tcBorders>
              <w:top w:val="nil"/>
              <w:left w:val="nil"/>
              <w:bottom w:val="single" w:sz="4" w:space="0" w:color="auto"/>
              <w:right w:val="single" w:sz="4" w:space="0" w:color="auto"/>
            </w:tcBorders>
            <w:shd w:val="clear" w:color="000000" w:fill="C6EFCE"/>
            <w:vAlign w:val="center"/>
            <w:hideMark/>
          </w:tcPr>
          <w:p w:rsidR="009B5602" w:rsidRDefault="009B5602">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število</w:t>
            </w:r>
          </w:p>
        </w:tc>
        <w:tc>
          <w:tcPr>
            <w:tcW w:w="101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3</w:t>
            </w:r>
          </w:p>
        </w:tc>
        <w:tc>
          <w:tcPr>
            <w:tcW w:w="1134"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992"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2023</w:t>
            </w:r>
          </w:p>
        </w:tc>
        <w:tc>
          <w:tcPr>
            <w:tcW w:w="439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Popolnoma delujoči centri (vse na enem mestu), ki zagotavljajo celovite nasvete in st</w:t>
            </w:r>
            <w:r>
              <w:rPr>
                <w:rFonts w:ascii="Times New Roman" w:hAnsi="Times New Roman"/>
                <w:noProof/>
                <w:color w:val="006100"/>
                <w:sz w:val="20"/>
                <w:szCs w:val="20"/>
              </w:rPr>
              <w:t xml:space="preserve">oritve za lažje ustanavljanje na Slovaškem </w:t>
            </w:r>
          </w:p>
          <w:p w:rsidR="009B5602" w:rsidRDefault="009B5602">
            <w:pPr>
              <w:spacing w:after="0"/>
              <w:rPr>
                <w:rFonts w:ascii="Times New Roman" w:eastAsia="Times New Roman" w:hAnsi="Times New Roman"/>
                <w:noProof/>
                <w:color w:val="006100"/>
                <w:sz w:val="20"/>
                <w:szCs w:val="20"/>
              </w:rPr>
            </w:pPr>
          </w:p>
          <w:p w:rsidR="009B5602" w:rsidRDefault="009B5602">
            <w:pPr>
              <w:spacing w:after="0"/>
              <w:rPr>
                <w:rFonts w:ascii="Times New Roman" w:eastAsia="Times New Roman" w:hAnsi="Times New Roman"/>
                <w:noProof/>
                <w:color w:val="006100"/>
                <w:sz w:val="20"/>
                <w:szCs w:val="20"/>
              </w:rPr>
            </w:pPr>
          </w:p>
        </w:tc>
      </w:tr>
      <w:tr w:rsidR="009B5602">
        <w:trPr>
          <w:trHeight w:val="77"/>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5</w:t>
            </w:r>
          </w:p>
        </w:tc>
        <w:tc>
          <w:tcPr>
            <w:tcW w:w="167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10 – Pritegnitev in ohranjanje talentov – Naložba 1: Podporna orodja in pomoč za povratnike, visokokvalificirane delavce iz tretjih držav in njihove družinske člane ter tuje visokošolske študente, ki </w:t>
            </w:r>
            <w:r>
              <w:rPr>
                <w:rFonts w:ascii="Times New Roman" w:hAnsi="Times New Roman"/>
                <w:noProof/>
                <w:color w:val="006100"/>
                <w:sz w:val="20"/>
                <w:szCs w:val="20"/>
              </w:rPr>
              <w:t>študirajo na Slovaškem</w:t>
            </w:r>
          </w:p>
        </w:tc>
        <w:tc>
          <w:tcPr>
            <w:tcW w:w="116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390"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 tujcev, ki uporabljajo storitve informacijskega centra za migracije Mednarodne organizacije za migracije</w:t>
            </w:r>
          </w:p>
        </w:tc>
        <w:tc>
          <w:tcPr>
            <w:tcW w:w="1729" w:type="dxa"/>
            <w:tcBorders>
              <w:top w:val="nil"/>
              <w:left w:val="nil"/>
              <w:bottom w:val="single" w:sz="4" w:space="0" w:color="auto"/>
              <w:right w:val="single" w:sz="4" w:space="0" w:color="auto"/>
            </w:tcBorders>
            <w:shd w:val="clear" w:color="000000" w:fill="C6EFCE"/>
            <w:vAlign w:val="center"/>
            <w:hideMark/>
          </w:tcPr>
          <w:p w:rsidR="009B5602" w:rsidRDefault="009B5602">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1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7 000</w:t>
            </w:r>
          </w:p>
        </w:tc>
        <w:tc>
          <w:tcPr>
            <w:tcW w:w="1134"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Q1</w:t>
            </w:r>
          </w:p>
        </w:tc>
        <w:tc>
          <w:tcPr>
            <w:tcW w:w="992"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439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V obdobju 2022–2024 se od splošnega cilja 7500 upravičencev vsaj 7000 upravičencem zagotov</w:t>
            </w:r>
            <w:r>
              <w:rPr>
                <w:rFonts w:ascii="Times New Roman" w:hAnsi="Times New Roman"/>
                <w:noProof/>
                <w:color w:val="006100"/>
                <w:sz w:val="20"/>
                <w:szCs w:val="20"/>
              </w:rPr>
              <w:t>i storitve informacijskega centra IOM za migracije za njihovo vključevanje na trg dela in v družbo (svetovanje, jezikovni tečaji, spodbujanje družbeno–kulturne usmerjenosti). To vključuje tuje študente, visokokvalificirane delavce, družinske člane in tujce</w:t>
            </w:r>
            <w:r>
              <w:rPr>
                <w:rFonts w:ascii="Times New Roman" w:hAnsi="Times New Roman"/>
                <w:noProof/>
                <w:color w:val="006100"/>
                <w:sz w:val="20"/>
                <w:szCs w:val="20"/>
              </w:rPr>
              <w:t xml:space="preserve">, ki pripadajo izbranim skupinam, opredeljenim v resoluciji o reformi 1, ob upoštevanju gospodarskih interesov Slovaške republike. </w:t>
            </w:r>
          </w:p>
          <w:p w:rsidR="009B5602" w:rsidRDefault="009B5602">
            <w:pPr>
              <w:spacing w:after="0"/>
              <w:rPr>
                <w:rFonts w:ascii="Times New Roman" w:eastAsia="Times New Roman" w:hAnsi="Times New Roman"/>
                <w:noProof/>
                <w:color w:val="006100"/>
                <w:sz w:val="20"/>
                <w:szCs w:val="20"/>
              </w:rPr>
            </w:pPr>
          </w:p>
        </w:tc>
      </w:tr>
      <w:tr w:rsidR="009B5602">
        <w:trPr>
          <w:trHeight w:val="409"/>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6</w:t>
            </w:r>
          </w:p>
        </w:tc>
        <w:tc>
          <w:tcPr>
            <w:tcW w:w="167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 – Pritegnitev in ohranjanje talentov – Naložba 2: Krepitev odnosov z diasporo, podpora državljanskim pobudam</w:t>
            </w:r>
          </w:p>
        </w:tc>
        <w:tc>
          <w:tcPr>
            <w:tcW w:w="116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390"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 podprtih dogodkov za krepitev odnosov z diasporo</w:t>
            </w:r>
          </w:p>
        </w:tc>
        <w:tc>
          <w:tcPr>
            <w:tcW w:w="1729" w:type="dxa"/>
            <w:tcBorders>
              <w:top w:val="nil"/>
              <w:left w:val="nil"/>
              <w:bottom w:val="single" w:sz="4" w:space="0" w:color="auto"/>
              <w:right w:val="single" w:sz="4" w:space="0" w:color="auto"/>
            </w:tcBorders>
            <w:shd w:val="clear" w:color="000000" w:fill="C6EFCE"/>
            <w:vAlign w:val="center"/>
            <w:hideMark/>
          </w:tcPr>
          <w:p w:rsidR="009B5602" w:rsidRDefault="009B5602">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1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200</w:t>
            </w:r>
          </w:p>
        </w:tc>
        <w:tc>
          <w:tcPr>
            <w:tcW w:w="1134"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Q1</w:t>
            </w:r>
          </w:p>
        </w:tc>
        <w:tc>
          <w:tcPr>
            <w:tcW w:w="992"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439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Program podpira 200 družabnih dogodkov z namenom krepitve odnosov s Slovaki v tujini. Namen podprtih dogodkov je povečati učinek drugih reform in medkomponentnih naložb, kot </w:t>
            </w:r>
            <w:r>
              <w:rPr>
                <w:rFonts w:ascii="Times New Roman" w:hAnsi="Times New Roman"/>
                <w:noProof/>
                <w:color w:val="006100"/>
                <w:sz w:val="20"/>
                <w:szCs w:val="20"/>
              </w:rPr>
              <w:t>so:</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Spodbujati učinek spremembe zakona o prebivališču tujcev, ki bo olajšala vrnitev in povečala privlačnost države za tujce, ki imajo družinske vezi s Slovaško.</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Podpirati naložbe 4, tj. dvosmerno mobilnost študentov in internacionalizacijo akademskih </w:t>
            </w:r>
            <w:r>
              <w:rPr>
                <w:rFonts w:ascii="Times New Roman" w:hAnsi="Times New Roman"/>
                <w:noProof/>
                <w:color w:val="006100"/>
                <w:sz w:val="20"/>
                <w:szCs w:val="20"/>
              </w:rPr>
              <w:t>krogov;</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Podpirati učinek naložb v druge komponente, npr. naložb v raziskave, razvoj in inovacije, s spodbujanjem sodelovanja med domačimi evropskimi in drugimi raziskovalnimi ustanovami, v katerih je dejavna slovaška diaspora, ter z večjo ozaveščenostjo </w:t>
            </w:r>
            <w:r>
              <w:rPr>
                <w:rFonts w:ascii="Times New Roman" w:hAnsi="Times New Roman"/>
                <w:noProof/>
                <w:color w:val="006100"/>
                <w:sz w:val="20"/>
                <w:szCs w:val="20"/>
              </w:rPr>
              <w:t>o poklicnih možnostih na Slovaškem.</w:t>
            </w:r>
          </w:p>
        </w:tc>
      </w:tr>
      <w:tr w:rsidR="009B5602">
        <w:trPr>
          <w:trHeight w:val="570"/>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7</w:t>
            </w:r>
          </w:p>
        </w:tc>
        <w:tc>
          <w:tcPr>
            <w:tcW w:w="167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 – Pritegnitev in ohranjanje talentov – Naložba 3: Štipendije za domače in tuje nadarjene študente</w:t>
            </w:r>
          </w:p>
        </w:tc>
        <w:tc>
          <w:tcPr>
            <w:tcW w:w="116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390"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 dodeljenih štipendij za nadarjene študente.</w:t>
            </w:r>
          </w:p>
        </w:tc>
        <w:tc>
          <w:tcPr>
            <w:tcW w:w="1729" w:type="dxa"/>
            <w:tcBorders>
              <w:top w:val="nil"/>
              <w:left w:val="nil"/>
              <w:bottom w:val="single" w:sz="4" w:space="0" w:color="auto"/>
              <w:right w:val="single" w:sz="4" w:space="0" w:color="auto"/>
            </w:tcBorders>
            <w:shd w:val="clear" w:color="000000" w:fill="C6EFCE"/>
            <w:vAlign w:val="center"/>
            <w:hideMark/>
          </w:tcPr>
          <w:p w:rsidR="009B5602" w:rsidRDefault="009B5602">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1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4 500</w:t>
            </w:r>
          </w:p>
        </w:tc>
        <w:tc>
          <w:tcPr>
            <w:tcW w:w="1134"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992"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439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Od splošnega cilja 4800 motivacijskih štipendij se podeli vsaj 4500 motivacijskih štipendij za najbolj nadarjene domače študente, najbolj nadarjene iz tujine in nadarjene socialno prikrajšane študente. </w:t>
            </w:r>
          </w:p>
          <w:p w:rsidR="009B5602" w:rsidRDefault="009B5602">
            <w:pPr>
              <w:spacing w:after="0"/>
              <w:rPr>
                <w:rFonts w:ascii="Times New Roman" w:eastAsia="Times New Roman" w:hAnsi="Times New Roman"/>
                <w:noProof/>
                <w:color w:val="006100"/>
                <w:sz w:val="20"/>
                <w:szCs w:val="20"/>
              </w:rPr>
            </w:pPr>
          </w:p>
        </w:tc>
      </w:tr>
      <w:tr w:rsidR="009B5602">
        <w:trPr>
          <w:trHeight w:val="171"/>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8</w:t>
            </w:r>
          </w:p>
        </w:tc>
        <w:tc>
          <w:tcPr>
            <w:tcW w:w="167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 – Pritegnitev in ohranjanje talentov – Naložba</w:t>
            </w:r>
            <w:r>
              <w:rPr>
                <w:rFonts w:ascii="Times New Roman" w:hAnsi="Times New Roman"/>
                <w:noProof/>
                <w:color w:val="006100"/>
                <w:sz w:val="20"/>
                <w:szCs w:val="20"/>
              </w:rPr>
              <w:t xml:space="preserve"> 4: Spodbujanje internacionalizacije v akademskem okolju</w:t>
            </w:r>
          </w:p>
        </w:tc>
        <w:tc>
          <w:tcPr>
            <w:tcW w:w="116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390"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Strategija za internacionalizacijo univerz</w:t>
            </w:r>
          </w:p>
        </w:tc>
        <w:tc>
          <w:tcPr>
            <w:tcW w:w="1729"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Sprejetje strategije s strani vlade</w:t>
            </w:r>
          </w:p>
        </w:tc>
        <w:tc>
          <w:tcPr>
            <w:tcW w:w="96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1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134"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992"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2021</w:t>
            </w:r>
          </w:p>
        </w:tc>
        <w:tc>
          <w:tcPr>
            <w:tcW w:w="439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Sprejetje strategije za internacionalizacijo univerz, katere cilj je predlagati ukrepe v podporo pr</w:t>
            </w:r>
            <w:r>
              <w:rPr>
                <w:rFonts w:ascii="Times New Roman" w:hAnsi="Times New Roman"/>
                <w:noProof/>
                <w:color w:val="006100"/>
                <w:sz w:val="20"/>
                <w:szCs w:val="20"/>
              </w:rPr>
              <w:t>ipravi skupnih študijskih programov, pritegniti tuje študente in akademike ali izvesti sistemske institucionalne spremembe na slovaških univerzah.</w:t>
            </w:r>
          </w:p>
        </w:tc>
      </w:tr>
      <w:tr w:rsidR="009B5602">
        <w:trPr>
          <w:trHeight w:val="77"/>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9</w:t>
            </w:r>
          </w:p>
        </w:tc>
        <w:tc>
          <w:tcPr>
            <w:tcW w:w="167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 – Pritegnitev in ohranjanje talentov – Naložba 4: Spodbujanje internacionalizacije v akademskem okolju</w:t>
            </w:r>
          </w:p>
        </w:tc>
        <w:tc>
          <w:tcPr>
            <w:tcW w:w="116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390"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 podprtih projektov za spodbujanje ali razvoj internacionalizacije univerz in raziskovalnih ustanov</w:t>
            </w:r>
          </w:p>
        </w:tc>
        <w:tc>
          <w:tcPr>
            <w:tcW w:w="1729" w:type="dxa"/>
            <w:tcBorders>
              <w:top w:val="nil"/>
              <w:left w:val="nil"/>
              <w:bottom w:val="single" w:sz="4" w:space="0" w:color="auto"/>
              <w:right w:val="single" w:sz="4" w:space="0" w:color="auto"/>
            </w:tcBorders>
            <w:shd w:val="clear" w:color="000000" w:fill="C6EFCE"/>
            <w:vAlign w:val="center"/>
            <w:hideMark/>
          </w:tcPr>
          <w:p w:rsidR="009B5602" w:rsidRDefault="009B5602">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17"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28</w:t>
            </w:r>
          </w:p>
        </w:tc>
        <w:tc>
          <w:tcPr>
            <w:tcW w:w="1134"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992" w:type="dxa"/>
            <w:tcBorders>
              <w:top w:val="nil"/>
              <w:left w:val="nil"/>
              <w:bottom w:val="single" w:sz="4" w:space="0" w:color="auto"/>
              <w:right w:val="single" w:sz="4" w:space="0" w:color="auto"/>
            </w:tcBorders>
            <w:shd w:val="clear" w:color="000000"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4394" w:type="dxa"/>
            <w:tcBorders>
              <w:top w:val="nil"/>
              <w:left w:val="nil"/>
              <w:bottom w:val="single" w:sz="4" w:space="0" w:color="auto"/>
              <w:right w:val="single" w:sz="4" w:space="0" w:color="auto"/>
            </w:tcBorders>
            <w:shd w:val="clear" w:color="000000"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Od skupnega cilja 31 projektov podpira vsaj 28 projektov za spodbujanje ali razvoj internacionalizacije univerz in razisko</w:t>
            </w:r>
            <w:r>
              <w:rPr>
                <w:rFonts w:ascii="Times New Roman" w:hAnsi="Times New Roman"/>
                <w:noProof/>
                <w:color w:val="006100"/>
                <w:sz w:val="20"/>
                <w:szCs w:val="20"/>
              </w:rPr>
              <w:t>valnih inštitutov, in sicer z:</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izvajanjem institucionalnih strategij internacionalizacije na ravni univerz (kot so priprava novih programov v tujih jezikih, izboljšanje pripravljenosti domačih visokošolskih učiteljev/dijakov doktorskega študija za delova</w:t>
            </w:r>
            <w:r>
              <w:rPr>
                <w:rFonts w:ascii="Times New Roman" w:hAnsi="Times New Roman"/>
                <w:noProof/>
                <w:color w:val="006100"/>
                <w:sz w:val="20"/>
                <w:szCs w:val="20"/>
              </w:rPr>
              <w:t xml:space="preserve">nje v mednarodnem okolju); </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povečanjem stopnje financiranja za programe štipendij;</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podporo udeležbi univerz na tujih sejmih in prireditvah za zaposlovanje študentov;</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promocijo Slovaške na mednarodnih dogodkih. </w:t>
            </w:r>
          </w:p>
          <w:p w:rsidR="009B5602" w:rsidRDefault="009B5602">
            <w:pPr>
              <w:spacing w:after="0"/>
              <w:rPr>
                <w:rFonts w:ascii="Times New Roman" w:eastAsia="Times New Roman" w:hAnsi="Times New Roman"/>
                <w:noProof/>
                <w:color w:val="006100"/>
                <w:sz w:val="20"/>
                <w:szCs w:val="20"/>
              </w:rPr>
            </w:pPr>
          </w:p>
          <w:p w:rsidR="009B5602" w:rsidRDefault="009B5602">
            <w:pPr>
              <w:spacing w:after="0"/>
              <w:rPr>
                <w:rFonts w:ascii="Times New Roman" w:eastAsia="Times New Roman" w:hAnsi="Times New Roman"/>
                <w:noProof/>
                <w:color w:val="006100"/>
                <w:sz w:val="20"/>
                <w:szCs w:val="20"/>
              </w:rPr>
            </w:pPr>
          </w:p>
        </w:tc>
      </w:tr>
      <w:tr w:rsidR="009B5602">
        <w:trPr>
          <w:trHeight w:val="77"/>
        </w:trPr>
        <w:tc>
          <w:tcPr>
            <w:tcW w:w="70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10</w:t>
            </w:r>
          </w:p>
        </w:tc>
        <w:tc>
          <w:tcPr>
            <w:tcW w:w="167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10 – Pritegnitev in ohranjanje </w:t>
            </w:r>
            <w:r>
              <w:rPr>
                <w:rFonts w:ascii="Times New Roman" w:hAnsi="Times New Roman"/>
                <w:noProof/>
                <w:color w:val="006100"/>
                <w:sz w:val="20"/>
                <w:szCs w:val="20"/>
              </w:rPr>
              <w:t>talentov – Naložba 4: Spodbujanje internacionalizacije v akademskem okolju</w:t>
            </w:r>
          </w:p>
        </w:tc>
        <w:tc>
          <w:tcPr>
            <w:tcW w:w="1161"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390"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Meseci podprtih štipendijskih programov za tujo mobilnost </w:t>
            </w:r>
          </w:p>
        </w:tc>
        <w:tc>
          <w:tcPr>
            <w:tcW w:w="1729"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Število podprtih oseb/mesecev </w:t>
            </w:r>
          </w:p>
        </w:tc>
        <w:tc>
          <w:tcPr>
            <w:tcW w:w="1017"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9 976</w:t>
            </w:r>
          </w:p>
        </w:tc>
        <w:tc>
          <w:tcPr>
            <w:tcW w:w="851"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jc w:val="right"/>
              <w:rPr>
                <w:rFonts w:ascii="Times New Roman" w:eastAsia="Times New Roman" w:hAnsi="Times New Roman"/>
                <w:noProof/>
                <w:color w:val="006100"/>
                <w:sz w:val="20"/>
                <w:szCs w:val="20"/>
              </w:rPr>
            </w:pPr>
            <w:r>
              <w:rPr>
                <w:rFonts w:ascii="Times New Roman" w:hAnsi="Times New Roman"/>
                <w:noProof/>
                <w:color w:val="006100"/>
                <w:sz w:val="20"/>
                <w:szCs w:val="20"/>
              </w:rPr>
              <w:t>17 600</w:t>
            </w:r>
          </w:p>
        </w:tc>
        <w:tc>
          <w:tcPr>
            <w:tcW w:w="1134"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Q1</w:t>
            </w:r>
          </w:p>
        </w:tc>
        <w:tc>
          <w:tcPr>
            <w:tcW w:w="99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439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Kumulativno povečanje števila podprtih projektov mobilnosti v št</w:t>
            </w:r>
            <w:r>
              <w:rPr>
                <w:rFonts w:ascii="Times New Roman" w:hAnsi="Times New Roman"/>
                <w:noProof/>
                <w:color w:val="006100"/>
                <w:sz w:val="20"/>
                <w:szCs w:val="20"/>
              </w:rPr>
              <w:t>ipendijah CEEPUS, štipendijah na podlagi dvostranskih pogodb in slovaškem nacionalnem programu štipendij, in sicer z letnega števila 2494 na 4440 osebnih mesecev v letih 2022–2025</w:t>
            </w:r>
          </w:p>
          <w:p w:rsidR="009B5602" w:rsidRDefault="009B5602">
            <w:pPr>
              <w:spacing w:after="0"/>
              <w:rPr>
                <w:rFonts w:ascii="Times New Roman" w:eastAsia="Times New Roman" w:hAnsi="Times New Roman"/>
                <w:noProof/>
                <w:color w:val="006100"/>
                <w:sz w:val="20"/>
                <w:szCs w:val="20"/>
              </w:rPr>
            </w:pPr>
          </w:p>
          <w:p w:rsidR="009B5602" w:rsidRDefault="009B5602">
            <w:pPr>
              <w:spacing w:after="0"/>
              <w:rPr>
                <w:rFonts w:ascii="Times New Roman" w:eastAsia="Times New Roman" w:hAnsi="Times New Roman"/>
                <w:noProof/>
                <w:color w:val="006100"/>
                <w:sz w:val="20"/>
                <w:szCs w:val="20"/>
              </w:rPr>
            </w:pPr>
          </w:p>
        </w:tc>
      </w:tr>
    </w:tbl>
    <w:p w:rsidR="009B5602" w:rsidRDefault="009B5602">
      <w:pPr>
        <w:spacing w:before="120" w:after="120" w:line="240" w:lineRule="auto"/>
        <w:ind w:left="850"/>
        <w:jc w:val="both"/>
        <w:rPr>
          <w:rFonts w:ascii="Times New Roman" w:hAnsi="Times New Roman"/>
          <w:b/>
          <w:noProof/>
          <w:sz w:val="24"/>
          <w:u w:val="single"/>
        </w:rPr>
      </w:pPr>
    </w:p>
    <w:p w:rsidR="009B5602" w:rsidRDefault="009B5602">
      <w:pPr>
        <w:spacing w:before="120" w:after="120" w:line="240" w:lineRule="auto"/>
        <w:ind w:left="850"/>
        <w:jc w:val="both"/>
        <w:rPr>
          <w:rFonts w:ascii="Times New Roman" w:hAnsi="Times New Roman"/>
          <w:i/>
          <w:iCs/>
          <w:noProof/>
          <w:color w:val="4F81BD"/>
          <w:sz w:val="24"/>
        </w:rPr>
        <w:sectPr w:rsidR="009B5602">
          <w:headerReference w:type="even" r:id="rId132"/>
          <w:headerReference w:type="default" r:id="rId133"/>
          <w:footerReference w:type="even" r:id="rId134"/>
          <w:footerReference w:type="default" r:id="rId135"/>
          <w:headerReference w:type="first" r:id="rId136"/>
          <w:footerReference w:type="first" r:id="rId137"/>
          <w:pgSz w:w="16839" w:h="11907" w:orient="landscape"/>
          <w:pgMar w:top="568" w:right="1134" w:bottom="1418" w:left="1134" w:header="709" w:footer="709" w:gutter="0"/>
          <w:cols w:space="720"/>
          <w:docGrid w:linePitch="360"/>
        </w:sectPr>
      </w:pPr>
    </w:p>
    <w:p w:rsidR="009B5602" w:rsidRDefault="00886830">
      <w:pPr>
        <w:keepNext/>
        <w:tabs>
          <w:tab w:val="left" w:pos="850"/>
        </w:tabs>
        <w:spacing w:before="12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KOMPONENTA 11: </w:t>
      </w:r>
      <w:r>
        <w:rPr>
          <w:rFonts w:ascii="Times New Roman" w:hAnsi="Times New Roman"/>
          <w:b/>
          <w:smallCaps/>
          <w:noProof/>
          <w:sz w:val="24"/>
        </w:rPr>
        <w:t>Sodobno in dostopno zdravstveno varstvo</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Cilj te komponente slovaškega načrta za okrevanje in odpornost je ustvariti sodobno, dostopno in učinkovito bolnišnično mrežo, ki zagotavlja kakovostno zdravstveno varstvo, privlačno okolje za osebje, učinkovite post</w:t>
      </w:r>
      <w:r>
        <w:rPr>
          <w:rFonts w:ascii="Times New Roman" w:hAnsi="Times New Roman"/>
          <w:noProof/>
          <w:sz w:val="24"/>
        </w:rPr>
        <w:t xml:space="preserve">opke in zdravo upravljanje. Cilj je tudi povečati razpoložljivost nujnih zdravstvenih storitev na podlagi potreb nove bolnišnične mreže in okrepiti osnovno zdravstveno varstvo, ki naj bi bila bistvena točka vključevanja v oskrbo pacientov. </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Komponenta vklj</w:t>
      </w:r>
      <w:r>
        <w:rPr>
          <w:rFonts w:ascii="Times New Roman" w:hAnsi="Times New Roman"/>
          <w:noProof/>
          <w:sz w:val="24"/>
        </w:rPr>
        <w:t>učuje pet reform in pet naložb.</w:t>
      </w:r>
    </w:p>
    <w:p w:rsidR="009B5602" w:rsidRDefault="00886830">
      <w:pPr>
        <w:tabs>
          <w:tab w:val="left" w:pos="851"/>
        </w:tabs>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Pričakuje se, da noben ukrep v tej komponenti ne bo znatno škodoval okoljskim ciljem v smislu člena 17 Uredbe (EU) 2020/852, ob upoštevanju opisa ukrepov in ukrepov za ublažitev, določenih v načrtu za okrevanje in odpornost </w:t>
      </w:r>
      <w:r>
        <w:rPr>
          <w:rFonts w:ascii="Times New Roman" w:hAnsi="Times New Roman"/>
          <w:noProof/>
          <w:sz w:val="24"/>
          <w:szCs w:val="24"/>
        </w:rPr>
        <w:t xml:space="preserve">v skladu s tehničnimi smernicami za uporabo načela, da se ne škoduje bistveno (2021/C58/01).  </w:t>
      </w:r>
    </w:p>
    <w:p w:rsidR="009B5602" w:rsidRDefault="00886830">
      <w:pPr>
        <w:tabs>
          <w:tab w:val="left" w:pos="851"/>
        </w:tabs>
        <w:spacing w:before="120" w:after="120" w:line="240" w:lineRule="auto"/>
        <w:jc w:val="both"/>
        <w:rPr>
          <w:rFonts w:ascii="Times New Roman" w:hAnsi="Times New Roman"/>
          <w:b/>
          <w:i/>
          <w:noProof/>
          <w:sz w:val="24"/>
        </w:rPr>
      </w:pPr>
      <w:r>
        <w:rPr>
          <w:rFonts w:ascii="Times New Roman" w:hAnsi="Times New Roman"/>
          <w:noProof/>
          <w:sz w:val="24"/>
        </w:rPr>
        <w:t xml:space="preserve">Ta komponenta obravnava priporočilo za posamezno državo št. 1 iz leta 2020, ki se nanaša na krepitev odpornosti zdravstvenega sistema na področju zdravstvenih </w:t>
      </w:r>
      <w:r>
        <w:rPr>
          <w:rFonts w:ascii="Times New Roman" w:hAnsi="Times New Roman"/>
          <w:noProof/>
          <w:sz w:val="24"/>
        </w:rPr>
        <w:t>delavcev, kritičnih medicinskih izdelkov in infrastrukture; ter izboljšanje zagotavljanja primarnega zdravstvenega varstva in usklajevanja med vrstami zdravstvenega varstva.</w:t>
      </w:r>
    </w:p>
    <w:p w:rsidR="009B5602" w:rsidRDefault="00886830">
      <w:pPr>
        <w:tabs>
          <w:tab w:val="left" w:pos="851"/>
        </w:tabs>
        <w:spacing w:before="120" w:after="120" w:line="240" w:lineRule="auto"/>
        <w:jc w:val="both"/>
        <w:rPr>
          <w:rFonts w:ascii="Times New Roman" w:hAnsi="Times New Roman"/>
          <w:b/>
          <w:i/>
          <w:noProof/>
          <w:sz w:val="24"/>
        </w:rPr>
      </w:pPr>
      <w:r>
        <w:rPr>
          <w:rFonts w:ascii="Times New Roman" w:hAnsi="Times New Roman"/>
          <w:b/>
          <w:noProof/>
          <w:sz w:val="24"/>
          <w:u w:val="single"/>
        </w:rPr>
        <w:t xml:space="preserve">A.1 </w:t>
      </w:r>
      <w:r>
        <w:rPr>
          <w:rFonts w:ascii="Times New Roman" w:hAnsi="Times New Roman"/>
          <w:b/>
          <w:noProof/>
          <w:sz w:val="24"/>
          <w:u w:val="single"/>
        </w:rPr>
        <w:tab/>
        <w:t>Opis reform in naložb za nepovratno finančno podporo</w:t>
      </w:r>
    </w:p>
    <w:p w:rsidR="009B5602" w:rsidRDefault="00886830">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 xml:space="preserve">Reforma 1: Optimizacija </w:t>
      </w:r>
      <w:r>
        <w:rPr>
          <w:rFonts w:ascii="Times New Roman" w:hAnsi="Times New Roman"/>
          <w:b/>
          <w:noProof/>
          <w:sz w:val="24"/>
        </w:rPr>
        <w:t>bolnišnične mreže</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 xml:space="preserve">Cilj reforme je izboljšati kakovost in učinkovitost bolnišničnega zdravstvenega varstva z opredelitvijo tipologije in hierarhije bolnišnične oskrbe ter opredelitvijo minimalnih pogojev za opravljanje zdravstvenih storitev. </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Z reformo se o</w:t>
      </w:r>
      <w:r>
        <w:rPr>
          <w:rFonts w:ascii="Times New Roman" w:hAnsi="Times New Roman"/>
          <w:noProof/>
          <w:sz w:val="24"/>
        </w:rPr>
        <w:t>predelijo profili bolnišnic. Profil pomeni sklop obveznih storitev in drugih zahtev, ki jih mora ponudnik na določeni ravni izpolnjevati. Po spremembi profila mora določena bolnišnica pokrivati več storitev, združenih v določenem profilu. Nekatere bodo raz</w:t>
      </w:r>
      <w:r>
        <w:rPr>
          <w:rFonts w:ascii="Times New Roman" w:hAnsi="Times New Roman"/>
          <w:noProof/>
          <w:sz w:val="24"/>
        </w:rPr>
        <w:t>širile obseg dejavnosti, od drugih pa se pričakuje, da bodo oddelki za akutne postelje preoblikovali v oddelke za dolgotrajno oskrbo.</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Reforma se izvede do 31. decembra 2025.</w:t>
      </w:r>
    </w:p>
    <w:p w:rsidR="009B5602" w:rsidRDefault="00886830">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Reforma 2: Reforma priprave naložbenih projektov na področju zdravja</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Ministrstvo z</w:t>
      </w:r>
      <w:r>
        <w:rPr>
          <w:rFonts w:ascii="Times New Roman" w:hAnsi="Times New Roman"/>
          <w:noProof/>
          <w:sz w:val="24"/>
        </w:rPr>
        <w:t>a zdravje v tesnem sodelovanju z Ministrstvom za finance sprejme načrt za vse projekte naložb v zdravstvo. Načrtu je priložena metodologija za ocenjevanje naložb v zdravstvo, ki določa merila za odločanje na podlagi finančnih, zdravstvenih, družbenih in so</w:t>
      </w:r>
      <w:r>
        <w:rPr>
          <w:rFonts w:ascii="Times New Roman" w:hAnsi="Times New Roman"/>
          <w:noProof/>
          <w:sz w:val="24"/>
        </w:rPr>
        <w:t>cialno–ekonomskih koristi.</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 xml:space="preserve">Reforma se izvede do 30. junija 2022. </w:t>
      </w:r>
    </w:p>
    <w:p w:rsidR="009B5602" w:rsidRDefault="00886830">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Reforma 3: Centralizacija upravljanja največjih bolnišnic</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Reforma bo uvedla centralni sistem upravljanja bolnišnic za 19 državnih bolnišnic, ki vključuje: 1) centralni nadzor, pripravo prora</w:t>
      </w:r>
      <w:r>
        <w:rPr>
          <w:rFonts w:ascii="Times New Roman" w:hAnsi="Times New Roman"/>
          <w:noProof/>
          <w:sz w:val="24"/>
        </w:rPr>
        <w:t>čuna, načrtovanje in spremljanje uspešnosti; 2) postopke za centralizirano nabavo zdravil, medicinskega materiala, opreme; 3) centralizacijo podpornih storitev, kot je računovodstvo; 4) upravljanje človeških virov. Reforma se začne z ustanovitvijo centraln</w:t>
      </w:r>
      <w:r>
        <w:rPr>
          <w:rFonts w:ascii="Times New Roman" w:hAnsi="Times New Roman"/>
          <w:noProof/>
          <w:sz w:val="24"/>
        </w:rPr>
        <w:t xml:space="preserve">ega organa za upravljanje bolnišnic, sledi pa ji pilotni projekt, ki ga sestavlja 19 bolnišnic. Pilotni projekt se konča z oceno, ki sproži možnost naknadne uvedbe standardov za vse bolnišnice v mreži. </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 xml:space="preserve">Reforma se začne izvajati do 31. decembra 2023 in se </w:t>
      </w:r>
      <w:r>
        <w:rPr>
          <w:rFonts w:ascii="Times New Roman" w:hAnsi="Times New Roman"/>
          <w:noProof/>
          <w:sz w:val="24"/>
        </w:rPr>
        <w:t>zaključi do 30. junija 2025.</w:t>
      </w:r>
    </w:p>
    <w:p w:rsidR="009B5602" w:rsidRDefault="00886830">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Reforma 4: Optimizacija mreže akutne zdravstvene oskrbe in nova opredelitev nujne zdravstvene oskrbe</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Reforma obravnava pravne spremembe, ki so potrebne za povečanje splošne razpoložljivosti reševalnih vozil v 15 minutah za zahtevano več kot 90 % prebivalstva države. Sprememba zakona predvideva pravično geografsko porazdelitev reševalnih postaj. Akutno omr</w:t>
      </w:r>
      <w:r>
        <w:rPr>
          <w:rFonts w:ascii="Times New Roman" w:hAnsi="Times New Roman"/>
          <w:noProof/>
          <w:sz w:val="24"/>
        </w:rPr>
        <w:t xml:space="preserve">ežje temelji na povpraševanju po posegih glede na diagnozo in regije, geografski porazdelitvi reševalnih postaj, ob upoštevanju cestnega omrežja in infrastrukture, razpoložljivosti ustreznih vrst bolnišničnih objektov, pri čemer se uporabljajo matematično </w:t>
      </w:r>
      <w:r>
        <w:rPr>
          <w:rFonts w:ascii="Times New Roman" w:hAnsi="Times New Roman"/>
          <w:noProof/>
          <w:sz w:val="24"/>
        </w:rPr>
        <w:t xml:space="preserve">modeliranje in simulacije iz resničnih podatkov (kot je model p–mediana). </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 xml:space="preserve">Uvede se nova opredelitev nujne zdravstvene oskrbe, da se opredeli število pooblaščenih uporabnikov storitev reševanja in kako se odzvati na povpraševanje teh uporabnikov. </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Izvajanj</w:t>
      </w:r>
      <w:r>
        <w:rPr>
          <w:rFonts w:ascii="Times New Roman" w:hAnsi="Times New Roman"/>
          <w:noProof/>
          <w:sz w:val="24"/>
        </w:rPr>
        <w:t>e te reforme se zaključi do 31. marca 2023.</w:t>
      </w:r>
    </w:p>
    <w:p w:rsidR="009B5602" w:rsidRDefault="00886830">
      <w:pPr>
        <w:tabs>
          <w:tab w:val="left" w:pos="851"/>
        </w:tabs>
        <w:spacing w:before="120" w:after="120" w:line="240" w:lineRule="auto"/>
        <w:jc w:val="both"/>
        <w:rPr>
          <w:rFonts w:ascii="Times New Roman" w:hAnsi="Times New Roman"/>
          <w:b/>
          <w:noProof/>
          <w:sz w:val="24"/>
          <w:u w:val="single"/>
        </w:rPr>
      </w:pPr>
      <w:r>
        <w:rPr>
          <w:rFonts w:ascii="Times New Roman" w:hAnsi="Times New Roman"/>
          <w:b/>
          <w:noProof/>
          <w:sz w:val="24"/>
        </w:rPr>
        <w:t>Reforma 5: Reforma zagotavljanja primarnega zdravstvenega varstva za odrasle, otroke in mladino</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 xml:space="preserve">Cilj reforme je zagotoviti dostop do storitev primarnega zdravstvenega varstva v regijah, kjer primanjkuje splošnih </w:t>
      </w:r>
      <w:r>
        <w:rPr>
          <w:rFonts w:ascii="Times New Roman" w:hAnsi="Times New Roman"/>
          <w:noProof/>
          <w:sz w:val="24"/>
        </w:rPr>
        <w:t xml:space="preserve">zdravnikov in pediatrov. </w:t>
      </w:r>
      <w:r>
        <w:rPr>
          <w:noProof/>
        </w:rPr>
        <w:t>Ustrezna zakonodaja opredeli zahteve za optimalno število in lokacijo zdravnikov in pediatrov na največji razdalji (optimalno število zdravnikov, določeno s populacijo okraja in starostno strukturo) ter uvede merila za določanje ob</w:t>
      </w:r>
      <w:r>
        <w:rPr>
          <w:noProof/>
        </w:rPr>
        <w:t>močij in postopek letne ocene.</w:t>
      </w:r>
      <w:r>
        <w:rPr>
          <w:rFonts w:ascii="Times New Roman" w:hAnsi="Times New Roman"/>
          <w:noProof/>
          <w:sz w:val="24"/>
        </w:rPr>
        <w:t xml:space="preserve"> Namen določitve območij je razvrstiti ozemlja glede na resnost ugotovljenega pomanjkanja gensko spremenjenih organizmov. Ta podroben zemljevid vrzeli v zagotavljanju primarnega zdravstvenega varstva omogoča boljše usmerjanje </w:t>
      </w:r>
      <w:r>
        <w:rPr>
          <w:rFonts w:ascii="Times New Roman" w:hAnsi="Times New Roman"/>
          <w:noProof/>
          <w:sz w:val="24"/>
        </w:rPr>
        <w:t>sanacijskih ukrepov, vključno z modulacijo spodbud za zdravnike, da odprejo nove prakse na manj pokritih območjih. Ti bi potem morali imeti dostop do podpore za splošno medicino, zlasti v obliki finančnih subvencij za vzpostavitev in opremljanje dobrih pra</w:t>
      </w:r>
      <w:r>
        <w:rPr>
          <w:rFonts w:ascii="Times New Roman" w:hAnsi="Times New Roman"/>
          <w:noProof/>
          <w:sz w:val="24"/>
        </w:rPr>
        <w:t xml:space="preserve">ks ali kompenzacijskih plačil pri odpiranju nove prakse na manj pokritih območjih (v zvezi z naložbo 1). </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Izvajanje te reforme se zaključi do 30. junija 2022.</w:t>
      </w:r>
    </w:p>
    <w:p w:rsidR="009B5602" w:rsidRDefault="00886830">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 xml:space="preserve">Naložba 1: Podpora odprtju novih praks osnovnega zdravstvenega varstva na manj pokritih območjih </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Splošni cilj je ustvariti 170 ambulantnih praks – podpora se zagotovi za uvedbo vsaj 153 novih praks za splošne zdravnike za odrasle in pediatrije v obliki subvencije za nadomestilo stroškov ambulantne ambulante v prvem letu delovanja. Finančna podpora se</w:t>
      </w:r>
      <w:r>
        <w:rPr>
          <w:rFonts w:ascii="Times New Roman" w:hAnsi="Times New Roman"/>
          <w:noProof/>
          <w:sz w:val="24"/>
        </w:rPr>
        <w:t xml:space="preserve"> zagotovi zdravnikom, ki se odločijo za opravljanje storitev primarnega zdravstvenega varstva na območjih, kjer primanjkuje zdravnikov, da bi nadomestili tveganje in začetne naložbe v prvem letu, ko finančna sredstva iz zavarovanja ne zadostujejo zaradi ma</w:t>
      </w:r>
      <w:r>
        <w:rPr>
          <w:rFonts w:ascii="Times New Roman" w:hAnsi="Times New Roman"/>
          <w:noProof/>
          <w:sz w:val="24"/>
        </w:rPr>
        <w:t>jhnega števila registriranih pacientov. Finančna podpora je začasna, traja eno leto in se mora postopoma zmanjševati, saj se pričakuje, da se bo število registriranih pacientov povečalo. Nove prakse so nato samozadostne in se tako kot vsi drugi financirajo</w:t>
      </w:r>
      <w:r>
        <w:rPr>
          <w:rFonts w:ascii="Times New Roman" w:hAnsi="Times New Roman"/>
          <w:noProof/>
          <w:sz w:val="24"/>
        </w:rPr>
        <w:t xml:space="preserve"> iz javnih zavarovalniških skladov. </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Ta naložba se izvede do 31. decembra 2025.</w:t>
      </w:r>
    </w:p>
    <w:p w:rsidR="009B5602" w:rsidRDefault="00886830">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Naložba 2: Novo bolnišnično omrežje – Gradnja, rekonstrukcija in oprema</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Cilj naložbe je nadgraditi sedanjo infrastrukturo in zgraditi novo, da bo združljiva z zahtevami sodobni</w:t>
      </w:r>
      <w:r>
        <w:rPr>
          <w:rFonts w:ascii="Times New Roman" w:hAnsi="Times New Roman"/>
          <w:noProof/>
          <w:sz w:val="24"/>
        </w:rPr>
        <w:t xml:space="preserve">h zdravstvenih sistemov in prispevala k bolnišničnemu omrežju. Načrt za optimizacijo bolnišnične mreže, ki izhaja iz reforme 1 te komponente (optimizacija bolnišničnega omrežja), je podlaga za to naložbo. </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Naložbe se začnejo z javnim razpisom, v katerem so</w:t>
      </w:r>
      <w:r>
        <w:rPr>
          <w:rFonts w:ascii="Times New Roman" w:hAnsi="Times New Roman"/>
          <w:noProof/>
          <w:sz w:val="24"/>
        </w:rPr>
        <w:t xml:space="preserve"> določene zahteve za zagotavljanje bolnišničnih postelj, v skladu z načelom, da se ne škoduje bistveno. To pomeni, da mora stavba izpolnjevati zahteve glede visoke energetske učinkovitosti za nove bolnišnice in pridobiti metodo za presojo vplivov na okolje</w:t>
      </w:r>
      <w:r>
        <w:rPr>
          <w:rFonts w:ascii="Times New Roman" w:hAnsi="Times New Roman"/>
          <w:noProof/>
          <w:sz w:val="24"/>
        </w:rPr>
        <w:t xml:space="preserve"> v zvezi s stavbami za gradnjo certifikatov (BREEAM). Za obnovljeno stavbo je treba doseči 30 % prihrankov primarne energije. Od skupnega cilja 2 666 bolniških postelj se ustvari ali obnovi vsaj 2 400 bolnišničnih postelj.</w:t>
      </w:r>
      <w:r>
        <w:rPr>
          <w:noProof/>
        </w:rPr>
        <w:t xml:space="preserve"> </w:t>
      </w:r>
      <w:r>
        <w:rPr>
          <w:rFonts w:ascii="Times New Roman" w:hAnsi="Times New Roman"/>
          <w:noProof/>
          <w:sz w:val="24"/>
        </w:rPr>
        <w:t>Za lažjo pripravo in izvajanje te</w:t>
      </w:r>
      <w:r>
        <w:rPr>
          <w:rFonts w:ascii="Times New Roman" w:hAnsi="Times New Roman"/>
          <w:noProof/>
          <w:sz w:val="24"/>
        </w:rPr>
        <w:t xml:space="preserve">h projektov se ustanovi posebna agencija. </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Naložba se izvede do 31. decembra 2025.</w:t>
      </w:r>
    </w:p>
    <w:p w:rsidR="009B5602" w:rsidRDefault="00886830">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Naložba 3: Digitalizacija na področju zdravja</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Naložbe podpirajo izvajanje reforme 3 te komponente – Centralizacija upravljanja največjih bolnišnic.</w:t>
      </w:r>
      <w:r>
        <w:rPr>
          <w:rFonts w:ascii="Times New Roman" w:hAnsi="Times New Roman"/>
          <w:b/>
          <w:noProof/>
          <w:sz w:val="24"/>
        </w:rPr>
        <w:t xml:space="preserve"> </w:t>
      </w:r>
      <w:r>
        <w:rPr>
          <w:rFonts w:ascii="Times New Roman" w:hAnsi="Times New Roman"/>
          <w:noProof/>
          <w:sz w:val="24"/>
        </w:rPr>
        <w:t>Centralizacija sistemov za načrtovanje virov podjetij (ERP) (za skupni servisni center) se izvede v okviru pilotnega projekta 19 bolnišnic, za katere je odgovorno ministrstvo za zdravje. Predpostavlja se, da te bolnišnice ostanejo v bolnišničnem omrežju po</w:t>
      </w:r>
      <w:r>
        <w:rPr>
          <w:rFonts w:ascii="Times New Roman" w:hAnsi="Times New Roman"/>
          <w:noProof/>
          <w:sz w:val="24"/>
        </w:rPr>
        <w:t xml:space="preserve"> dokončanju bolnišničnega omrežja. Pri pripravi sistemov se upošteva vključitev v načrtovani centralni informacijski sistem bolnišnic. </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Ta naložba se izvede do 31. decembra 2025.</w:t>
      </w:r>
    </w:p>
    <w:p w:rsidR="009B5602" w:rsidRDefault="00886830">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Naložba 4: Gradnja in sanacija reševalnih postaj</w:t>
      </w:r>
    </w:p>
    <w:p w:rsidR="009B5602" w:rsidRDefault="00886830">
      <w:pPr>
        <w:tabs>
          <w:tab w:val="left" w:pos="851"/>
        </w:tabs>
        <w:spacing w:before="120" w:after="120" w:line="240" w:lineRule="auto"/>
        <w:jc w:val="both"/>
        <w:rPr>
          <w:rFonts w:ascii="Times New Roman" w:hAnsi="Times New Roman"/>
          <w:i/>
          <w:noProof/>
          <w:sz w:val="24"/>
        </w:rPr>
      </w:pPr>
      <w:r>
        <w:rPr>
          <w:rFonts w:ascii="Times New Roman" w:hAnsi="Times New Roman"/>
          <w:noProof/>
          <w:sz w:val="24"/>
        </w:rPr>
        <w:t>Cilj naložbe je izvesti refo</w:t>
      </w:r>
      <w:r>
        <w:rPr>
          <w:rFonts w:ascii="Times New Roman" w:hAnsi="Times New Roman"/>
          <w:noProof/>
          <w:sz w:val="24"/>
        </w:rPr>
        <w:t>rmo 1 te komponente:</w:t>
      </w:r>
      <w:r>
        <w:rPr>
          <w:rFonts w:ascii="Times New Roman" w:hAnsi="Times New Roman"/>
          <w:b/>
          <w:noProof/>
          <w:sz w:val="24"/>
        </w:rPr>
        <w:t xml:space="preserve"> </w:t>
      </w:r>
      <w:r>
        <w:rPr>
          <w:rFonts w:ascii="Times New Roman" w:hAnsi="Times New Roman"/>
          <w:noProof/>
          <w:sz w:val="24"/>
        </w:rPr>
        <w:t xml:space="preserve">Optimizacija bolnišničnega omrežja in reforma 4 te komponente, Optimizacija mreže akutne zdravstvene oskrbe in nova opredelitev nujne zdravstvene oskrbe, zagotavljanje prenosa postaj v skladu z novo mrežo akutne oskrbe in zahtevami za </w:t>
      </w:r>
      <w:r>
        <w:rPr>
          <w:rFonts w:ascii="Times New Roman" w:hAnsi="Times New Roman"/>
          <w:noProof/>
          <w:sz w:val="24"/>
        </w:rPr>
        <w:t xml:space="preserve">novo bolnišnično mrežo. Del prenesenih postaj se zagotovi z rekonstrukcijo primernih prostorov, drug del pa je treba obnoviti z ustrezno opremo. Naložba se nanaša na gradnjo ali obnovo 55 manjših reševalnih postaj. </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Ta naložba se izvede do 30. junija 2025.</w:t>
      </w:r>
    </w:p>
    <w:p w:rsidR="009B5602" w:rsidRDefault="00886830">
      <w:pPr>
        <w:spacing w:before="120" w:after="120" w:line="240" w:lineRule="auto"/>
        <w:jc w:val="both"/>
        <w:rPr>
          <w:rFonts w:ascii="Times New Roman" w:eastAsia="Times New Roman" w:hAnsi="Times New Roman"/>
          <w:b/>
          <w:bCs/>
          <w:noProof/>
          <w:sz w:val="24"/>
          <w:szCs w:val="26"/>
        </w:rPr>
      </w:pPr>
      <w:r>
        <w:rPr>
          <w:rFonts w:ascii="Times New Roman" w:hAnsi="Times New Roman"/>
          <w:b/>
          <w:bCs/>
          <w:noProof/>
          <w:sz w:val="24"/>
          <w:szCs w:val="26"/>
        </w:rPr>
        <w:t>Naložba 5: Obnova voznega parka za prevoz z reševalnimi vozili</w:t>
      </w:r>
    </w:p>
    <w:p w:rsidR="009B5602" w:rsidRDefault="00886830">
      <w:pPr>
        <w:spacing w:before="120" w:after="120" w:line="240" w:lineRule="auto"/>
        <w:jc w:val="both"/>
        <w:rPr>
          <w:rFonts w:ascii="Times New Roman" w:eastAsia="Times New Roman" w:hAnsi="Times New Roman"/>
          <w:bCs/>
          <w:noProof/>
          <w:sz w:val="24"/>
          <w:szCs w:val="26"/>
        </w:rPr>
      </w:pPr>
      <w:r>
        <w:rPr>
          <w:rFonts w:ascii="Times New Roman" w:hAnsi="Times New Roman"/>
          <w:b/>
          <w:bCs/>
          <w:noProof/>
          <w:sz w:val="24"/>
          <w:szCs w:val="26"/>
        </w:rPr>
        <w:t xml:space="preserve"> </w:t>
      </w:r>
      <w:r>
        <w:rPr>
          <w:rFonts w:ascii="Times New Roman" w:hAnsi="Times New Roman"/>
          <w:bCs/>
          <w:noProof/>
          <w:sz w:val="24"/>
          <w:szCs w:val="26"/>
        </w:rPr>
        <w:t>Nakup in oprema reševalnih vozil za prevoz z reševalnimi vozili naj bi izpolnjevala visoke kakovostne in varnostne zahteve za zagotavljanje nujne medicinske oskrbe na terenu, pa tudi druga po</w:t>
      </w:r>
      <w:r>
        <w:rPr>
          <w:rFonts w:ascii="Times New Roman" w:hAnsi="Times New Roman"/>
          <w:bCs/>
          <w:noProof/>
          <w:sz w:val="24"/>
          <w:szCs w:val="26"/>
        </w:rPr>
        <w:t xml:space="preserve">trebna operativna vozila – namizni računalnik, vozila za prevoz na terenu in vozila za množični prevoz in vaje. Nakup 197 vozil je popolnoma v skladu z načelom, da se ne škoduje bistveno. </w:t>
      </w:r>
    </w:p>
    <w:p w:rsidR="009B5602" w:rsidRDefault="00886830">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Ta naložba se izvede do 31. decembra 2024.</w:t>
      </w:r>
    </w:p>
    <w:p w:rsidR="009B5602" w:rsidRDefault="009B5602">
      <w:pPr>
        <w:spacing w:before="120" w:after="120" w:line="240" w:lineRule="auto"/>
        <w:jc w:val="both"/>
        <w:rPr>
          <w:rFonts w:ascii="Times New Roman" w:hAnsi="Times New Roman"/>
          <w:b/>
          <w:noProof/>
          <w:sz w:val="24"/>
          <w:u w:val="single"/>
        </w:rPr>
        <w:sectPr w:rsidR="009B5602">
          <w:headerReference w:type="even" r:id="rId138"/>
          <w:headerReference w:type="default" r:id="rId139"/>
          <w:footerReference w:type="even" r:id="rId140"/>
          <w:footerReference w:type="default" r:id="rId141"/>
          <w:headerReference w:type="first" r:id="rId142"/>
          <w:footerReference w:type="first" r:id="rId143"/>
          <w:pgSz w:w="11907" w:h="16839"/>
          <w:pgMar w:top="1134" w:right="1418" w:bottom="1134" w:left="1418" w:header="709" w:footer="709" w:gutter="0"/>
          <w:cols w:space="720"/>
          <w:docGrid w:linePitch="360"/>
        </w:sectPr>
      </w:pPr>
    </w:p>
    <w:p w:rsidR="009B5602" w:rsidRDefault="00886830">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Mejniki, cilji, kazalniki in časovni razpored za spremljanje in izvajanje nepovratne finančne podpore</w:t>
      </w:r>
    </w:p>
    <w:p w:rsidR="009B5602" w:rsidRDefault="009B5602">
      <w:pPr>
        <w:spacing w:before="120" w:after="120" w:line="240" w:lineRule="auto"/>
        <w:jc w:val="both"/>
        <w:rPr>
          <w:rFonts w:ascii="Times New Roman" w:hAnsi="Times New Roman"/>
          <w:i/>
          <w:iCs/>
          <w:noProof/>
          <w:color w:val="4F81BD"/>
          <w:sz w:val="24"/>
        </w:rPr>
      </w:pPr>
    </w:p>
    <w:tbl>
      <w:tblPr>
        <w:tblW w:w="15537" w:type="dxa"/>
        <w:tblInd w:w="-601" w:type="dxa"/>
        <w:tblLook w:val="04A0" w:firstRow="1" w:lastRow="0" w:firstColumn="1" w:lastColumn="0" w:noHBand="0" w:noVBand="1"/>
      </w:tblPr>
      <w:tblGrid>
        <w:gridCol w:w="678"/>
        <w:gridCol w:w="1361"/>
        <w:gridCol w:w="1574"/>
        <w:gridCol w:w="1610"/>
        <w:gridCol w:w="1955"/>
        <w:gridCol w:w="1097"/>
        <w:gridCol w:w="1139"/>
        <w:gridCol w:w="838"/>
        <w:gridCol w:w="1121"/>
        <w:gridCol w:w="819"/>
        <w:gridCol w:w="3345"/>
      </w:tblGrid>
      <w:tr w:rsidR="009B5602">
        <w:trPr>
          <w:trHeight w:val="630"/>
        </w:trPr>
        <w:tc>
          <w:tcPr>
            <w:tcW w:w="689" w:type="dxa"/>
            <w:vMerge w:val="restart"/>
            <w:tcBorders>
              <w:top w:val="single" w:sz="4" w:space="0" w:color="auto"/>
              <w:left w:val="single" w:sz="4" w:space="0" w:color="auto"/>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Zap. št.</w:t>
            </w:r>
          </w:p>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1361"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Povezani ukrep (reforma ali naložba)</w:t>
            </w:r>
          </w:p>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1636"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Mejnik/cilj</w:t>
            </w:r>
          </w:p>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1418"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Ime</w:t>
            </w:r>
          </w:p>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1984"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Kvalitativni kazalniki (za</w:t>
            </w:r>
            <w:r>
              <w:rPr>
                <w:rFonts w:ascii="Times New Roman" w:hAnsi="Times New Roman"/>
                <w:b/>
                <w:noProof/>
                <w:sz w:val="20"/>
                <w:szCs w:val="20"/>
              </w:rPr>
              <w:t xml:space="preserve"> mejnike)</w:t>
            </w:r>
          </w:p>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w:t>
            </w:r>
          </w:p>
        </w:tc>
        <w:tc>
          <w:tcPr>
            <w:tcW w:w="2977" w:type="dxa"/>
            <w:gridSpan w:val="3"/>
            <w:tcBorders>
              <w:top w:val="single" w:sz="4" w:space="0" w:color="auto"/>
              <w:left w:val="nil"/>
              <w:bottom w:val="single" w:sz="4" w:space="0" w:color="auto"/>
              <w:right w:val="single" w:sz="4" w:space="0" w:color="000000"/>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Kvantitativni kazalniki (za cilje)</w:t>
            </w:r>
          </w:p>
        </w:tc>
        <w:tc>
          <w:tcPr>
            <w:tcW w:w="1984" w:type="dxa"/>
            <w:gridSpan w:val="2"/>
            <w:tcBorders>
              <w:top w:val="single" w:sz="4" w:space="0" w:color="auto"/>
              <w:left w:val="nil"/>
              <w:bottom w:val="single" w:sz="4" w:space="0" w:color="auto"/>
              <w:right w:val="single" w:sz="4" w:space="0" w:color="000000"/>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 xml:space="preserve">Okvirni časovni razpored za dokončanje </w:t>
            </w:r>
          </w:p>
        </w:tc>
        <w:tc>
          <w:tcPr>
            <w:tcW w:w="3488" w:type="dxa"/>
            <w:tcBorders>
              <w:top w:val="single" w:sz="4" w:space="0" w:color="auto"/>
              <w:left w:val="nil"/>
              <w:bottom w:val="nil"/>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Opis in jasna opredelitev vsakega mejnika in cilja</w:t>
            </w:r>
          </w:p>
        </w:tc>
      </w:tr>
      <w:tr w:rsidR="009B5602">
        <w:trPr>
          <w:trHeight w:val="453"/>
        </w:trPr>
        <w:tc>
          <w:tcPr>
            <w:tcW w:w="689" w:type="dxa"/>
            <w:vMerge/>
            <w:tcBorders>
              <w:left w:val="single" w:sz="4" w:space="0" w:color="auto"/>
              <w:bottom w:val="single" w:sz="4" w:space="0" w:color="auto"/>
              <w:right w:val="single" w:sz="4" w:space="0" w:color="auto"/>
            </w:tcBorders>
            <w:shd w:val="clear" w:color="auto" w:fill="BDD7EE"/>
            <w:vAlign w:val="center"/>
            <w:hideMark/>
          </w:tcPr>
          <w:p w:rsidR="009B5602" w:rsidRDefault="009B5602">
            <w:pPr>
              <w:spacing w:after="0" w:line="240" w:lineRule="auto"/>
              <w:jc w:val="center"/>
              <w:rPr>
                <w:rFonts w:ascii="Times New Roman" w:eastAsia="Times New Roman" w:hAnsi="Times New Roman"/>
                <w:b/>
                <w:noProof/>
                <w:sz w:val="20"/>
                <w:szCs w:val="20"/>
              </w:rPr>
            </w:pPr>
          </w:p>
        </w:tc>
        <w:tc>
          <w:tcPr>
            <w:tcW w:w="1361" w:type="dxa"/>
            <w:vMerge/>
            <w:tcBorders>
              <w:left w:val="nil"/>
              <w:bottom w:val="single" w:sz="4" w:space="0" w:color="auto"/>
              <w:right w:val="single" w:sz="4" w:space="0" w:color="auto"/>
            </w:tcBorders>
            <w:shd w:val="clear" w:color="auto" w:fill="BDD7EE"/>
            <w:vAlign w:val="center"/>
            <w:hideMark/>
          </w:tcPr>
          <w:p w:rsidR="009B5602" w:rsidRDefault="009B5602">
            <w:pPr>
              <w:spacing w:after="0" w:line="240" w:lineRule="auto"/>
              <w:jc w:val="center"/>
              <w:rPr>
                <w:rFonts w:ascii="Times New Roman" w:eastAsia="Times New Roman" w:hAnsi="Times New Roman"/>
                <w:b/>
                <w:noProof/>
                <w:sz w:val="20"/>
                <w:szCs w:val="20"/>
              </w:rPr>
            </w:pPr>
          </w:p>
        </w:tc>
        <w:tc>
          <w:tcPr>
            <w:tcW w:w="1636" w:type="dxa"/>
            <w:vMerge/>
            <w:tcBorders>
              <w:left w:val="nil"/>
              <w:bottom w:val="single" w:sz="4" w:space="0" w:color="auto"/>
              <w:right w:val="single" w:sz="4" w:space="0" w:color="auto"/>
            </w:tcBorders>
            <w:shd w:val="clear" w:color="auto" w:fill="BDD7EE"/>
            <w:vAlign w:val="center"/>
            <w:hideMark/>
          </w:tcPr>
          <w:p w:rsidR="009B5602" w:rsidRDefault="009B5602">
            <w:pPr>
              <w:spacing w:after="0" w:line="240" w:lineRule="auto"/>
              <w:jc w:val="center"/>
              <w:rPr>
                <w:rFonts w:ascii="Times New Roman" w:eastAsia="Times New Roman" w:hAnsi="Times New Roman"/>
                <w:b/>
                <w:noProof/>
                <w:sz w:val="20"/>
                <w:szCs w:val="20"/>
              </w:rPr>
            </w:pPr>
          </w:p>
        </w:tc>
        <w:tc>
          <w:tcPr>
            <w:tcW w:w="1418" w:type="dxa"/>
            <w:vMerge/>
            <w:tcBorders>
              <w:left w:val="nil"/>
              <w:bottom w:val="single" w:sz="4" w:space="0" w:color="auto"/>
              <w:right w:val="single" w:sz="4" w:space="0" w:color="auto"/>
            </w:tcBorders>
            <w:shd w:val="clear" w:color="auto" w:fill="BDD7EE"/>
            <w:vAlign w:val="center"/>
            <w:hideMark/>
          </w:tcPr>
          <w:p w:rsidR="009B5602" w:rsidRDefault="009B5602">
            <w:pPr>
              <w:spacing w:after="0" w:line="240" w:lineRule="auto"/>
              <w:jc w:val="center"/>
              <w:rPr>
                <w:rFonts w:ascii="Times New Roman" w:eastAsia="Times New Roman" w:hAnsi="Times New Roman"/>
                <w:b/>
                <w:noProof/>
                <w:sz w:val="20"/>
                <w:szCs w:val="20"/>
              </w:rPr>
            </w:pPr>
          </w:p>
        </w:tc>
        <w:tc>
          <w:tcPr>
            <w:tcW w:w="1984" w:type="dxa"/>
            <w:vMerge/>
            <w:tcBorders>
              <w:left w:val="nil"/>
              <w:bottom w:val="single" w:sz="4" w:space="0" w:color="auto"/>
              <w:right w:val="single" w:sz="4" w:space="0" w:color="auto"/>
            </w:tcBorders>
            <w:shd w:val="clear" w:color="auto" w:fill="BDD7EE"/>
            <w:vAlign w:val="center"/>
            <w:hideMark/>
          </w:tcPr>
          <w:p w:rsidR="009B5602" w:rsidRDefault="009B5602">
            <w:pPr>
              <w:spacing w:after="0" w:line="240" w:lineRule="auto"/>
              <w:jc w:val="center"/>
              <w:rPr>
                <w:rFonts w:ascii="Times New Roman" w:eastAsia="Times New Roman" w:hAnsi="Times New Roman"/>
                <w:b/>
                <w:noProof/>
                <w:sz w:val="20"/>
                <w:szCs w:val="20"/>
              </w:rPr>
            </w:pPr>
          </w:p>
        </w:tc>
        <w:tc>
          <w:tcPr>
            <w:tcW w:w="1134"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merska enota</w:t>
            </w:r>
          </w:p>
        </w:tc>
        <w:tc>
          <w:tcPr>
            <w:tcW w:w="992"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Izhodiščna raven</w:t>
            </w:r>
          </w:p>
        </w:tc>
        <w:tc>
          <w:tcPr>
            <w:tcW w:w="851"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Ciljna raven</w:t>
            </w:r>
          </w:p>
        </w:tc>
        <w:tc>
          <w:tcPr>
            <w:tcW w:w="1134"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Četrtletje</w:t>
            </w:r>
          </w:p>
        </w:tc>
        <w:tc>
          <w:tcPr>
            <w:tcW w:w="850"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line="240" w:lineRule="auto"/>
              <w:jc w:val="center"/>
              <w:rPr>
                <w:rFonts w:ascii="Times New Roman" w:eastAsia="Times New Roman" w:hAnsi="Times New Roman"/>
                <w:b/>
                <w:noProof/>
                <w:sz w:val="20"/>
                <w:szCs w:val="20"/>
              </w:rPr>
            </w:pPr>
            <w:r>
              <w:rPr>
                <w:rFonts w:ascii="Times New Roman" w:hAnsi="Times New Roman"/>
                <w:b/>
                <w:noProof/>
                <w:sz w:val="20"/>
                <w:szCs w:val="20"/>
              </w:rPr>
              <w:t>Leto</w:t>
            </w:r>
          </w:p>
        </w:tc>
        <w:tc>
          <w:tcPr>
            <w:tcW w:w="3488" w:type="dxa"/>
            <w:tcBorders>
              <w:top w:val="single" w:sz="4" w:space="0" w:color="auto"/>
              <w:left w:val="nil"/>
              <w:bottom w:val="single" w:sz="4" w:space="0" w:color="auto"/>
              <w:right w:val="single" w:sz="4" w:space="0" w:color="auto"/>
            </w:tcBorders>
            <w:shd w:val="clear" w:color="auto" w:fill="BDD7EE"/>
            <w:vAlign w:val="center"/>
            <w:hideMark/>
          </w:tcPr>
          <w:p w:rsidR="009B5602" w:rsidRDefault="009B5602">
            <w:pPr>
              <w:spacing w:after="0" w:line="240" w:lineRule="auto"/>
              <w:rPr>
                <w:rFonts w:ascii="Times New Roman" w:eastAsia="Times New Roman" w:hAnsi="Times New Roman"/>
                <w:b/>
                <w:noProof/>
                <w:sz w:val="20"/>
                <w:szCs w:val="20"/>
              </w:rPr>
            </w:pPr>
          </w:p>
        </w:tc>
      </w:tr>
      <w:tr w:rsidR="009B5602">
        <w:trPr>
          <w:trHeight w:val="1155"/>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1</w:t>
            </w:r>
          </w:p>
        </w:tc>
        <w:tc>
          <w:tcPr>
            <w:tcW w:w="13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11 – Sodobno in dostopno zdravstveno varstvo – </w:t>
            </w:r>
            <w:r>
              <w:rPr>
                <w:rFonts w:ascii="Times New Roman" w:hAnsi="Times New Roman"/>
                <w:noProof/>
                <w:color w:val="006100"/>
                <w:sz w:val="20"/>
                <w:szCs w:val="20"/>
              </w:rPr>
              <w:t>Reforma 1 Optimizacija bolnišnične mreže (ZN)</w:t>
            </w:r>
          </w:p>
        </w:tc>
        <w:tc>
          <w:tcPr>
            <w:tcW w:w="163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41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Vzpostavitev bolnišnične mreže </w:t>
            </w:r>
          </w:p>
          <w:p w:rsidR="009B5602" w:rsidRDefault="009B5602">
            <w:pPr>
              <w:spacing w:after="0" w:line="240" w:lineRule="auto"/>
              <w:rPr>
                <w:rFonts w:ascii="Times New Roman" w:eastAsia="Times New Roman" w:hAnsi="Times New Roman"/>
                <w:noProof/>
                <w:color w:val="006100"/>
                <w:sz w:val="20"/>
                <w:szCs w:val="20"/>
              </w:rPr>
            </w:pPr>
          </w:p>
        </w:tc>
        <w:tc>
          <w:tcPr>
            <w:tcW w:w="198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Začetek veljavnosti zakonodajne spremembe </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Q1</w:t>
            </w:r>
          </w:p>
        </w:tc>
        <w:tc>
          <w:tcPr>
            <w:tcW w:w="850"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488"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rPr>
                <w:rFonts w:ascii="Times New Roman" w:eastAsia="Times New Roman" w:hAnsi="Times New Roman"/>
                <w:noProof/>
                <w:color w:val="006100"/>
                <w:sz w:val="20"/>
                <w:szCs w:val="20"/>
              </w:rPr>
            </w:pPr>
          </w:p>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Zakonodajne spremembe zakonov in z njimi povezanih pravnih aktov (zakoni so vključevali: 576/2004, 577/2004, 578/20</w:t>
            </w:r>
            <w:r>
              <w:rPr>
                <w:rFonts w:ascii="Times New Roman" w:hAnsi="Times New Roman"/>
                <w:noProof/>
                <w:color w:val="006100"/>
                <w:sz w:val="20"/>
                <w:szCs w:val="20"/>
              </w:rPr>
              <w:t xml:space="preserve">04, 579/2004, 581/2004) z uvedbo optimizacije bolnišnične mreže se opredeli hierarhija izvajalcev bolnišnične oskrbe glede na kompleksnost zagotovljene oskrbe, obseg storitev in časovno dostopnost. </w:t>
            </w:r>
          </w:p>
          <w:p w:rsidR="009B5602" w:rsidRDefault="009B5602">
            <w:pPr>
              <w:spacing w:after="0" w:line="240" w:lineRule="auto"/>
              <w:rPr>
                <w:rFonts w:ascii="Times New Roman" w:eastAsia="Times New Roman" w:hAnsi="Times New Roman"/>
                <w:noProof/>
                <w:color w:val="006100"/>
                <w:sz w:val="20"/>
                <w:szCs w:val="20"/>
              </w:rPr>
            </w:pPr>
          </w:p>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Izvajalci bolnišnične oskrbe bodo imeli 5 ravni. Zakon določa obvezne storitve, ki jih morajo ponudniki zagotavljati na vsaki ravni. Poleg tega določa kazalnike kakovosti, zahteve za tehnično opremo, zmogljivosti osebja in čakalne dobe za nekatere storitve</w:t>
            </w:r>
            <w:r>
              <w:rPr>
                <w:rFonts w:ascii="Times New Roman" w:hAnsi="Times New Roman"/>
                <w:noProof/>
                <w:color w:val="006100"/>
                <w:sz w:val="20"/>
                <w:szCs w:val="20"/>
              </w:rPr>
              <w:t xml:space="preserve">. </w:t>
            </w:r>
          </w:p>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w:t>
            </w:r>
          </w:p>
        </w:tc>
      </w:tr>
      <w:tr w:rsidR="009B5602">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w:t>
            </w:r>
          </w:p>
        </w:tc>
        <w:tc>
          <w:tcPr>
            <w:tcW w:w="13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 – Sodobno in dostopno zdravstveno varstvo – Reforma 1 Optimizacija bolnišnične mreže (ZN)</w:t>
            </w:r>
          </w:p>
        </w:tc>
        <w:tc>
          <w:tcPr>
            <w:tcW w:w="163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41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Delež obnovljenih bolnišnic (pooblaščenih v okviru splošnih in specializiranih bolnišnic) v okviru nove bolnišnične mreže</w:t>
            </w:r>
          </w:p>
        </w:tc>
        <w:tc>
          <w:tcPr>
            <w:tcW w:w="1984"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w:t>
            </w:r>
          </w:p>
        </w:tc>
        <w:tc>
          <w:tcPr>
            <w:tcW w:w="992"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40</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850"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48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V prehodnem</w:t>
            </w:r>
            <w:r>
              <w:rPr>
                <w:rFonts w:ascii="Times New Roman" w:hAnsi="Times New Roman"/>
                <w:noProof/>
                <w:color w:val="006100"/>
                <w:sz w:val="20"/>
                <w:szCs w:val="20"/>
              </w:rPr>
              <w:t xml:space="preserve"> obdobju se od bolnišnic in zdravstvenih zavarovalnic zahteva, da ravnajo v skladu z na novo opredeljenimi pravili.</w:t>
            </w:r>
          </w:p>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40 % sedanjih bolnišnic (bolnišnic, odobrenih v okviru splošnih in specializiranih bolnišnic) se ponovno profilira v skladu z novo reformo. </w:t>
            </w:r>
            <w:r>
              <w:rPr>
                <w:rFonts w:ascii="Times New Roman" w:hAnsi="Times New Roman"/>
                <w:noProof/>
                <w:color w:val="006100"/>
                <w:sz w:val="20"/>
                <w:szCs w:val="20"/>
              </w:rPr>
              <w:t xml:space="preserve">  </w:t>
            </w:r>
          </w:p>
        </w:tc>
      </w:tr>
      <w:tr w:rsidR="009B5602">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3</w:t>
            </w:r>
          </w:p>
        </w:tc>
        <w:tc>
          <w:tcPr>
            <w:tcW w:w="13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 – Sodobno in dostopno zdravstveno varstvo – Reforma 2 Reforma priprave načrtov naložb v zdravstvo</w:t>
            </w:r>
          </w:p>
        </w:tc>
        <w:tc>
          <w:tcPr>
            <w:tcW w:w="163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41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Prednostni naložbeni načrt v skladu z metodologijo vrednotenja naložb, ki jo je sprejelo Ministrstvo za zdravje </w:t>
            </w:r>
          </w:p>
        </w:tc>
        <w:tc>
          <w:tcPr>
            <w:tcW w:w="198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prednostni naložbeni načrt, objavljen na spletni strani Ministrstva za zdravje  </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both"/>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850"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488"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p w:rsidR="009B5602" w:rsidRDefault="00886830">
            <w:pPr>
              <w:spacing w:before="120" w:after="12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Načrt zajema vse naložbe, ki se financirajo iz načrta za okrevanje in odpornost ter strukturnih skladov EU, in začne te projekte prednostno pripravljati za izvajan</w:t>
            </w:r>
            <w:r>
              <w:rPr>
                <w:rFonts w:ascii="Times New Roman" w:hAnsi="Times New Roman"/>
                <w:noProof/>
                <w:color w:val="006100"/>
                <w:sz w:val="20"/>
                <w:szCs w:val="20"/>
              </w:rPr>
              <w:t>je (v povezavi z naložbami 1, 2 in 3).</w:t>
            </w:r>
          </w:p>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Razvije se metodologija za ocenjevanje naložb v zdravstvo, ki bo določala merila za odločanje na podlagi finančnih, zdravstvenih in posrednih koristi, vključno z družbenimi in socialno–ekonomskimi koristmi. Določi se </w:t>
            </w:r>
            <w:r>
              <w:rPr>
                <w:rFonts w:ascii="Times New Roman" w:hAnsi="Times New Roman"/>
                <w:noProof/>
                <w:color w:val="006100"/>
                <w:sz w:val="20"/>
                <w:szCs w:val="20"/>
              </w:rPr>
              <w:t xml:space="preserve">model za odločanje o gospodarski učinkovitosti naložbe v zdravstveni sektor, pri čemer se upoštevajo ne le neposredne finančne koristi naložbe, ampak tudi vse posredne (npr. večje udobje pacienta). </w:t>
            </w:r>
          </w:p>
          <w:p w:rsidR="009B5602" w:rsidRDefault="009B5602">
            <w:pPr>
              <w:spacing w:after="0" w:line="240" w:lineRule="auto"/>
              <w:jc w:val="center"/>
              <w:rPr>
                <w:rFonts w:ascii="Times New Roman" w:eastAsia="Times New Roman" w:hAnsi="Times New Roman"/>
                <w:noProof/>
                <w:color w:val="006100"/>
                <w:sz w:val="20"/>
                <w:szCs w:val="20"/>
              </w:rPr>
            </w:pPr>
          </w:p>
        </w:tc>
      </w:tr>
      <w:tr w:rsidR="009B5602">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4</w:t>
            </w:r>
          </w:p>
        </w:tc>
        <w:tc>
          <w:tcPr>
            <w:tcW w:w="13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11 – Sodobno in dostopno zdravstveno varstvo – </w:t>
            </w:r>
            <w:r>
              <w:rPr>
                <w:rFonts w:ascii="Times New Roman" w:hAnsi="Times New Roman"/>
                <w:noProof/>
                <w:color w:val="006100"/>
                <w:sz w:val="20"/>
                <w:szCs w:val="20"/>
              </w:rPr>
              <w:t>Reforma 3 Centralizacija upravljanja največjih bolnišnic</w:t>
            </w:r>
          </w:p>
        </w:tc>
        <w:tc>
          <w:tcPr>
            <w:tcW w:w="163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41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Ustanovitev osrednjega organa za upravljanje bolnišnic z organizacijskega, operativnega in ekonomskega vidika</w:t>
            </w:r>
          </w:p>
        </w:tc>
        <w:tc>
          <w:tcPr>
            <w:tcW w:w="198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Centralni organ za upravljanje bolnišnic, ki ga je odobrilo ministrstvo za zdravje</w:t>
            </w:r>
            <w:r>
              <w:rPr>
                <w:rFonts w:ascii="Times New Roman" w:hAnsi="Times New Roman"/>
                <w:noProof/>
                <w:color w:val="006100"/>
                <w:sz w:val="20"/>
                <w:szCs w:val="20"/>
              </w:rPr>
              <w:t xml:space="preserve"> in je v celoti operativen</w:t>
            </w:r>
          </w:p>
          <w:p w:rsidR="009B5602" w:rsidRDefault="009B5602">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850"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2023</w:t>
            </w:r>
          </w:p>
        </w:tc>
        <w:tc>
          <w:tcPr>
            <w:tcW w:w="3488" w:type="dxa"/>
            <w:tcBorders>
              <w:top w:val="nil"/>
              <w:left w:val="nil"/>
              <w:bottom w:val="nil"/>
              <w:right w:val="single" w:sz="4" w:space="0" w:color="auto"/>
            </w:tcBorders>
            <w:shd w:val="clear" w:color="auto" w:fill="C6EFCE"/>
            <w:vAlign w:val="center"/>
            <w:hideMark/>
          </w:tcPr>
          <w:p w:rsidR="009B5602" w:rsidRDefault="00886830">
            <w:pPr>
              <w:spacing w:after="24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Ta organ učinkovito zagotovi upravljavsko strukturo za 19 bolnišnic, ki jo sestavlja bolnišnična mreža v pilotni fazi (glej cilj spodaj). To pomeni, da bi: upravljanje, vodenje in ocenjevanje načrtovanja in uspešnosti</w:t>
            </w:r>
            <w:r>
              <w:rPr>
                <w:rFonts w:ascii="Times New Roman" w:hAnsi="Times New Roman"/>
                <w:noProof/>
                <w:color w:val="006100"/>
                <w:sz w:val="20"/>
                <w:szCs w:val="20"/>
              </w:rPr>
              <w:t xml:space="preserve"> bolnišnic, kot so finančni nadzor, nadzor skladnosti, človeški viri, kakovost in obvladovanje tveganja, s povezavo s kliničnimi procesi. Pripravi tudi priporočila za optimizacijo izdatkov in popisov zdravil in medicinskih pripomočkov. </w:t>
            </w:r>
          </w:p>
        </w:tc>
      </w:tr>
      <w:tr w:rsidR="009B5602">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5</w:t>
            </w:r>
          </w:p>
        </w:tc>
        <w:tc>
          <w:tcPr>
            <w:tcW w:w="13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11 – Sodobno in </w:t>
            </w:r>
            <w:r>
              <w:rPr>
                <w:rFonts w:ascii="Times New Roman" w:hAnsi="Times New Roman"/>
                <w:noProof/>
                <w:color w:val="006100"/>
                <w:sz w:val="20"/>
                <w:szCs w:val="20"/>
              </w:rPr>
              <w:t>dostopno zdravstveno varstvo – Reforma 3 Centralizacija upravljanja največjih bolnišnic</w:t>
            </w:r>
          </w:p>
        </w:tc>
        <w:tc>
          <w:tcPr>
            <w:tcW w:w="163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41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Število bolnišnic, vključenih v centralni sistem upravljanja</w:t>
            </w:r>
          </w:p>
        </w:tc>
        <w:tc>
          <w:tcPr>
            <w:tcW w:w="1984"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992"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19</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850"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488" w:type="dxa"/>
            <w:tcBorders>
              <w:top w:val="single" w:sz="4" w:space="0" w:color="auto"/>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Centralni sistem upravljanja zajema 19 bolnišnic pod državnim nadzorom v pilotn</w:t>
            </w:r>
            <w:r>
              <w:rPr>
                <w:rFonts w:ascii="Times New Roman" w:hAnsi="Times New Roman"/>
                <w:noProof/>
                <w:color w:val="006100"/>
                <w:sz w:val="20"/>
                <w:szCs w:val="20"/>
              </w:rPr>
              <w:t xml:space="preserve">i fazi. </w:t>
            </w:r>
          </w:p>
        </w:tc>
      </w:tr>
      <w:tr w:rsidR="009B5602">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6</w:t>
            </w:r>
          </w:p>
        </w:tc>
        <w:tc>
          <w:tcPr>
            <w:tcW w:w="13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 – Sodobno in dostopno zdravstveno varstvo – Reforma 4 Optimizacija akutne zdravstvene mreže in nova opredelitev nujne zdravstvene oskrbe</w:t>
            </w:r>
          </w:p>
        </w:tc>
        <w:tc>
          <w:tcPr>
            <w:tcW w:w="163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41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sz w:val="20"/>
                <w:szCs w:val="20"/>
              </w:rPr>
              <w:t>Sprememba zakona o mreži Optimalnih reševalnih vozil in nova opredelitev nujne zdravstvene oskrbe</w:t>
            </w:r>
          </w:p>
        </w:tc>
        <w:tc>
          <w:tcPr>
            <w:tcW w:w="198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Veljati začne zakonodaja o novi optimalni mreži reševalnih vozil. </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Q1</w:t>
            </w:r>
          </w:p>
        </w:tc>
        <w:tc>
          <w:tcPr>
            <w:tcW w:w="850"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2023</w:t>
            </w:r>
          </w:p>
        </w:tc>
        <w:tc>
          <w:tcPr>
            <w:tcW w:w="348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 xml:space="preserve">Zakonodajne spremembe uvajajo novo mrežo reševalnih postaj in novo opredelitev nujne medicinske oskrbe. Novo omrežje zagotavlja razpoložljivost služb za ukrepanje ob nesrečah v </w:t>
            </w:r>
            <w:r>
              <w:rPr>
                <w:rFonts w:ascii="Times New Roman" w:hAnsi="Times New Roman"/>
                <w:noProof/>
                <w:color w:val="006100"/>
                <w:sz w:val="20"/>
                <w:szCs w:val="20"/>
              </w:rPr>
              <w:t xml:space="preserve">15 minutah za 90 % prebivalstva. Ta je geografsko in postopkovno povezana z novo bolnišnično mrežo ZN. Nova opredelitev nujne oskrbe določa število pooblaščenih uporabnikov storitev reševanja in odziv na zahtevo teh uporabnikov.  </w:t>
            </w:r>
          </w:p>
        </w:tc>
      </w:tr>
      <w:tr w:rsidR="009B5602">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7</w:t>
            </w:r>
          </w:p>
        </w:tc>
        <w:tc>
          <w:tcPr>
            <w:tcW w:w="13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11 – Sodobno in </w:t>
            </w:r>
            <w:r>
              <w:rPr>
                <w:rFonts w:ascii="Times New Roman" w:hAnsi="Times New Roman"/>
                <w:noProof/>
                <w:color w:val="006100"/>
                <w:sz w:val="20"/>
                <w:szCs w:val="20"/>
              </w:rPr>
              <w:t>dostopno zdravstveno varstvo – Reforma 5 Reforma zagotavljanja primarnega zdravstvenega varstva za odrasle, otroke in mladino</w:t>
            </w:r>
          </w:p>
        </w:tc>
        <w:tc>
          <w:tcPr>
            <w:tcW w:w="163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41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Novi zakon o vzpostavitvi mreže izvajalcev splošne oskrbe in uvedbi območij</w:t>
            </w:r>
          </w:p>
        </w:tc>
        <w:tc>
          <w:tcPr>
            <w:tcW w:w="198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Začetek veljavnosti zakona </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850"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48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Nova </w:t>
            </w:r>
            <w:r>
              <w:rPr>
                <w:rFonts w:ascii="Times New Roman" w:hAnsi="Times New Roman"/>
                <w:noProof/>
                <w:color w:val="006100"/>
                <w:sz w:val="20"/>
                <w:szCs w:val="20"/>
              </w:rPr>
              <w:t>zakonodaja določa pravila za mrežo osnovnega zdravstvenega varstva, da se določita število in porazdelitev splošnih zdravnikov na podlagi:  –         razpoložljivosti (najdaljši čas potovanja na zdravnika);</w:t>
            </w:r>
          </w:p>
          <w:p w:rsidR="009B5602" w:rsidRDefault="00886830">
            <w:pPr>
              <w:numPr>
                <w:ilvl w:val="0"/>
                <w:numId w:val="37"/>
              </w:numPr>
              <w:spacing w:before="120" w:after="0" w:line="259" w:lineRule="auto"/>
              <w:contextualSpacing/>
              <w:jc w:val="both"/>
              <w:rPr>
                <w:rFonts w:ascii="Times New Roman" w:eastAsia="Times New Roman" w:hAnsi="Times New Roman"/>
                <w:noProof/>
                <w:color w:val="006100"/>
                <w:sz w:val="20"/>
                <w:szCs w:val="20"/>
              </w:rPr>
            </w:pPr>
            <w:r>
              <w:rPr>
                <w:rFonts w:ascii="Times New Roman" w:hAnsi="Times New Roman"/>
                <w:noProof/>
                <w:color w:val="006100"/>
                <w:sz w:val="20"/>
                <w:szCs w:val="20"/>
              </w:rPr>
              <w:t>potrebe po zmogljivostih (število potrebnih sploš</w:t>
            </w:r>
            <w:r>
              <w:rPr>
                <w:rFonts w:ascii="Times New Roman" w:hAnsi="Times New Roman"/>
                <w:noProof/>
                <w:color w:val="006100"/>
                <w:sz w:val="20"/>
                <w:szCs w:val="20"/>
              </w:rPr>
              <w:t xml:space="preserve">nih zdravnikov odraslih in otrok glede na velikost in starostno strukturo populacije).     </w:t>
            </w:r>
          </w:p>
        </w:tc>
      </w:tr>
      <w:tr w:rsidR="009B5602">
        <w:trPr>
          <w:trHeight w:val="173"/>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13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11 – Sodobno in dostopno zdravstveno varstvo – Naložba 1 Podpora odprtju novega osnovnega zdravstvenega varstva </w:t>
            </w:r>
          </w:p>
        </w:tc>
        <w:tc>
          <w:tcPr>
            <w:tcW w:w="163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41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Število ambulant primarnega zdravstvenega varstva, podprtih s pilotnim programom </w:t>
            </w:r>
          </w:p>
        </w:tc>
        <w:tc>
          <w:tcPr>
            <w:tcW w:w="1984"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992"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153</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850"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488" w:type="dxa"/>
            <w:tcBorders>
              <w:top w:val="nil"/>
              <w:left w:val="nil"/>
              <w:bottom w:val="single" w:sz="4" w:space="0" w:color="auto"/>
              <w:right w:val="single" w:sz="4" w:space="0" w:color="auto"/>
            </w:tcBorders>
            <w:shd w:val="clear" w:color="auto" w:fill="C6EFCE"/>
            <w:vAlign w:val="center"/>
            <w:hideMark/>
          </w:tcPr>
          <w:p w:rsidR="009B5602" w:rsidRDefault="00886830">
            <w:pPr>
              <w:spacing w:after="24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Splošni cilj je ustvariti 170 ambulantnih ambulant – podpora se zagotovi za ustanovitev vsaj 153 novih ambulant za splošne zdravnike za odrasle in pedi</w:t>
            </w:r>
            <w:r>
              <w:rPr>
                <w:rFonts w:ascii="Times New Roman" w:hAnsi="Times New Roman"/>
                <w:noProof/>
                <w:color w:val="006100"/>
                <w:sz w:val="20"/>
                <w:szCs w:val="20"/>
              </w:rPr>
              <w:t xml:space="preserve">atrije v obliki subvencije za nadomestilo stroškov ambulantnih ambulant v prvem letu delovanja.   </w:t>
            </w:r>
          </w:p>
        </w:tc>
      </w:tr>
      <w:tr w:rsidR="009B5602">
        <w:trPr>
          <w:trHeight w:val="2286"/>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9</w:t>
            </w:r>
          </w:p>
        </w:tc>
        <w:tc>
          <w:tcPr>
            <w:tcW w:w="13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 – Sodobno in dostopno zdravstveno varstvo – Naložba 2 Novo bolnišnično omrežje – Gradnja, rekonstrukcija in oprema</w:t>
            </w:r>
          </w:p>
        </w:tc>
        <w:tc>
          <w:tcPr>
            <w:tcW w:w="163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41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Javni razpis za gradnjo in </w:t>
            </w:r>
            <w:r>
              <w:rPr>
                <w:rFonts w:ascii="Times New Roman" w:hAnsi="Times New Roman"/>
                <w:noProof/>
                <w:color w:val="006100"/>
                <w:sz w:val="20"/>
                <w:szCs w:val="20"/>
              </w:rPr>
              <w:t>obnovo bolnišnic</w:t>
            </w:r>
          </w:p>
        </w:tc>
        <w:tc>
          <w:tcPr>
            <w:tcW w:w="1984"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Obvestilo o dodelitvi ponudb za projekte v skladu z merili za upravičenost/izbiro </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Q1</w:t>
            </w:r>
          </w:p>
        </w:tc>
        <w:tc>
          <w:tcPr>
            <w:tcW w:w="850"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3488" w:type="dxa"/>
            <w:tcBorders>
              <w:top w:val="nil"/>
              <w:left w:val="nil"/>
              <w:bottom w:val="single" w:sz="4" w:space="0" w:color="auto"/>
              <w:right w:val="single" w:sz="4" w:space="0" w:color="auto"/>
            </w:tcBorders>
            <w:shd w:val="clear" w:color="auto" w:fill="C6EFCE"/>
            <w:vAlign w:val="center"/>
            <w:hideMark/>
          </w:tcPr>
          <w:p w:rsidR="009B5602" w:rsidRDefault="00886830">
            <w:pPr>
              <w:spacing w:after="24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Obvestilo o oddaji vseh javnih naročil za splošni cilj 2 666 novih bolnišničnih postelj, od katerih je na voljo vsaj 2400 postelj, razčlenjeno </w:t>
            </w:r>
            <w:r>
              <w:rPr>
                <w:rFonts w:ascii="Times New Roman" w:hAnsi="Times New Roman"/>
                <w:noProof/>
                <w:color w:val="006100"/>
                <w:sz w:val="20"/>
                <w:szCs w:val="20"/>
              </w:rPr>
              <w:t>na:</w:t>
            </w:r>
          </w:p>
          <w:p w:rsidR="009B5602" w:rsidRDefault="00886830">
            <w:pPr>
              <w:spacing w:after="24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 vsaj 870 postelj v popolnoma novih bolnišnicah v polni pripravljenosti* v stavbah, ki izpolnjujejo zahteve glede energetske učinkovitosti 25–ter intervencijskega področja, certificiranega BREEAM (cilj je 968 postelj) </w:t>
            </w:r>
          </w:p>
          <w:p w:rsidR="009B5602" w:rsidRDefault="00886830">
            <w:pPr>
              <w:spacing w:after="24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2 vsaj 1 035 postelj v popolnoma</w:t>
            </w:r>
            <w:r>
              <w:rPr>
                <w:rFonts w:ascii="Times New Roman" w:hAnsi="Times New Roman"/>
                <w:noProof/>
                <w:color w:val="006100"/>
                <w:sz w:val="20"/>
                <w:szCs w:val="20"/>
              </w:rPr>
              <w:t xml:space="preserve"> novih bolnišnicah na ravni „bruto gradnja“** v stavbah, ki izpolnjujejo zahteve glede energetske učinkovitosti iz področja posredovanja 25b, certificiranega BREEAM (cilj je 1 150 postelj)</w:t>
            </w:r>
          </w:p>
          <w:p w:rsidR="009B5602" w:rsidRDefault="00886830">
            <w:pPr>
              <w:spacing w:after="24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3. Vsaj 495 postelj v bolnišnicah po večji prenovi za popolno uspos</w:t>
            </w:r>
            <w:r>
              <w:rPr>
                <w:rFonts w:ascii="Times New Roman" w:hAnsi="Times New Roman"/>
                <w:noProof/>
                <w:color w:val="006100"/>
                <w:sz w:val="20"/>
                <w:szCs w:val="20"/>
              </w:rPr>
              <w:t xml:space="preserve">obitev*** v stavbah, ki izpolnjujejo zahteve glede energetske učinkovitosti iz področja posredovanja 26a (cilj je 548 postelj)  </w:t>
            </w:r>
          </w:p>
          <w:p w:rsidR="009B5602" w:rsidRDefault="00886830">
            <w:pPr>
              <w:spacing w:after="24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*Popolno opremljanje – popolnoma nova bolnišnica z materialno opremo, pripravljeno za sprejem bolnikov.  **Bruto gradbeništvo –</w:t>
            </w:r>
            <w:r>
              <w:rPr>
                <w:rFonts w:ascii="Times New Roman" w:hAnsi="Times New Roman"/>
                <w:noProof/>
                <w:color w:val="006100"/>
                <w:sz w:val="20"/>
                <w:szCs w:val="20"/>
              </w:rPr>
              <w:t xml:space="preserve"> temelji, konstrukcija, cevovodi, izolacija, drenaža, zunanje vodovodne in plinske instalacije brez strojev, centralno ogrevanje, ožičenje, tla, končna obdelava in oprema.  *** Obsežna prenova za popolno preureditev velikega dela stavb, izolacija, strehe, </w:t>
            </w:r>
            <w:r>
              <w:rPr>
                <w:rFonts w:ascii="Times New Roman" w:hAnsi="Times New Roman"/>
                <w:noProof/>
                <w:color w:val="006100"/>
                <w:sz w:val="20"/>
                <w:szCs w:val="20"/>
              </w:rPr>
              <w:t>okna, vrata, razsvetljava, zamenjava tehnološke opreme (ogrevanje, ožičenje, elektrika, dvigala). Rekonstrukcija reorganizira notranje postopke bolnišnice in sanira tehnično opremo. Obnova stavbe je podvržena več kot 30-odstotnemu prihranku primarne energi</w:t>
            </w:r>
            <w:r>
              <w:rPr>
                <w:rFonts w:ascii="Times New Roman" w:hAnsi="Times New Roman"/>
                <w:noProof/>
                <w:color w:val="006100"/>
                <w:sz w:val="20"/>
                <w:szCs w:val="20"/>
              </w:rPr>
              <w:t xml:space="preserve">je, ki se spremlja z energetskimi izkaznicami.  </w:t>
            </w:r>
          </w:p>
        </w:tc>
      </w:tr>
      <w:tr w:rsidR="009B5602">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10</w:t>
            </w:r>
          </w:p>
        </w:tc>
        <w:tc>
          <w:tcPr>
            <w:tcW w:w="13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 – Sodobno in dostopno zdravstveno varstvo – Naložba 2 Novo bolnišnično omrežje – Gradnja, rekonstrukcija in oprema</w:t>
            </w:r>
          </w:p>
        </w:tc>
        <w:tc>
          <w:tcPr>
            <w:tcW w:w="163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418"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p w:rsidR="009B5602" w:rsidRDefault="009B5602">
            <w:pPr>
              <w:spacing w:after="0" w:line="240" w:lineRule="auto"/>
              <w:jc w:val="center"/>
              <w:rPr>
                <w:rFonts w:ascii="Times New Roman" w:eastAsia="Times New Roman" w:hAnsi="Times New Roman"/>
                <w:noProof/>
                <w:color w:val="006100"/>
                <w:sz w:val="20"/>
                <w:szCs w:val="20"/>
              </w:rPr>
            </w:pPr>
          </w:p>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Postelje, ki so na voljo v nadgrajenih bolnišnicah</w:t>
            </w:r>
          </w:p>
        </w:tc>
        <w:tc>
          <w:tcPr>
            <w:tcW w:w="1984"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992"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2 400 </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850"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488" w:type="dxa"/>
            <w:tcBorders>
              <w:top w:val="nil"/>
              <w:left w:val="nil"/>
              <w:bottom w:val="single" w:sz="4" w:space="0" w:color="auto"/>
              <w:right w:val="single" w:sz="4" w:space="0" w:color="auto"/>
            </w:tcBorders>
            <w:shd w:val="clear" w:color="auto" w:fill="C6EFCE"/>
            <w:vAlign w:val="center"/>
            <w:hideMark/>
          </w:tcPr>
          <w:p w:rsidR="009B5602" w:rsidRDefault="00886830">
            <w:pPr>
              <w:spacing w:after="24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Postelje, ki so na voljo v nadgrajenih bolnišnicah z zmogljivostjo najmanj 2 400 postelj, razčlenjenih na 1. Najmanj 870 postelj v popolnoma novih bolnišnicah v polni pripravljenosti* v stavbah, ki izpolnjujejo zahteve glede energetske učinkovitosti na 25–</w:t>
            </w:r>
            <w:r>
              <w:rPr>
                <w:rFonts w:ascii="Times New Roman" w:hAnsi="Times New Roman"/>
                <w:noProof/>
                <w:color w:val="006100"/>
                <w:sz w:val="20"/>
                <w:szCs w:val="20"/>
              </w:rPr>
              <w:t>ter intervencijskem področju, certificiranem BREEAM 2. Najmanj 1 035 postelj v popolnoma novih bolnišnicah na ravni „bruto gradnje“ v stavbah, ki izpolnjujejo zahteve glede energetske učinkovitosti iz intervencijskega področja 25b, certificiranega BREEAM 3</w:t>
            </w:r>
            <w:r>
              <w:rPr>
                <w:rFonts w:ascii="Times New Roman" w:hAnsi="Times New Roman"/>
                <w:noProof/>
                <w:color w:val="006100"/>
                <w:sz w:val="20"/>
                <w:szCs w:val="20"/>
              </w:rPr>
              <w:t xml:space="preserve">. Vsaj 495 postelj v bolnišnicah po večji prenovi za popolno opremljanje stavb, ki izpolnjujejo zahteve glede energetske učinkovitosti iz intervencijskega področja 26a (vsaj 30-odstotni prihranek energije v primerjavi s trenutnim stanjem). </w:t>
            </w:r>
          </w:p>
          <w:p w:rsidR="009B5602" w:rsidRDefault="009B5602">
            <w:pPr>
              <w:spacing w:after="240" w:line="240" w:lineRule="auto"/>
              <w:jc w:val="both"/>
              <w:rPr>
                <w:rFonts w:ascii="Times New Roman" w:eastAsia="Times New Roman" w:hAnsi="Times New Roman"/>
                <w:noProof/>
                <w:color w:val="006100"/>
                <w:sz w:val="20"/>
                <w:szCs w:val="20"/>
              </w:rPr>
            </w:pPr>
          </w:p>
        </w:tc>
      </w:tr>
      <w:tr w:rsidR="009B5602">
        <w:trPr>
          <w:trHeight w:val="1010"/>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w:t>
            </w:r>
          </w:p>
        </w:tc>
        <w:tc>
          <w:tcPr>
            <w:tcW w:w="13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11 – </w:t>
            </w:r>
            <w:r>
              <w:rPr>
                <w:rFonts w:ascii="Times New Roman" w:hAnsi="Times New Roman"/>
                <w:noProof/>
                <w:color w:val="006100"/>
                <w:sz w:val="20"/>
                <w:szCs w:val="20"/>
              </w:rPr>
              <w:t>Sodobno in dostopno zdravstveno varstvo – Naložba 3 Digitalizacija v zdravstvu</w:t>
            </w:r>
          </w:p>
        </w:tc>
        <w:tc>
          <w:tcPr>
            <w:tcW w:w="163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41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Število bolnišnic, povezanih s centralnim sistemom ERP </w:t>
            </w:r>
          </w:p>
        </w:tc>
        <w:tc>
          <w:tcPr>
            <w:tcW w:w="1984"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992"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19</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850"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48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19 javnih bolnišnic je priključenih na centralni sistem ERP, ki omogoča centralizacijo postopkov nadzora in drugih postopkov v bolnišnicah. </w:t>
            </w:r>
          </w:p>
          <w:p w:rsidR="009B5602" w:rsidRDefault="009B5602">
            <w:pPr>
              <w:spacing w:after="0" w:line="240" w:lineRule="auto"/>
              <w:jc w:val="center"/>
              <w:rPr>
                <w:rFonts w:ascii="Times New Roman" w:eastAsia="Times New Roman" w:hAnsi="Times New Roman"/>
                <w:noProof/>
                <w:color w:val="006100"/>
                <w:sz w:val="20"/>
                <w:szCs w:val="20"/>
              </w:rPr>
            </w:pPr>
          </w:p>
        </w:tc>
      </w:tr>
      <w:tr w:rsidR="009B5602">
        <w:trPr>
          <w:trHeight w:val="1414"/>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12</w:t>
            </w:r>
          </w:p>
        </w:tc>
        <w:tc>
          <w:tcPr>
            <w:tcW w:w="13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 – Sodobno in dostopno zdravstveno varstvo – Naložba 3 Digitalizacija v zdravstvu</w:t>
            </w:r>
          </w:p>
        </w:tc>
        <w:tc>
          <w:tcPr>
            <w:tcW w:w="163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41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Navigacijski sistem </w:t>
            </w:r>
            <w:r>
              <w:rPr>
                <w:rFonts w:ascii="Times New Roman" w:hAnsi="Times New Roman"/>
                <w:noProof/>
                <w:color w:val="006100"/>
                <w:sz w:val="20"/>
                <w:szCs w:val="20"/>
              </w:rPr>
              <w:t>za zdravljenje atrijske fibrilacije v 3 ustanovah za bolezni srca in ožilja</w:t>
            </w:r>
          </w:p>
        </w:tc>
        <w:tc>
          <w:tcPr>
            <w:tcW w:w="1984"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992"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3</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850"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2023</w:t>
            </w:r>
          </w:p>
        </w:tc>
        <w:tc>
          <w:tcPr>
            <w:tcW w:w="348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FF0000"/>
                <w:sz w:val="20"/>
                <w:szCs w:val="20"/>
              </w:rPr>
            </w:pPr>
            <w:r>
              <w:rPr>
                <w:rFonts w:ascii="Times New Roman" w:hAnsi="Times New Roman"/>
                <w:noProof/>
                <w:color w:val="006100"/>
                <w:sz w:val="20"/>
                <w:szCs w:val="20"/>
              </w:rPr>
              <w:t>Cilj je, da se 3 inštituti za bolezni srca in ožilja opremijo z navigacijskim sistemom za zdravljenje atrijske fibrilacije, ki bo skrajšal čas atrijske fibrila</w:t>
            </w:r>
            <w:r>
              <w:rPr>
                <w:rFonts w:ascii="Times New Roman" w:hAnsi="Times New Roman"/>
                <w:noProof/>
                <w:color w:val="006100"/>
                <w:sz w:val="20"/>
                <w:szCs w:val="20"/>
              </w:rPr>
              <w:t>cije za 65 %.</w:t>
            </w:r>
          </w:p>
          <w:p w:rsidR="009B5602" w:rsidRDefault="009B5602">
            <w:pPr>
              <w:spacing w:after="0" w:line="240" w:lineRule="auto"/>
              <w:jc w:val="center"/>
              <w:rPr>
                <w:rFonts w:ascii="Times New Roman" w:eastAsia="Times New Roman" w:hAnsi="Times New Roman"/>
                <w:noProof/>
                <w:color w:val="006100"/>
                <w:sz w:val="20"/>
                <w:szCs w:val="20"/>
              </w:rPr>
            </w:pPr>
          </w:p>
        </w:tc>
      </w:tr>
      <w:tr w:rsidR="009B5602">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13</w:t>
            </w:r>
          </w:p>
        </w:tc>
        <w:tc>
          <w:tcPr>
            <w:tcW w:w="13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 – Sodobno in dostopno zdravstveno varstvo – Naložba 4 Gradnja in rehabilitacija reševalnih postaj (storitve reševanja)</w:t>
            </w:r>
          </w:p>
        </w:tc>
        <w:tc>
          <w:tcPr>
            <w:tcW w:w="163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41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Število zgrajenih ali obnovljenih reševalnih postaj</w:t>
            </w:r>
          </w:p>
        </w:tc>
        <w:tc>
          <w:tcPr>
            <w:tcW w:w="1984"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992"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55</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850"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48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Cilj je zgraditi ali obnoviti </w:t>
            </w:r>
            <w:r>
              <w:rPr>
                <w:rFonts w:ascii="Times New Roman" w:hAnsi="Times New Roman"/>
                <w:noProof/>
                <w:color w:val="006100"/>
                <w:sz w:val="20"/>
                <w:szCs w:val="20"/>
              </w:rPr>
              <w:t>lokacije postaj za reševalna vozila, ki se nahajajo v novem omrežju storitev reševalnih vozil.   – Zgrajena naselja se nahajajo v stavbah, ki izpolnjujejo zahteve glede energetske učinkovitosti iz polja intervencije 26a (vsaj 30-odstotni prihranek energije</w:t>
            </w:r>
            <w:r>
              <w:rPr>
                <w:rFonts w:ascii="Times New Roman" w:hAnsi="Times New Roman"/>
                <w:noProof/>
                <w:color w:val="006100"/>
                <w:sz w:val="20"/>
                <w:szCs w:val="20"/>
              </w:rPr>
              <w:t xml:space="preserve"> v primerjavi s trenutnim stanjem).  – Nova naselja se namestijo v stavbe, ki morajo v skladu z veljavno uredbo od 1.1.2021 ustrezati razredu energetske učinkovitosti A0.</w:t>
            </w:r>
          </w:p>
          <w:p w:rsidR="009B5602" w:rsidRDefault="00886830">
            <w:pPr>
              <w:spacing w:before="120"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Pravična geografska porazdelitev temelji na matematičnem simulacijskem modelu, katere</w:t>
            </w:r>
            <w:r>
              <w:rPr>
                <w:rFonts w:ascii="Times New Roman" w:hAnsi="Times New Roman"/>
                <w:noProof/>
                <w:color w:val="006100"/>
                <w:sz w:val="20"/>
                <w:szCs w:val="20"/>
              </w:rPr>
              <w:t>ga cilj je predlagati omrežje, pri katerem: (1) 90 odstotkov prebivalstva, ki je dostopno v 15 minutah od odpreme (2) 80 odstotkov bolnikov z diagnosticiranimi petimi kritičnimi nujnimi stanji je treba doseči v 8 minutah od odpreme (3) s premestitvijo odzi</w:t>
            </w:r>
            <w:r>
              <w:rPr>
                <w:rFonts w:ascii="Times New Roman" w:hAnsi="Times New Roman"/>
                <w:noProof/>
                <w:color w:val="006100"/>
                <w:sz w:val="20"/>
                <w:szCs w:val="20"/>
              </w:rPr>
              <w:t xml:space="preserve">vnega časa postaj, ki je krajši od trenutnega stanja.  </w:t>
            </w:r>
          </w:p>
        </w:tc>
      </w:tr>
      <w:tr w:rsidR="009B5602">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highlight w:val="green"/>
              </w:rPr>
            </w:pPr>
            <w:r>
              <w:rPr>
                <w:rFonts w:ascii="Times New Roman" w:hAnsi="Times New Roman"/>
                <w:noProof/>
                <w:color w:val="006100"/>
                <w:sz w:val="20"/>
                <w:szCs w:val="20"/>
              </w:rPr>
              <w:t>14</w:t>
            </w:r>
          </w:p>
        </w:tc>
        <w:tc>
          <w:tcPr>
            <w:tcW w:w="13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11 – Sodobno in dostopno zdravstveno varstvo – Naložba 5 Obnovitev voznega parka reševalnih vozil</w:t>
            </w:r>
          </w:p>
        </w:tc>
        <w:tc>
          <w:tcPr>
            <w:tcW w:w="163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41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 xml:space="preserve">Nakup vozil </w:t>
            </w:r>
          </w:p>
        </w:tc>
        <w:tc>
          <w:tcPr>
            <w:tcW w:w="1984"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992"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197</w:t>
            </w:r>
          </w:p>
        </w:tc>
        <w:tc>
          <w:tcPr>
            <w:tcW w:w="1134"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850"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jc w:val="center"/>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3488"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158 reševalnih vozil, 9 vozil za skupinski prevoz oseb in 30 vozil s povratnicami je treba kupiti in dostaviti v skladu z načelom, da se ne škoduje bistveno. </w:t>
            </w:r>
          </w:p>
          <w:p w:rsidR="009B5602" w:rsidRDefault="00886830">
            <w:pPr>
              <w:spacing w:after="0" w:line="240" w:lineRule="auto"/>
              <w:rPr>
                <w:rFonts w:ascii="Times New Roman" w:eastAsia="Times New Roman" w:hAnsi="Times New Roman"/>
                <w:noProof/>
                <w:color w:val="006100"/>
                <w:sz w:val="20"/>
                <w:szCs w:val="20"/>
              </w:rPr>
            </w:pPr>
            <w:r>
              <w:rPr>
                <w:rFonts w:ascii="Times New Roman" w:hAnsi="Times New Roman"/>
                <w:noProof/>
                <w:color w:val="006100"/>
                <w:sz w:val="20"/>
                <w:szCs w:val="20"/>
              </w:rPr>
              <w:t>Pri vozilih za obisk na domu so izbrani tipi vozil brezemisijski (električne/vodilne/gorivne celi</w:t>
            </w:r>
            <w:r>
              <w:rPr>
                <w:rFonts w:ascii="Times New Roman" w:hAnsi="Times New Roman"/>
                <w:noProof/>
                <w:color w:val="006100"/>
                <w:sz w:val="20"/>
                <w:szCs w:val="20"/>
              </w:rPr>
              <w:t>ce) ali nizke emisije pod 50 g CO</w:t>
            </w:r>
            <w:r>
              <w:rPr>
                <w:rFonts w:ascii="Times New Roman" w:hAnsi="Times New Roman"/>
                <w:noProof/>
                <w:color w:val="006100"/>
                <w:sz w:val="20"/>
                <w:szCs w:val="20"/>
                <w:vertAlign w:val="subscript"/>
              </w:rPr>
              <w:t>2</w:t>
            </w:r>
            <w:r>
              <w:rPr>
                <w:rFonts w:ascii="Times New Roman" w:hAnsi="Times New Roman"/>
                <w:noProof/>
                <w:color w:val="006100"/>
                <w:sz w:val="20"/>
                <w:szCs w:val="20"/>
              </w:rPr>
              <w:t>/km (plug–v hibridnih električnih vozilih). V preostalem je postopek nakupa naslednji:  najprej – dizelsko gorivo, nato hibridna ali električna – se uporabi najboljša razpoložljiva tehnologija v kategoriji vozila.</w:t>
            </w:r>
          </w:p>
          <w:p w:rsidR="009B5602" w:rsidRDefault="009B5602">
            <w:pPr>
              <w:spacing w:after="0" w:line="240" w:lineRule="auto"/>
              <w:rPr>
                <w:rFonts w:ascii="Times New Roman" w:eastAsia="Times New Roman" w:hAnsi="Times New Roman"/>
                <w:noProof/>
                <w:color w:val="006100"/>
                <w:sz w:val="20"/>
                <w:szCs w:val="20"/>
              </w:rPr>
            </w:pPr>
          </w:p>
          <w:p w:rsidR="009B5602" w:rsidRDefault="009B5602">
            <w:pPr>
              <w:spacing w:after="0" w:line="240" w:lineRule="auto"/>
              <w:rPr>
                <w:rFonts w:ascii="Times New Roman" w:eastAsia="Times New Roman" w:hAnsi="Times New Roman"/>
                <w:noProof/>
                <w:color w:val="006100"/>
                <w:sz w:val="20"/>
                <w:szCs w:val="20"/>
              </w:rPr>
            </w:pPr>
          </w:p>
          <w:p w:rsidR="009B5602" w:rsidRDefault="009B5602">
            <w:pPr>
              <w:spacing w:after="0" w:line="240" w:lineRule="auto"/>
              <w:rPr>
                <w:rFonts w:ascii="Times New Roman" w:eastAsia="Times New Roman" w:hAnsi="Times New Roman"/>
                <w:noProof/>
                <w:color w:val="006100"/>
                <w:sz w:val="20"/>
                <w:szCs w:val="20"/>
              </w:rPr>
            </w:pPr>
          </w:p>
        </w:tc>
      </w:tr>
    </w:tbl>
    <w:p w:rsidR="009B5602" w:rsidRDefault="00886830">
      <w:pPr>
        <w:spacing w:before="120" w:after="120" w:line="240" w:lineRule="auto"/>
        <w:jc w:val="both"/>
        <w:rPr>
          <w:noProof/>
        </w:rPr>
      </w:pPr>
      <w:r>
        <w:rPr>
          <w:rFonts w:ascii="Times New Roman" w:hAnsi="Times New Roman"/>
          <w:noProof/>
          <w:sz w:val="24"/>
        </w:rPr>
        <w:fldChar w:fldCharType="begin"/>
      </w:r>
      <w:r>
        <w:rPr>
          <w:rFonts w:ascii="Times New Roman" w:hAnsi="Times New Roman"/>
          <w:noProof/>
          <w:sz w:val="24"/>
        </w:rPr>
        <w:instrText xml:space="preserve"> LINK Excel.Sheet.12 "\\\\NET1.cec.eu.int\\homes\\085\\garcpbl\\Desktop\\CID - Components.xlsx" "Sheet9!R1C1:R15C11" \a \f 4 \h </w:instrText>
      </w:r>
      <w:r>
        <w:rPr>
          <w:rFonts w:ascii="Times New Roman" w:hAnsi="Times New Roman"/>
          <w:noProof/>
          <w:sz w:val="24"/>
        </w:rPr>
        <w:fldChar w:fldCharType="separate"/>
      </w:r>
    </w:p>
    <w:p w:rsidR="009B5602" w:rsidRDefault="00886830">
      <w:pPr>
        <w:jc w:val="both"/>
        <w:rPr>
          <w:noProof/>
        </w:rPr>
      </w:pPr>
      <w:r>
        <w:rPr>
          <w:rFonts w:ascii="Times New Roman" w:hAnsi="Times New Roman"/>
          <w:noProof/>
          <w:sz w:val="24"/>
        </w:rPr>
        <w:fldChar w:fldCharType="end"/>
      </w:r>
      <w:r>
        <w:rPr>
          <w:rFonts w:ascii="Times New Roman" w:hAnsi="Times New Roman"/>
          <w:noProof/>
          <w:sz w:val="24"/>
        </w:rPr>
        <w:fldChar w:fldCharType="begin"/>
      </w:r>
      <w:r>
        <w:rPr>
          <w:rFonts w:ascii="Times New Roman" w:hAnsi="Times New Roman"/>
          <w:noProof/>
          <w:sz w:val="24"/>
        </w:rPr>
        <w:instrText xml:space="preserve"> LINK Excel.Sheet.12 "\\\\NET1.cec.eu.int\\homes\\085\\garcpbl\\Desktop\\CID - Components.xlsx" "T1 Mining and targets (11)!</w:instrText>
      </w:r>
      <w:r>
        <w:rPr>
          <w:rFonts w:ascii="Times New Roman" w:hAnsi="Times New Roman"/>
          <w:noProof/>
          <w:sz w:val="24"/>
        </w:rPr>
        <w:instrText xml:space="preserve">R3C1:R17C11" \a \f 4 \h </w:instrText>
      </w:r>
      <w:r>
        <w:rPr>
          <w:rFonts w:ascii="Times New Roman" w:hAnsi="Times New Roman"/>
          <w:noProof/>
          <w:sz w:val="24"/>
        </w:rPr>
        <w:fldChar w:fldCharType="separate"/>
      </w:r>
    </w:p>
    <w:p w:rsidR="009B5602" w:rsidRDefault="00886830">
      <w:pPr>
        <w:jc w:val="both"/>
        <w:rPr>
          <w:rFonts w:ascii="Times New Roman" w:hAnsi="Times New Roman"/>
          <w:noProof/>
          <w:sz w:val="24"/>
        </w:rPr>
      </w:pPr>
      <w:r>
        <w:rPr>
          <w:rFonts w:ascii="Times New Roman" w:hAnsi="Times New Roman"/>
          <w:noProof/>
          <w:sz w:val="24"/>
        </w:rPr>
        <w:fldChar w:fldCharType="end"/>
      </w:r>
    </w:p>
    <w:p w:rsidR="009B5602" w:rsidRDefault="009B5602">
      <w:pPr>
        <w:spacing w:before="120" w:after="120" w:line="240" w:lineRule="auto"/>
        <w:jc w:val="both"/>
        <w:rPr>
          <w:rFonts w:ascii="Times New Roman" w:hAnsi="Times New Roman"/>
          <w:noProof/>
          <w:sz w:val="24"/>
        </w:rPr>
        <w:sectPr w:rsidR="009B5602">
          <w:headerReference w:type="even" r:id="rId144"/>
          <w:headerReference w:type="default" r:id="rId145"/>
          <w:footerReference w:type="even" r:id="rId146"/>
          <w:footerReference w:type="default" r:id="rId147"/>
          <w:headerReference w:type="first" r:id="rId148"/>
          <w:footerReference w:type="first" r:id="rId149"/>
          <w:pgSz w:w="16839" w:h="11907" w:orient="landscape"/>
          <w:pgMar w:top="568" w:right="1134" w:bottom="1418" w:left="1134" w:header="709" w:footer="709" w:gutter="0"/>
          <w:cols w:space="720"/>
          <w:docGrid w:linePitch="360"/>
        </w:sectPr>
      </w:pPr>
    </w:p>
    <w:p w:rsidR="009B5602" w:rsidRDefault="00886830">
      <w:pPr>
        <w:keepNext/>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KOMPONENTA 12: Humanitarno, sodobno in dostopno varstvo duševnega zdravja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Cilj komponente slovaškega načrta za okrevanje in odpornost je spodbujati sistemske izboljšave na </w:t>
      </w:r>
      <w:r>
        <w:rPr>
          <w:rFonts w:ascii="Times New Roman" w:hAnsi="Times New Roman"/>
          <w:noProof/>
          <w:sz w:val="24"/>
        </w:rPr>
        <w:t>področju duševnega zdravja na Slovaškem, ki temeljijo na sodelovanju med različnimi sektorji javne uprave in strokovnimi organizacijami. Cilj ukrepov je posodobiti psihiatrično in psihološko socialno-zdravstveno oskrbo, spodbujati duševno zdravje in prepre</w:t>
      </w:r>
      <w:r>
        <w:rPr>
          <w:rFonts w:ascii="Times New Roman" w:hAnsi="Times New Roman"/>
          <w:noProof/>
          <w:sz w:val="24"/>
        </w:rPr>
        <w:t>čevanje psiholoških motenj pri prebivalstvu, okrepiti socialno-zdravstveno oskrbo in povečati njeno dostopnost.</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Pričakuje se, da noben ukrep v tej komponenti ne bo znatno škodoval okoljskim ciljem v smislu člena 17 Uredbe (EU) 2020/852, ob upoštevanju opis</w:t>
      </w:r>
      <w:r>
        <w:rPr>
          <w:rFonts w:ascii="Times New Roman" w:hAnsi="Times New Roman"/>
          <w:noProof/>
          <w:sz w:val="24"/>
          <w:szCs w:val="24"/>
        </w:rPr>
        <w:t xml:space="preserve">a ukrepov in ukrepov za ublažitev, določenih v načrtu za okrevanje in odpornost v skladu s tehničnimi smernicami za uporabo načela, da se ne škoduje bistveno (2021/C58/01).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Ukrepi v tej komponenti prispevajo k obravnavi priporočil za posamezne države, na</w:t>
      </w:r>
      <w:r>
        <w:rPr>
          <w:rFonts w:ascii="Times New Roman" w:hAnsi="Times New Roman"/>
          <w:noProof/>
          <w:sz w:val="24"/>
        </w:rPr>
        <w:t>slovljenih na Slovaško, zlasti v zvezi z odpornostjo sistema zdravstvenega varstva in usklajevanjem med različnimi vrstami oskrbe (priporočilo za posamezno državo št. 1 iz leta 2020) ter dolgotrajno oskrbo (priporočilo za posamezno državo št. 2 iz leta 201</w:t>
      </w:r>
      <w:r>
        <w:rPr>
          <w:rFonts w:ascii="Times New Roman" w:hAnsi="Times New Roman"/>
          <w:noProof/>
          <w:sz w:val="24"/>
        </w:rPr>
        <w:t>9).</w:t>
      </w:r>
    </w:p>
    <w:p w:rsidR="009B5602" w:rsidRDefault="009B5602">
      <w:pPr>
        <w:spacing w:before="120" w:after="120" w:line="240" w:lineRule="auto"/>
        <w:jc w:val="both"/>
        <w:rPr>
          <w:rFonts w:ascii="Times New Roman" w:hAnsi="Times New Roman"/>
          <w:noProof/>
          <w:sz w:val="24"/>
        </w:rPr>
      </w:pPr>
    </w:p>
    <w:p w:rsidR="009B5602" w:rsidRDefault="00886830">
      <w:pPr>
        <w:spacing w:before="120" w:after="120" w:line="240" w:lineRule="auto"/>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Opis reform in naložb za nepovratno finančno podporo</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Reforma 1: Usklajeno medresorsko sodelovanje in urejanje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Cilj te reforme je usklajevanje politike na področju duševnega zdravja in izboljšanje sodelovanja med različnimi sektorji javne uprave. </w:t>
      </w:r>
      <w:r>
        <w:rPr>
          <w:rFonts w:ascii="Times New Roman" w:hAnsi="Times New Roman"/>
          <w:noProof/>
          <w:sz w:val="24"/>
        </w:rPr>
        <w:t xml:space="preserve">To je mogoče doseči tako, da se: </w:t>
      </w:r>
    </w:p>
    <w:p w:rsidR="009B5602" w:rsidRDefault="00886830">
      <w:pPr>
        <w:numPr>
          <w:ilvl w:val="0"/>
          <w:numId w:val="30"/>
        </w:numPr>
        <w:spacing w:before="120" w:after="120" w:line="240" w:lineRule="auto"/>
        <w:ind w:left="0"/>
        <w:jc w:val="both"/>
        <w:rPr>
          <w:rFonts w:ascii="Times New Roman" w:hAnsi="Times New Roman"/>
          <w:noProof/>
          <w:sz w:val="24"/>
        </w:rPr>
      </w:pPr>
      <w:r>
        <w:rPr>
          <w:rFonts w:ascii="Times New Roman" w:hAnsi="Times New Roman"/>
          <w:noProof/>
          <w:sz w:val="24"/>
        </w:rPr>
        <w:t>ustanovitev medresorskega usklajevalnega organa, pristojnega za duševno zdravje. Svet vlade za duševno zdravje naj bi bil ustanovljen 24. februarja 2021. Reforma vključuje operacionalizacijo njenega upravljanja. Ena od prv</w:t>
      </w:r>
      <w:r>
        <w:rPr>
          <w:rFonts w:ascii="Times New Roman" w:hAnsi="Times New Roman"/>
          <w:noProof/>
          <w:sz w:val="24"/>
        </w:rPr>
        <w:t xml:space="preserve">ih nalog Sveta je usklajevanje priprave osnutka nacionalnega programa duševnega zdravja 2022–2030, ki se predloži vladi v odobritev do 31. decembra 2022. </w:t>
      </w:r>
    </w:p>
    <w:p w:rsidR="009B5602" w:rsidRDefault="00886830">
      <w:pPr>
        <w:numPr>
          <w:ilvl w:val="0"/>
          <w:numId w:val="30"/>
        </w:numPr>
        <w:spacing w:before="120" w:after="120" w:line="240" w:lineRule="auto"/>
        <w:ind w:left="0"/>
        <w:jc w:val="both"/>
        <w:rPr>
          <w:rFonts w:ascii="Times New Roman" w:hAnsi="Times New Roman"/>
          <w:noProof/>
          <w:sz w:val="24"/>
        </w:rPr>
      </w:pPr>
      <w:r>
        <w:rPr>
          <w:rFonts w:ascii="Times New Roman" w:hAnsi="Times New Roman"/>
          <w:noProof/>
          <w:sz w:val="24"/>
        </w:rPr>
        <w:t>ustanovitev strokovne organizacije za psihologe, katere glavni cilj je povečati strokovnost in zagoto</w:t>
      </w:r>
      <w:r>
        <w:rPr>
          <w:rFonts w:ascii="Times New Roman" w:hAnsi="Times New Roman"/>
          <w:noProof/>
          <w:sz w:val="24"/>
        </w:rPr>
        <w:t>viti regulacijo izobraževanja, disciplinski nadzor in zagotavljanje pravne pomoči za te poklice, ne glede na sektor, v katerem se izvajajo.</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Za boljše usmerjanje te reforme in naložb v to komponento se prva epidemiološka študija na področju duševnih motenj </w:t>
      </w:r>
      <w:r>
        <w:rPr>
          <w:rFonts w:ascii="Times New Roman" w:hAnsi="Times New Roman"/>
          <w:noProof/>
          <w:sz w:val="24"/>
        </w:rPr>
        <w:t xml:space="preserve">pripravi do 31. decembra 2022. Študija bo zagotovila pregled trenutnega epidemiološkega stanja duševnih motenj na Slovaškem.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se izvede do 30. junija 2025.</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Reforma 2: Razvoj akutno podcenjenih področij zmogljivosti pri varstvu duševnega zdravja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Cil</w:t>
      </w:r>
      <w:r>
        <w:rPr>
          <w:rFonts w:ascii="Times New Roman" w:hAnsi="Times New Roman"/>
          <w:noProof/>
          <w:sz w:val="24"/>
        </w:rPr>
        <w:t>j te reforme je razviti dostopno socialno-zdravstveno varstvo duševnega zdravja s poudarkom na povečanju obsega oskrbe v skupnosti. To se doseže s prednostno kartiranjem akutno pomanjkljivih storitev na Slovaškem in razvojem strategije za njihov prednostni</w:t>
      </w:r>
      <w:r>
        <w:rPr>
          <w:rFonts w:ascii="Times New Roman" w:hAnsi="Times New Roman"/>
          <w:noProof/>
          <w:sz w:val="24"/>
        </w:rPr>
        <w:t xml:space="preserve"> razvoj.</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se izvede do 31. decembra 2025.</w:t>
      </w:r>
    </w:p>
    <w:p w:rsidR="009B5602" w:rsidRPr="00886830" w:rsidRDefault="009B5602">
      <w:pPr>
        <w:spacing w:before="120" w:after="120" w:line="240" w:lineRule="auto"/>
        <w:jc w:val="both"/>
        <w:rPr>
          <w:rFonts w:ascii="Times New Roman" w:hAnsi="Times New Roman"/>
          <w:noProof/>
          <w:sz w:val="24"/>
          <w:lang w:val="es-ES"/>
        </w:rPr>
      </w:pP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Reforma 3: Posodobitev diagnostičnih metod in zdravljenj</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Cilj te reforme je zagotoviti celovito posodobitev standardnih diagnostičnih in terapevtskih postopkov ter njihovo uporabo v praksi. Ustanovijo se </w:t>
      </w:r>
      <w:r>
        <w:rPr>
          <w:rFonts w:ascii="Times New Roman" w:hAnsi="Times New Roman"/>
          <w:noProof/>
          <w:sz w:val="24"/>
        </w:rPr>
        <w:t>delovne skupine za pregled mednarodnih psihoagnostičnih metod za različne starostne skupine in različne aplikacije ter pripravijo priporočila za prilagoditev nacionalnih metod. Ustanovi se delovna skupina za opredelitev posebnih institucionalnih psihiatrič</w:t>
      </w:r>
      <w:r>
        <w:rPr>
          <w:rFonts w:ascii="Times New Roman" w:hAnsi="Times New Roman"/>
          <w:noProof/>
          <w:sz w:val="24"/>
        </w:rPr>
        <w:t>nih objektov, v katerih se izvaja humanizacija in zamenjava ograjenih postelj.</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30. junija 2025.</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Naložba 1: Vodenje projektov in priprava projektov na naložbe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Ustanovi se izvedbena enota za upravljanje naložbenih projektov v okviru načr</w:t>
      </w:r>
      <w:r>
        <w:rPr>
          <w:rFonts w:ascii="Times New Roman" w:hAnsi="Times New Roman"/>
          <w:noProof/>
          <w:sz w:val="24"/>
        </w:rPr>
        <w:t>ta za okrevanje in odpornost, ki zajema medicinsko, postopkovno in informacijsko zasnovo teh zdravstvenih ustanov. Subjekt usklajuje dejavnosti projektiranja in projektiranja, osrednji izbor izvajalca, sodeluje pri organizaciji gradbenih in nadzornih dejav</w:t>
      </w:r>
      <w:r>
        <w:rPr>
          <w:rFonts w:ascii="Times New Roman" w:hAnsi="Times New Roman"/>
          <w:noProof/>
          <w:sz w:val="24"/>
        </w:rPr>
        <w:t>nosti, da se ustvarita ekonomija obsega in prihranek časa.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30. junija 2026.</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Naložba 2: Vzpostavitev centrov za pridržanje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Cilj je zagotoviti ustrezno oskrbo majhne skupine psihiatričnih bolnikov, ki so storili huda kazniva dejanja. Vzp</w:t>
      </w:r>
      <w:r>
        <w:rPr>
          <w:rFonts w:ascii="Times New Roman" w:hAnsi="Times New Roman"/>
          <w:noProof/>
          <w:sz w:val="24"/>
        </w:rPr>
        <w:t>ostavitev centrov za pridržanje ni del procesa deinstitucionalizacije, temveč je nujen in dopolnilen varnostni in zdravstveni ukrep za majhno skupino pacientov.</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Ustanovita se dva centra za pridržanje z zmogljivostjo 75 postelj, od katerih je eden že v grad</w:t>
      </w:r>
      <w:r>
        <w:rPr>
          <w:rFonts w:ascii="Times New Roman" w:hAnsi="Times New Roman"/>
          <w:noProof/>
          <w:sz w:val="24"/>
        </w:rPr>
        <w:t>nji.</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31. decembra 2025.</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Naložba 3: Vzpostavljanje psihosocialnih centrov</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Cilj tega ukrepa je zagotoviti ustrezno oskrbo pacientov v domačem okolju z mobilnimi ekipami, s čimer se omeji namestitev v institucionalne ustanove ali izboljša</w:t>
      </w:r>
      <w:r>
        <w:rPr>
          <w:rFonts w:ascii="Times New Roman" w:hAnsi="Times New Roman"/>
          <w:noProof/>
          <w:sz w:val="24"/>
        </w:rPr>
        <w:t xml:space="preserve"> kakovost življenja v teh ustanovah. Ukrep preprečuje ali skrajša trajanje hospitalizacije. Ukrep se osredotoča na odrasle in pediatrične bolnike z omejeno socialno prilagoditvijo.</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Centri zagotavljajo zdravstvene in socialne storitve prek multidisciplinarn</w:t>
      </w:r>
      <w:r>
        <w:rPr>
          <w:rFonts w:ascii="Times New Roman" w:hAnsi="Times New Roman"/>
          <w:noProof/>
          <w:sz w:val="24"/>
          <w:szCs w:val="24"/>
        </w:rPr>
        <w:t>e skupine (psihiater, psiholog, medicinska sestra, socialni delavec, posebni in terapevtski pedagog). Ustanovi se skupno 38 centrov. Pri prenovi stavb je minimalni cilj doseči 30-odstotni povprečni prihranek primarne energije.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31. dece</w:t>
      </w:r>
      <w:r>
        <w:rPr>
          <w:rFonts w:ascii="Times New Roman" w:hAnsi="Times New Roman"/>
          <w:noProof/>
          <w:sz w:val="24"/>
        </w:rPr>
        <w:t>mbra 2025.</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Naložba 4: Dokončanje mreže vmesnih psihiatričnih objektov</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Cilj te naložbe je dokončati mrežo vmesnih psihiatričnih objektov, ki zagotavljajo dnevno psihiatrično oskrbo kot vmesni korak med institucionalno in ambulantno psihiatrično oskrbo.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Zgr</w:t>
      </w:r>
      <w:r>
        <w:rPr>
          <w:rFonts w:ascii="Times New Roman" w:hAnsi="Times New Roman"/>
          <w:noProof/>
          <w:sz w:val="24"/>
          <w:szCs w:val="24"/>
        </w:rPr>
        <w:t>aditi je treba skupno 15 vmesnih objektov. Pri prenovi stavb je minimalni cilj doseči 30-odstotni povprečni prihranek primarne energije.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31. decembra 2025.</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Naložba 5: Ustanovitev specializiranih centrov za motnje avtističnega spektra</w:t>
      </w:r>
      <w:r>
        <w:rPr>
          <w:rFonts w:ascii="Times New Roman" w:hAnsi="Times New Roman"/>
          <w:noProof/>
          <w:sz w:val="24"/>
        </w:rPr>
        <w:t xml:space="preserve">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Cilj je povečati razpoložljivost specializiranih ustanov za oskrbo za motnje avtističnega spektra, da se zagotovi ustrezno zdravljenje tega stanja. Ustanovi se 3 novi centri za diagnostično posredovanje za ljudi z motnjami avtističnega spektra. Osebje je u</w:t>
      </w:r>
      <w:r>
        <w:rPr>
          <w:rFonts w:ascii="Times New Roman" w:hAnsi="Times New Roman"/>
          <w:noProof/>
          <w:sz w:val="24"/>
        </w:rPr>
        <w:t>sposobljeno na področju najnovejših diagnostičnih in intervencijskih metod za to stanje.</w:t>
      </w:r>
      <w:r>
        <w:rPr>
          <w:rFonts w:ascii="Times New Roman" w:hAnsi="Times New Roman"/>
          <w:noProof/>
          <w:sz w:val="24"/>
          <w:szCs w:val="24"/>
        </w:rPr>
        <w:t xml:space="preserve"> Pri prenovi stavb je minimalni cilj doseči 30-odstotni povprečni prihranek primarne energije.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31. decembra 2025.</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Naložba 6: Vzpostavitev zbirke ps</w:t>
      </w:r>
      <w:r>
        <w:rPr>
          <w:rFonts w:ascii="Times New Roman" w:hAnsi="Times New Roman"/>
          <w:b/>
          <w:noProof/>
          <w:sz w:val="24"/>
        </w:rPr>
        <w:t>ihodiagnostičnih metod</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Cilj je pripraviti posodobljeno zbirko psihodiagnostičnih metod, ki bo na voljo strokovnjakom in ustanovam za psihološko oskrbo. Trenutno razpoložljive metode se pregledajo in posodobijo. Manjkajoče metode se dopolnijo s pridobivanje</w:t>
      </w:r>
      <w:r>
        <w:rPr>
          <w:rFonts w:ascii="Times New Roman" w:hAnsi="Times New Roman"/>
          <w:noProof/>
          <w:sz w:val="24"/>
        </w:rPr>
        <w:t>m in prevajanjem metod tujega jezika. Repozitorij je pod upravo pristojne strokovne organizacije (slovaško združenje psihologov) in vključuje digitalno različico, dostopno prek spleta.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Da bi ublažili posledice krize zaradi COVID–19, se med pandemijo upravl</w:t>
      </w:r>
      <w:r>
        <w:rPr>
          <w:rFonts w:ascii="Times New Roman" w:hAnsi="Times New Roman"/>
          <w:noProof/>
          <w:sz w:val="24"/>
        </w:rPr>
        <w:t>ja nacionalna promocijska linija za spodbujanje duševnega zdravja, ki zagotavlja psihološko podporo prek telefona in spleta.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30. junija 2025.</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 xml:space="preserve">Naložba 7: Humanizacija institucionalnega psihiatričnega varstva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Cilj naložbe je obnova inst</w:t>
      </w:r>
      <w:r>
        <w:rPr>
          <w:rFonts w:ascii="Times New Roman" w:hAnsi="Times New Roman"/>
          <w:noProof/>
          <w:sz w:val="24"/>
        </w:rPr>
        <w:t>itucionalnih psihiatričnih objektov za izboljšanje pogojev za hospitalizacijo. To se doseže z zmanjšanjem števila pacientov na sobo z neodvisnimi sanitarnimi prostori. Skupna zmogljivost pacientov ostane nespremenjena. Drug ukrep je zamenjava zaprtih poste</w:t>
      </w:r>
      <w:r>
        <w:rPr>
          <w:rFonts w:ascii="Times New Roman" w:hAnsi="Times New Roman"/>
          <w:noProof/>
          <w:sz w:val="24"/>
        </w:rPr>
        <w:t xml:space="preserve">lj z zavarovanimi prostori za osamitev.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Skupna zmogljivost 244 pacientov se prenavlja. Pri prenovi stavb je minimalni cilj doseči 30-odstotni povprečni prihranek primarne energije.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31. decembra 2025.</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Naložba 8: Usposabljanje osebja na</w:t>
      </w:r>
      <w:r>
        <w:rPr>
          <w:rFonts w:ascii="Times New Roman" w:hAnsi="Times New Roman"/>
          <w:b/>
          <w:noProof/>
          <w:sz w:val="24"/>
        </w:rPr>
        <w:t xml:space="preserve"> področju duševnega zdravja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Cilj te naložbe je povečati število strokovnega osebja s sodobno izobrazbo, kar bo omogočilo povečanje razpoložljivosti in kakovosti zagotovljene oskrbe. Cilj se doseže s posodobitvijo učnih načrtov glede na zahteve sodobnih pra</w:t>
      </w:r>
      <w:r>
        <w:rPr>
          <w:rFonts w:ascii="Times New Roman" w:hAnsi="Times New Roman"/>
          <w:noProof/>
          <w:sz w:val="24"/>
        </w:rPr>
        <w:t>ks in uvedbo novih vrst oskrbe. Odpravijo se zakonodajne ovire za priznavanje tujih kvalifikacij, zdravstvenim delavcem iz vseh sektorjev pa se omogoči dostop do kliničnega usposabljanja v zdravstvenem sektorju. Preusposabljanje na področju duševnega zdrav</w:t>
      </w:r>
      <w:r>
        <w:rPr>
          <w:rFonts w:ascii="Times New Roman" w:hAnsi="Times New Roman"/>
          <w:noProof/>
          <w:sz w:val="24"/>
        </w:rPr>
        <w:t>ja se zagotovi zdravstvenim delavcem in strokovnjakom zunaj zdravstvenega sektorja.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Skupaj se najmanj 900 delavcev v zdravstvenem sektorju preusposabljanje v različnih vrstah programov na področju duševnega zdravja.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Izvajanje tega ukrepa se zaključi do 30.</w:t>
      </w:r>
      <w:r>
        <w:rPr>
          <w:rFonts w:ascii="Times New Roman" w:hAnsi="Times New Roman"/>
          <w:noProof/>
          <w:sz w:val="24"/>
        </w:rPr>
        <w:t xml:space="preserve"> junija 2025.</w:t>
      </w:r>
    </w:p>
    <w:p w:rsidR="009B5602" w:rsidRPr="00886830" w:rsidRDefault="009B5602">
      <w:pPr>
        <w:spacing w:before="120" w:after="120" w:line="240" w:lineRule="auto"/>
        <w:jc w:val="both"/>
        <w:rPr>
          <w:rFonts w:ascii="Times New Roman" w:hAnsi="Times New Roman"/>
          <w:noProof/>
          <w:sz w:val="24"/>
          <w:lang w:val="es-ES"/>
        </w:rPr>
      </w:pPr>
    </w:p>
    <w:p w:rsidR="009B5602" w:rsidRPr="00886830" w:rsidRDefault="009B5602">
      <w:pPr>
        <w:spacing w:before="120" w:after="120" w:line="240" w:lineRule="auto"/>
        <w:ind w:left="850"/>
        <w:jc w:val="both"/>
        <w:rPr>
          <w:rFonts w:ascii="Times New Roman" w:hAnsi="Times New Roman"/>
          <w:noProof/>
          <w:sz w:val="24"/>
          <w:lang w:val="es-ES"/>
        </w:rPr>
      </w:pPr>
    </w:p>
    <w:p w:rsidR="009B5602" w:rsidRDefault="009B5602">
      <w:pPr>
        <w:spacing w:before="120" w:after="120" w:line="240" w:lineRule="auto"/>
        <w:jc w:val="both"/>
        <w:rPr>
          <w:rFonts w:ascii="Times New Roman" w:hAnsi="Times New Roman"/>
          <w:b/>
          <w:noProof/>
          <w:sz w:val="24"/>
          <w:u w:val="single"/>
        </w:rPr>
      </w:pPr>
    </w:p>
    <w:p w:rsidR="009B5602" w:rsidRDefault="009B5602">
      <w:pPr>
        <w:spacing w:before="120" w:after="120" w:line="240" w:lineRule="auto"/>
        <w:ind w:left="850"/>
        <w:jc w:val="both"/>
        <w:rPr>
          <w:rFonts w:ascii="Times New Roman" w:hAnsi="Times New Roman"/>
          <w:b/>
          <w:noProof/>
          <w:sz w:val="24"/>
          <w:u w:val="single"/>
        </w:rPr>
        <w:sectPr w:rsidR="009B5602">
          <w:headerReference w:type="even" r:id="rId150"/>
          <w:headerReference w:type="default" r:id="rId151"/>
          <w:footerReference w:type="even" r:id="rId152"/>
          <w:footerReference w:type="default" r:id="rId153"/>
          <w:headerReference w:type="first" r:id="rId154"/>
          <w:footerReference w:type="first" r:id="rId155"/>
          <w:pgSz w:w="11907" w:h="16839"/>
          <w:pgMar w:top="1134" w:right="1418" w:bottom="1134" w:left="1418" w:header="709" w:footer="709" w:gutter="0"/>
          <w:cols w:space="720"/>
          <w:docGrid w:linePitch="360"/>
        </w:sectPr>
      </w:pPr>
    </w:p>
    <w:p w:rsidR="009B5602" w:rsidRDefault="00886830">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Mejniki, cilji, kazalniki in časovni razpored za spremljanje in izvajanje nepovratne finančne podpore</w:t>
      </w:r>
    </w:p>
    <w:p w:rsidR="009B5602" w:rsidRDefault="009B5602">
      <w:pPr>
        <w:spacing w:before="120" w:after="120" w:line="240" w:lineRule="auto"/>
        <w:ind w:left="850"/>
        <w:jc w:val="both"/>
        <w:rPr>
          <w:rFonts w:ascii="Times New Roman" w:hAnsi="Times New Roman"/>
          <w:i/>
          <w:iCs/>
          <w:noProof/>
          <w:color w:val="4F81BD"/>
          <w:sz w:val="24"/>
        </w:rPr>
      </w:pPr>
    </w:p>
    <w:tbl>
      <w:tblPr>
        <w:tblW w:w="15877" w:type="dxa"/>
        <w:tblInd w:w="-459" w:type="dxa"/>
        <w:tblLook w:val="04A0" w:firstRow="1" w:lastRow="0" w:firstColumn="1" w:lastColumn="0" w:noHBand="0" w:noVBand="1"/>
      </w:tblPr>
      <w:tblGrid>
        <w:gridCol w:w="689"/>
        <w:gridCol w:w="1728"/>
        <w:gridCol w:w="1161"/>
        <w:gridCol w:w="1599"/>
        <w:gridCol w:w="1671"/>
        <w:gridCol w:w="2185"/>
        <w:gridCol w:w="1139"/>
        <w:gridCol w:w="1007"/>
        <w:gridCol w:w="1038"/>
        <w:gridCol w:w="638"/>
        <w:gridCol w:w="3022"/>
      </w:tblGrid>
      <w:tr w:rsidR="009B5602">
        <w:trPr>
          <w:trHeight w:val="900"/>
        </w:trPr>
        <w:tc>
          <w:tcPr>
            <w:tcW w:w="689" w:type="dxa"/>
            <w:vMerge w:val="restart"/>
            <w:tcBorders>
              <w:top w:val="single" w:sz="4" w:space="0" w:color="auto"/>
              <w:left w:val="single" w:sz="4" w:space="0" w:color="auto"/>
              <w:right w:val="single" w:sz="4" w:space="0" w:color="auto"/>
            </w:tcBorders>
            <w:shd w:val="clear" w:color="B4C7E7"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Zap. št.</w:t>
            </w:r>
          </w:p>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1605" w:type="dxa"/>
            <w:vMerge w:val="restart"/>
            <w:tcBorders>
              <w:top w:val="single" w:sz="4" w:space="0" w:color="auto"/>
              <w:left w:val="nil"/>
              <w:right w:val="single" w:sz="4" w:space="0" w:color="auto"/>
            </w:tcBorders>
            <w:shd w:val="clear" w:color="B4C7E7"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Povezani ukrep (reforma ali naložba)</w:t>
            </w:r>
          </w:p>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1050" w:type="dxa"/>
            <w:vMerge w:val="restart"/>
            <w:tcBorders>
              <w:top w:val="single" w:sz="4" w:space="0" w:color="auto"/>
              <w:left w:val="nil"/>
              <w:right w:val="single" w:sz="4" w:space="0" w:color="auto"/>
            </w:tcBorders>
            <w:shd w:val="clear" w:color="B4C7E7"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Mejnik/cilj</w:t>
            </w:r>
          </w:p>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1611" w:type="dxa"/>
            <w:vMerge w:val="restart"/>
            <w:tcBorders>
              <w:top w:val="single" w:sz="4" w:space="0" w:color="auto"/>
              <w:left w:val="nil"/>
              <w:right w:val="single" w:sz="4" w:space="0" w:color="auto"/>
            </w:tcBorders>
            <w:shd w:val="clear" w:color="B4C7E7"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Ime</w:t>
            </w:r>
          </w:p>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1649" w:type="dxa"/>
            <w:vMerge w:val="restart"/>
            <w:tcBorders>
              <w:top w:val="single" w:sz="4" w:space="0" w:color="auto"/>
              <w:left w:val="nil"/>
              <w:right w:val="single" w:sz="4" w:space="0" w:color="auto"/>
            </w:tcBorders>
            <w:shd w:val="clear" w:color="B4C7E7"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Kvalitativni kazalniki (za mejnike)</w:t>
            </w:r>
          </w:p>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 </w:t>
            </w:r>
          </w:p>
        </w:tc>
        <w:tc>
          <w:tcPr>
            <w:tcW w:w="4097" w:type="dxa"/>
            <w:gridSpan w:val="3"/>
            <w:tcBorders>
              <w:top w:val="single" w:sz="4" w:space="0" w:color="auto"/>
              <w:left w:val="nil"/>
              <w:bottom w:val="single" w:sz="4" w:space="0" w:color="auto"/>
              <w:right w:val="single" w:sz="4" w:space="0" w:color="000000"/>
            </w:tcBorders>
            <w:shd w:val="clear" w:color="B4C7E7"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Kvantitativni kazalniki (za cilje)</w:t>
            </w:r>
          </w:p>
        </w:tc>
        <w:tc>
          <w:tcPr>
            <w:tcW w:w="1554" w:type="dxa"/>
            <w:gridSpan w:val="2"/>
            <w:tcBorders>
              <w:top w:val="single" w:sz="4" w:space="0" w:color="auto"/>
              <w:left w:val="nil"/>
              <w:bottom w:val="single" w:sz="4" w:space="0" w:color="auto"/>
              <w:right w:val="single" w:sz="4" w:space="0" w:color="000000"/>
            </w:tcBorders>
            <w:shd w:val="clear" w:color="B4C7E7"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 xml:space="preserve">Okvirni časovni razpored za dokončanje </w:t>
            </w:r>
          </w:p>
        </w:tc>
        <w:tc>
          <w:tcPr>
            <w:tcW w:w="3622" w:type="dxa"/>
            <w:vMerge w:val="restart"/>
            <w:tcBorders>
              <w:top w:val="single" w:sz="4" w:space="0" w:color="auto"/>
              <w:left w:val="nil"/>
              <w:right w:val="single" w:sz="4" w:space="0" w:color="auto"/>
            </w:tcBorders>
            <w:shd w:val="clear" w:color="B4C7E7"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Opis in jasna opredelitev vsakega mejnika in cilja</w:t>
            </w:r>
          </w:p>
          <w:p w:rsidR="009B5602" w:rsidRDefault="00886830">
            <w:pPr>
              <w:spacing w:after="0"/>
              <w:rPr>
                <w:rFonts w:ascii="Times New Roman" w:eastAsia="Times New Roman" w:hAnsi="Times New Roman"/>
                <w:b/>
                <w:noProof/>
                <w:sz w:val="20"/>
                <w:szCs w:val="20"/>
              </w:rPr>
            </w:pPr>
            <w:r>
              <w:rPr>
                <w:rFonts w:ascii="Times New Roman" w:hAnsi="Times New Roman"/>
                <w:noProof/>
                <w:sz w:val="20"/>
                <w:szCs w:val="20"/>
              </w:rPr>
              <w:t> </w:t>
            </w:r>
          </w:p>
        </w:tc>
      </w:tr>
      <w:tr w:rsidR="009B5602">
        <w:trPr>
          <w:trHeight w:val="983"/>
        </w:trPr>
        <w:tc>
          <w:tcPr>
            <w:tcW w:w="689" w:type="dxa"/>
            <w:vMerge/>
            <w:tcBorders>
              <w:left w:val="single" w:sz="4" w:space="0" w:color="auto"/>
              <w:bottom w:val="single" w:sz="4" w:space="0" w:color="auto"/>
              <w:right w:val="single" w:sz="4" w:space="0" w:color="auto"/>
            </w:tcBorders>
            <w:shd w:val="clear" w:color="000000" w:fill="BDD7EE"/>
            <w:vAlign w:val="center"/>
            <w:hideMark/>
          </w:tcPr>
          <w:p w:rsidR="009B5602" w:rsidRDefault="009B5602">
            <w:pPr>
              <w:spacing w:after="0"/>
              <w:jc w:val="center"/>
              <w:rPr>
                <w:rFonts w:ascii="Times New Roman" w:eastAsia="Times New Roman" w:hAnsi="Times New Roman"/>
                <w:b/>
                <w:noProof/>
                <w:sz w:val="20"/>
                <w:szCs w:val="20"/>
              </w:rPr>
            </w:pPr>
          </w:p>
        </w:tc>
        <w:tc>
          <w:tcPr>
            <w:tcW w:w="1605" w:type="dxa"/>
            <w:vMerge/>
            <w:tcBorders>
              <w:left w:val="nil"/>
              <w:bottom w:val="single" w:sz="4" w:space="0" w:color="auto"/>
              <w:right w:val="single" w:sz="4" w:space="0" w:color="auto"/>
            </w:tcBorders>
            <w:shd w:val="clear" w:color="000000" w:fill="BDD7EE"/>
            <w:vAlign w:val="center"/>
            <w:hideMark/>
          </w:tcPr>
          <w:p w:rsidR="009B5602" w:rsidRDefault="009B5602">
            <w:pPr>
              <w:spacing w:after="0"/>
              <w:jc w:val="center"/>
              <w:rPr>
                <w:rFonts w:ascii="Times New Roman" w:eastAsia="Times New Roman" w:hAnsi="Times New Roman"/>
                <w:b/>
                <w:noProof/>
                <w:sz w:val="20"/>
                <w:szCs w:val="20"/>
              </w:rPr>
            </w:pPr>
          </w:p>
        </w:tc>
        <w:tc>
          <w:tcPr>
            <w:tcW w:w="1050" w:type="dxa"/>
            <w:vMerge/>
            <w:tcBorders>
              <w:left w:val="nil"/>
              <w:bottom w:val="single" w:sz="4" w:space="0" w:color="auto"/>
              <w:right w:val="single" w:sz="4" w:space="0" w:color="auto"/>
            </w:tcBorders>
            <w:shd w:val="clear" w:color="000000" w:fill="BDD7EE"/>
            <w:vAlign w:val="center"/>
            <w:hideMark/>
          </w:tcPr>
          <w:p w:rsidR="009B5602" w:rsidRDefault="009B5602">
            <w:pPr>
              <w:spacing w:after="0"/>
              <w:jc w:val="center"/>
              <w:rPr>
                <w:rFonts w:ascii="Times New Roman" w:eastAsia="Times New Roman" w:hAnsi="Times New Roman"/>
                <w:b/>
                <w:noProof/>
                <w:sz w:val="20"/>
                <w:szCs w:val="20"/>
              </w:rPr>
            </w:pPr>
          </w:p>
        </w:tc>
        <w:tc>
          <w:tcPr>
            <w:tcW w:w="1611" w:type="dxa"/>
            <w:vMerge/>
            <w:tcBorders>
              <w:left w:val="nil"/>
              <w:bottom w:val="single" w:sz="4" w:space="0" w:color="auto"/>
              <w:right w:val="single" w:sz="4" w:space="0" w:color="auto"/>
            </w:tcBorders>
            <w:shd w:val="clear" w:color="000000" w:fill="BDD7EE"/>
            <w:vAlign w:val="center"/>
            <w:hideMark/>
          </w:tcPr>
          <w:p w:rsidR="009B5602" w:rsidRDefault="009B5602">
            <w:pPr>
              <w:spacing w:after="0"/>
              <w:jc w:val="center"/>
              <w:rPr>
                <w:rFonts w:ascii="Times New Roman" w:eastAsia="Times New Roman" w:hAnsi="Times New Roman"/>
                <w:b/>
                <w:noProof/>
                <w:sz w:val="20"/>
                <w:szCs w:val="20"/>
              </w:rPr>
            </w:pPr>
          </w:p>
        </w:tc>
        <w:tc>
          <w:tcPr>
            <w:tcW w:w="1649" w:type="dxa"/>
            <w:vMerge/>
            <w:tcBorders>
              <w:left w:val="nil"/>
              <w:bottom w:val="single" w:sz="4" w:space="0" w:color="auto"/>
              <w:right w:val="single" w:sz="4" w:space="0" w:color="auto"/>
            </w:tcBorders>
            <w:shd w:val="clear" w:color="000000" w:fill="BDD7EE"/>
            <w:vAlign w:val="center"/>
            <w:hideMark/>
          </w:tcPr>
          <w:p w:rsidR="009B5602" w:rsidRDefault="009B5602">
            <w:pPr>
              <w:spacing w:after="0"/>
              <w:jc w:val="center"/>
              <w:rPr>
                <w:rFonts w:ascii="Times New Roman" w:eastAsia="Times New Roman" w:hAnsi="Times New Roman"/>
                <w:b/>
                <w:noProof/>
                <w:sz w:val="20"/>
                <w:szCs w:val="20"/>
              </w:rPr>
            </w:pPr>
          </w:p>
        </w:tc>
        <w:tc>
          <w:tcPr>
            <w:tcW w:w="2185" w:type="dxa"/>
            <w:tcBorders>
              <w:top w:val="nil"/>
              <w:left w:val="nil"/>
              <w:bottom w:val="single" w:sz="4" w:space="0" w:color="auto"/>
              <w:right w:val="single" w:sz="4" w:space="0" w:color="auto"/>
            </w:tcBorders>
            <w:shd w:val="clear" w:color="000000"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Enota merjenja</w:t>
            </w:r>
          </w:p>
        </w:tc>
        <w:tc>
          <w:tcPr>
            <w:tcW w:w="905" w:type="dxa"/>
            <w:tcBorders>
              <w:top w:val="nil"/>
              <w:left w:val="nil"/>
              <w:bottom w:val="single" w:sz="4" w:space="0" w:color="auto"/>
              <w:right w:val="single" w:sz="4" w:space="0" w:color="auto"/>
            </w:tcBorders>
            <w:shd w:val="clear" w:color="000000"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Izhodiščna raven</w:t>
            </w:r>
          </w:p>
        </w:tc>
        <w:tc>
          <w:tcPr>
            <w:tcW w:w="1007" w:type="dxa"/>
            <w:tcBorders>
              <w:top w:val="nil"/>
              <w:left w:val="nil"/>
              <w:bottom w:val="single" w:sz="4" w:space="0" w:color="auto"/>
              <w:right w:val="single" w:sz="4" w:space="0" w:color="auto"/>
            </w:tcBorders>
            <w:shd w:val="clear" w:color="000000"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Ciljna raven</w:t>
            </w:r>
          </w:p>
        </w:tc>
        <w:tc>
          <w:tcPr>
            <w:tcW w:w="916" w:type="dxa"/>
            <w:tcBorders>
              <w:top w:val="nil"/>
              <w:left w:val="nil"/>
              <w:bottom w:val="single" w:sz="4" w:space="0" w:color="auto"/>
              <w:right w:val="single" w:sz="4" w:space="0" w:color="auto"/>
            </w:tcBorders>
            <w:shd w:val="clear" w:color="000000"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Četrtletje</w:t>
            </w:r>
          </w:p>
        </w:tc>
        <w:tc>
          <w:tcPr>
            <w:tcW w:w="638" w:type="dxa"/>
            <w:tcBorders>
              <w:top w:val="nil"/>
              <w:left w:val="nil"/>
              <w:bottom w:val="single" w:sz="4" w:space="0" w:color="auto"/>
              <w:right w:val="single" w:sz="4" w:space="0" w:color="auto"/>
            </w:tcBorders>
            <w:shd w:val="clear" w:color="000000" w:fill="BDD7EE"/>
            <w:vAlign w:val="center"/>
            <w:hideMark/>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Leto</w:t>
            </w:r>
          </w:p>
        </w:tc>
        <w:tc>
          <w:tcPr>
            <w:tcW w:w="3622" w:type="dxa"/>
            <w:vMerge/>
            <w:tcBorders>
              <w:left w:val="nil"/>
              <w:bottom w:val="single" w:sz="4" w:space="0" w:color="auto"/>
              <w:right w:val="single" w:sz="4" w:space="0" w:color="auto"/>
            </w:tcBorders>
            <w:shd w:val="clear" w:color="000000" w:fill="BDD7EE"/>
            <w:vAlign w:val="center"/>
            <w:hideMark/>
          </w:tcPr>
          <w:p w:rsidR="009B5602" w:rsidRDefault="009B5602">
            <w:pPr>
              <w:spacing w:after="0"/>
              <w:rPr>
                <w:rFonts w:ascii="Times New Roman" w:eastAsia="Times New Roman" w:hAnsi="Times New Roman"/>
                <w:noProof/>
                <w:sz w:val="20"/>
                <w:szCs w:val="20"/>
              </w:rPr>
            </w:pPr>
          </w:p>
        </w:tc>
      </w:tr>
      <w:tr w:rsidR="009B5602">
        <w:trPr>
          <w:trHeight w:val="2214"/>
        </w:trPr>
        <w:tc>
          <w:tcPr>
            <w:tcW w:w="689" w:type="dxa"/>
            <w:tcBorders>
              <w:top w:val="nil"/>
              <w:left w:val="single" w:sz="4" w:space="0" w:color="auto"/>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w:t>
            </w:r>
          </w:p>
        </w:tc>
        <w:tc>
          <w:tcPr>
            <w:tcW w:w="1605"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12 – Humanitarno, </w:t>
            </w:r>
            <w:r>
              <w:rPr>
                <w:rFonts w:ascii="Times New Roman" w:hAnsi="Times New Roman"/>
                <w:noProof/>
                <w:color w:val="006100"/>
                <w:sz w:val="20"/>
                <w:szCs w:val="20"/>
              </w:rPr>
              <w:t>sodobno in dostopno varstvo duševnega zdravja – Reforma 1: Usklajeno medresorsko sodelovanje in urejanje</w:t>
            </w:r>
          </w:p>
        </w:tc>
        <w:tc>
          <w:tcPr>
            <w:tcW w:w="1050"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611"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Ustanovitev dveh usklajevalnih teles za duševno zdravje</w:t>
            </w:r>
          </w:p>
        </w:tc>
        <w:tc>
          <w:tcPr>
            <w:tcW w:w="1649"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Popolna operacionalizacija subjektov</w:t>
            </w:r>
          </w:p>
        </w:tc>
        <w:tc>
          <w:tcPr>
            <w:tcW w:w="2185" w:type="dxa"/>
            <w:tcBorders>
              <w:top w:val="nil"/>
              <w:left w:val="nil"/>
              <w:bottom w:val="single" w:sz="4" w:space="0" w:color="auto"/>
              <w:right w:val="single" w:sz="4" w:space="0" w:color="auto"/>
            </w:tcBorders>
            <w:shd w:val="clear" w:color="auto" w:fill="C6EFCE"/>
            <w:noWrap/>
            <w:hideMark/>
          </w:tcPr>
          <w:p w:rsidR="009B5602" w:rsidRDefault="009B5602">
            <w:pPr>
              <w:spacing w:after="0"/>
              <w:rPr>
                <w:rFonts w:ascii="Times New Roman" w:eastAsia="Times New Roman" w:hAnsi="Times New Roman"/>
                <w:noProof/>
                <w:color w:val="006100"/>
                <w:sz w:val="20"/>
                <w:szCs w:val="20"/>
              </w:rPr>
            </w:pPr>
          </w:p>
        </w:tc>
        <w:tc>
          <w:tcPr>
            <w:tcW w:w="905" w:type="dxa"/>
            <w:tcBorders>
              <w:top w:val="nil"/>
              <w:left w:val="nil"/>
              <w:bottom w:val="single" w:sz="4" w:space="0" w:color="auto"/>
              <w:right w:val="single" w:sz="4" w:space="0" w:color="auto"/>
            </w:tcBorders>
            <w:shd w:val="clear" w:color="auto" w:fill="C6EFCE"/>
            <w:noWrap/>
            <w:hideMark/>
          </w:tcPr>
          <w:p w:rsidR="009B5602" w:rsidRDefault="009B5602">
            <w:pPr>
              <w:spacing w:after="0"/>
              <w:rPr>
                <w:rFonts w:ascii="Times New Roman" w:eastAsia="Times New Roman" w:hAnsi="Times New Roman"/>
                <w:noProof/>
                <w:color w:val="006100"/>
                <w:sz w:val="20"/>
                <w:szCs w:val="20"/>
              </w:rPr>
            </w:pPr>
          </w:p>
        </w:tc>
        <w:tc>
          <w:tcPr>
            <w:tcW w:w="1007" w:type="dxa"/>
            <w:tcBorders>
              <w:top w:val="nil"/>
              <w:left w:val="nil"/>
              <w:bottom w:val="single" w:sz="4" w:space="0" w:color="auto"/>
              <w:right w:val="single" w:sz="4" w:space="0" w:color="auto"/>
            </w:tcBorders>
            <w:shd w:val="clear" w:color="auto" w:fill="C6EFCE"/>
            <w:noWrap/>
            <w:hideMark/>
          </w:tcPr>
          <w:p w:rsidR="009B5602" w:rsidRDefault="009B5602">
            <w:pPr>
              <w:spacing w:after="0"/>
              <w:rPr>
                <w:rFonts w:ascii="Times New Roman" w:eastAsia="Times New Roman" w:hAnsi="Times New Roman"/>
                <w:noProof/>
                <w:color w:val="006100"/>
                <w:sz w:val="20"/>
                <w:szCs w:val="20"/>
              </w:rPr>
            </w:pPr>
          </w:p>
        </w:tc>
        <w:tc>
          <w:tcPr>
            <w:tcW w:w="916"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638"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Ustanovita se dva usklajevalna organa: </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1.Svet vlade za duševno zdravje; </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2.Združenje psihologov </w:t>
            </w:r>
          </w:p>
          <w:p w:rsidR="009B5602" w:rsidRDefault="009B5602">
            <w:pPr>
              <w:spacing w:after="0"/>
              <w:rPr>
                <w:rFonts w:ascii="Times New Roman" w:eastAsia="Times New Roman" w:hAnsi="Times New Roman"/>
                <w:noProof/>
                <w:color w:val="006100"/>
                <w:sz w:val="20"/>
                <w:szCs w:val="20"/>
              </w:rPr>
            </w:pP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Svet usklajuje politike med pristojnimi ministrstvi na področju duševnega zdravja. Pripravi nacionalni program duševnega zdravja in akcijski načrt, ki ju odobri slovaška vlada.</w:t>
            </w:r>
          </w:p>
          <w:p w:rsidR="009B5602" w:rsidRDefault="009B5602">
            <w:pPr>
              <w:spacing w:after="0"/>
              <w:rPr>
                <w:rFonts w:ascii="Times New Roman" w:eastAsia="Times New Roman" w:hAnsi="Times New Roman"/>
                <w:noProof/>
                <w:color w:val="006100"/>
                <w:sz w:val="20"/>
                <w:szCs w:val="20"/>
              </w:rPr>
            </w:pP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Združenje je regist</w:t>
            </w:r>
            <w:r>
              <w:rPr>
                <w:rFonts w:ascii="Times New Roman" w:hAnsi="Times New Roman"/>
                <w:noProof/>
                <w:color w:val="006100"/>
                <w:sz w:val="20"/>
                <w:szCs w:val="20"/>
              </w:rPr>
              <w:t xml:space="preserve">rirana poklicna organizacija psihologa v vseh funkcionalnih sektorjih (tj. ne le v zdravstvenem sektorju). Vodi digitalni register poklicnih psihologov, ki delajo na področju zdravja, izobraževanja, socialnih zadev, pravosodja, notranjih zadev, obrambe in </w:t>
            </w:r>
            <w:r>
              <w:rPr>
                <w:rFonts w:ascii="Times New Roman" w:hAnsi="Times New Roman"/>
                <w:noProof/>
                <w:color w:val="006100"/>
                <w:sz w:val="20"/>
                <w:szCs w:val="20"/>
              </w:rPr>
              <w:t xml:space="preserve">drugih.  </w:t>
            </w:r>
          </w:p>
        </w:tc>
      </w:tr>
      <w:tr w:rsidR="009B5602">
        <w:trPr>
          <w:trHeight w:val="2078"/>
        </w:trPr>
        <w:tc>
          <w:tcPr>
            <w:tcW w:w="689" w:type="dxa"/>
            <w:tcBorders>
              <w:top w:val="nil"/>
              <w:left w:val="single" w:sz="4" w:space="0" w:color="auto"/>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w:t>
            </w:r>
          </w:p>
        </w:tc>
        <w:tc>
          <w:tcPr>
            <w:tcW w:w="1605"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12 – Humanitarno, sodobno in dostopno varstvo duševnega zdravja – Naložba 1: Vodenje projektov in priprava projektov na naložbe</w:t>
            </w:r>
          </w:p>
          <w:p w:rsidR="009B5602" w:rsidRDefault="009B5602">
            <w:pPr>
              <w:spacing w:after="0"/>
              <w:rPr>
                <w:rFonts w:ascii="Times New Roman" w:eastAsia="Times New Roman" w:hAnsi="Times New Roman"/>
                <w:noProof/>
                <w:color w:val="006100"/>
                <w:sz w:val="20"/>
                <w:szCs w:val="20"/>
              </w:rPr>
            </w:pP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12 – Humanitarno, sodobno in dostopno varstvo duševnega zdravja – Naložba 2: Vzpostavitev centrov za pridržanje</w:t>
            </w:r>
          </w:p>
        </w:tc>
        <w:tc>
          <w:tcPr>
            <w:tcW w:w="1050"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611"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Zmogljivost centrov za pridržanje pacientov</w:t>
            </w:r>
          </w:p>
        </w:tc>
        <w:tc>
          <w:tcPr>
            <w:tcW w:w="1649" w:type="dxa"/>
            <w:tcBorders>
              <w:top w:val="nil"/>
              <w:left w:val="nil"/>
              <w:bottom w:val="single" w:sz="4" w:space="0" w:color="auto"/>
              <w:right w:val="single" w:sz="4" w:space="0" w:color="auto"/>
            </w:tcBorders>
            <w:shd w:val="clear" w:color="auto" w:fill="C6EFCE"/>
            <w:noWrap/>
            <w:hideMark/>
          </w:tcPr>
          <w:p w:rsidR="009B5602" w:rsidRDefault="009B5602">
            <w:pPr>
              <w:spacing w:after="0"/>
              <w:rPr>
                <w:rFonts w:ascii="Times New Roman" w:eastAsia="Times New Roman" w:hAnsi="Times New Roman"/>
                <w:noProof/>
                <w:color w:val="006100"/>
                <w:sz w:val="20"/>
                <w:szCs w:val="20"/>
              </w:rPr>
            </w:pPr>
          </w:p>
        </w:tc>
        <w:tc>
          <w:tcPr>
            <w:tcW w:w="2185"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905"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1007"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150</w:t>
            </w:r>
          </w:p>
        </w:tc>
        <w:tc>
          <w:tcPr>
            <w:tcW w:w="916"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638"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Začetek uporabe novih centrov za pridržanje z zmogljivostjo 150 psihiatričnih bolnikov.    </w:t>
            </w:r>
          </w:p>
        </w:tc>
      </w:tr>
      <w:tr w:rsidR="009B5602">
        <w:trPr>
          <w:trHeight w:val="1436"/>
        </w:trPr>
        <w:tc>
          <w:tcPr>
            <w:tcW w:w="689" w:type="dxa"/>
            <w:tcBorders>
              <w:top w:val="nil"/>
              <w:left w:val="single" w:sz="4" w:space="0" w:color="auto"/>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3</w:t>
            </w:r>
          </w:p>
        </w:tc>
        <w:tc>
          <w:tcPr>
            <w:tcW w:w="1605"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12 – Humanitarno, sodobno in dostopno varstvo duševnega zdravja – Reforma 2: Razvoj akutno podcenjenih področij zmogljivosti pri varstvu duševnega zdravja </w:t>
            </w:r>
          </w:p>
          <w:p w:rsidR="009B5602" w:rsidRDefault="009B5602">
            <w:pPr>
              <w:spacing w:after="0"/>
              <w:rPr>
                <w:rFonts w:ascii="Times New Roman" w:eastAsia="Times New Roman" w:hAnsi="Times New Roman"/>
                <w:noProof/>
                <w:color w:val="006100"/>
                <w:sz w:val="20"/>
                <w:szCs w:val="20"/>
              </w:rPr>
            </w:pP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12 – Humanitarno, sodobno in dostopno varstvo duševnega zdravja – Naložba 1: Vodenje projektov in </w:t>
            </w:r>
            <w:r>
              <w:rPr>
                <w:rFonts w:ascii="Times New Roman" w:hAnsi="Times New Roman"/>
                <w:noProof/>
                <w:color w:val="006100"/>
                <w:sz w:val="20"/>
                <w:szCs w:val="20"/>
              </w:rPr>
              <w:t>priprava projektov na naložbe</w:t>
            </w:r>
          </w:p>
          <w:p w:rsidR="009B5602" w:rsidRDefault="009B5602">
            <w:pPr>
              <w:spacing w:after="0"/>
              <w:rPr>
                <w:rFonts w:ascii="Times New Roman" w:eastAsia="Times New Roman" w:hAnsi="Times New Roman"/>
                <w:noProof/>
                <w:color w:val="006100"/>
                <w:sz w:val="20"/>
                <w:szCs w:val="20"/>
              </w:rPr>
            </w:pP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12 – Humanitarno, sodobno in dostopno varstvo duševnega zdravja – Naložba 3: Izgradnjo psihosocialnih centrov; </w:t>
            </w:r>
          </w:p>
          <w:p w:rsidR="009B5602" w:rsidRDefault="009B5602">
            <w:pPr>
              <w:spacing w:after="0"/>
              <w:rPr>
                <w:rFonts w:ascii="Times New Roman" w:eastAsia="Times New Roman" w:hAnsi="Times New Roman"/>
                <w:noProof/>
                <w:color w:val="006100"/>
                <w:sz w:val="20"/>
                <w:szCs w:val="20"/>
              </w:rPr>
            </w:pP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12 – Humanitarno, sodobno in dostopno varstvo duševnega zdravja – Naložba 4: Dokončanje mreže vmesnih psihiatrič</w:t>
            </w:r>
            <w:r>
              <w:rPr>
                <w:rFonts w:ascii="Times New Roman" w:hAnsi="Times New Roman"/>
                <w:noProof/>
                <w:color w:val="006100"/>
                <w:sz w:val="20"/>
                <w:szCs w:val="20"/>
              </w:rPr>
              <w:t>nih objektov;</w:t>
            </w:r>
          </w:p>
          <w:p w:rsidR="009B5602" w:rsidRDefault="009B5602">
            <w:pPr>
              <w:spacing w:after="0"/>
              <w:rPr>
                <w:rFonts w:ascii="Times New Roman" w:eastAsia="Times New Roman" w:hAnsi="Times New Roman"/>
                <w:noProof/>
                <w:color w:val="006100"/>
                <w:sz w:val="20"/>
                <w:szCs w:val="20"/>
              </w:rPr>
            </w:pP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12 – Humanitarno, sodobno in dostopno varstvo duševnega zdravja – Naložba 5: Ustanovitev specializiranih centrov za motnje avtističnega spektra </w:t>
            </w:r>
          </w:p>
          <w:p w:rsidR="009B5602" w:rsidRDefault="009B5602">
            <w:pPr>
              <w:spacing w:after="0"/>
              <w:rPr>
                <w:rFonts w:ascii="Times New Roman" w:eastAsia="Times New Roman" w:hAnsi="Times New Roman"/>
                <w:noProof/>
                <w:color w:val="006100"/>
                <w:sz w:val="20"/>
                <w:szCs w:val="20"/>
              </w:rPr>
            </w:pPr>
          </w:p>
          <w:p w:rsidR="009B5602" w:rsidRDefault="009B5602">
            <w:pPr>
              <w:spacing w:after="0"/>
              <w:rPr>
                <w:rFonts w:ascii="Times New Roman" w:eastAsia="Times New Roman" w:hAnsi="Times New Roman"/>
                <w:noProof/>
                <w:color w:val="006100"/>
                <w:sz w:val="20"/>
                <w:szCs w:val="20"/>
              </w:rPr>
            </w:pPr>
          </w:p>
        </w:tc>
        <w:tc>
          <w:tcPr>
            <w:tcW w:w="1050"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611"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 ustanovljenih centrov za duševno zdravje v skupnosti</w:t>
            </w:r>
          </w:p>
        </w:tc>
        <w:tc>
          <w:tcPr>
            <w:tcW w:w="1649" w:type="dxa"/>
            <w:tcBorders>
              <w:top w:val="nil"/>
              <w:left w:val="nil"/>
              <w:bottom w:val="single" w:sz="4" w:space="0" w:color="auto"/>
              <w:right w:val="single" w:sz="4" w:space="0" w:color="auto"/>
            </w:tcBorders>
            <w:shd w:val="clear" w:color="auto" w:fill="C6EFCE"/>
            <w:hideMark/>
          </w:tcPr>
          <w:p w:rsidR="009B5602" w:rsidRDefault="009B5602">
            <w:pPr>
              <w:spacing w:after="0"/>
              <w:rPr>
                <w:rFonts w:ascii="Times New Roman" w:eastAsia="Times New Roman" w:hAnsi="Times New Roman"/>
                <w:noProof/>
                <w:color w:val="006100"/>
                <w:sz w:val="20"/>
                <w:szCs w:val="20"/>
              </w:rPr>
            </w:pPr>
          </w:p>
        </w:tc>
        <w:tc>
          <w:tcPr>
            <w:tcW w:w="2185"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905"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1007"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56</w:t>
            </w:r>
          </w:p>
        </w:tc>
        <w:tc>
          <w:tcPr>
            <w:tcW w:w="916"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638"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Začete</w:t>
            </w:r>
            <w:r>
              <w:rPr>
                <w:rFonts w:ascii="Times New Roman" w:hAnsi="Times New Roman"/>
                <w:noProof/>
                <w:color w:val="006100"/>
                <w:sz w:val="20"/>
                <w:szCs w:val="20"/>
              </w:rPr>
              <w:t>k uporabe 56 zdravstvenih in socialnovarstvenih centrov v skupnosti: psihosocialni centri, dnevni stacionarni objekti in oprema za avtistične motnje.</w:t>
            </w:r>
          </w:p>
        </w:tc>
      </w:tr>
      <w:tr w:rsidR="009B5602">
        <w:trPr>
          <w:trHeight w:val="2853"/>
        </w:trPr>
        <w:tc>
          <w:tcPr>
            <w:tcW w:w="689" w:type="dxa"/>
            <w:tcBorders>
              <w:top w:val="nil"/>
              <w:left w:val="single" w:sz="4" w:space="0" w:color="auto"/>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4</w:t>
            </w:r>
          </w:p>
        </w:tc>
        <w:tc>
          <w:tcPr>
            <w:tcW w:w="1605"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12 – Humanitarno, sodobno in dostopno varstvo duševnega zdravja – Reforma 3: Posodobitev diagnostičnih </w:t>
            </w:r>
            <w:r>
              <w:rPr>
                <w:rFonts w:ascii="Times New Roman" w:hAnsi="Times New Roman"/>
                <w:noProof/>
                <w:color w:val="006100"/>
                <w:sz w:val="20"/>
                <w:szCs w:val="20"/>
              </w:rPr>
              <w:t>metod in zdravljenj</w:t>
            </w:r>
          </w:p>
          <w:p w:rsidR="009B5602" w:rsidRDefault="009B5602">
            <w:pPr>
              <w:spacing w:after="0"/>
              <w:rPr>
                <w:rFonts w:ascii="Times New Roman" w:eastAsia="Times New Roman" w:hAnsi="Times New Roman"/>
                <w:noProof/>
                <w:color w:val="006100"/>
                <w:sz w:val="20"/>
                <w:szCs w:val="20"/>
              </w:rPr>
            </w:pP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12 – Humanitarno, sodobno in dostopno varstvo duševnega zdravja – Naložba 6: Vzpostavitev zbirke psihodiagnostičnih metod</w:t>
            </w:r>
          </w:p>
        </w:tc>
        <w:tc>
          <w:tcPr>
            <w:tcW w:w="1050"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611"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 registriranih in standardiziranih psihoagnostičnih metod</w:t>
            </w:r>
          </w:p>
        </w:tc>
        <w:tc>
          <w:tcPr>
            <w:tcW w:w="1649" w:type="dxa"/>
            <w:tcBorders>
              <w:top w:val="nil"/>
              <w:left w:val="nil"/>
              <w:bottom w:val="nil"/>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w:t>
            </w:r>
          </w:p>
        </w:tc>
        <w:tc>
          <w:tcPr>
            <w:tcW w:w="2185"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905"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1007"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112</w:t>
            </w:r>
          </w:p>
        </w:tc>
        <w:tc>
          <w:tcPr>
            <w:tcW w:w="916"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638"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Vzpostavitev digitalnega registra psihodiagnostičnih metod. </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Od skupnega cilja 125 novih in posodobljenih standardiziranih metod se zagotovi standardizacija metod 112, ki jih izbere strokovna skupina. </w:t>
            </w:r>
          </w:p>
          <w:p w:rsidR="009B5602" w:rsidRDefault="009B5602">
            <w:pPr>
              <w:spacing w:after="0"/>
              <w:rPr>
                <w:rFonts w:ascii="Times New Roman" w:eastAsia="Times New Roman" w:hAnsi="Times New Roman"/>
                <w:noProof/>
                <w:color w:val="006100"/>
                <w:sz w:val="20"/>
                <w:szCs w:val="20"/>
              </w:rPr>
            </w:pPr>
          </w:p>
          <w:p w:rsidR="009B5602" w:rsidRDefault="009B5602">
            <w:pPr>
              <w:spacing w:after="0"/>
              <w:rPr>
                <w:rFonts w:ascii="Times New Roman" w:eastAsia="Times New Roman" w:hAnsi="Times New Roman"/>
                <w:noProof/>
                <w:color w:val="006100"/>
                <w:sz w:val="20"/>
                <w:szCs w:val="20"/>
              </w:rPr>
            </w:pPr>
          </w:p>
        </w:tc>
      </w:tr>
      <w:tr w:rsidR="009B5602">
        <w:trPr>
          <w:trHeight w:val="2381"/>
        </w:trPr>
        <w:tc>
          <w:tcPr>
            <w:tcW w:w="689" w:type="dxa"/>
            <w:tcBorders>
              <w:top w:val="nil"/>
              <w:left w:val="single" w:sz="4" w:space="0" w:color="auto"/>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5</w:t>
            </w:r>
          </w:p>
        </w:tc>
        <w:tc>
          <w:tcPr>
            <w:tcW w:w="1605"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12 – Humanitarno, sodobno in dostopno varstvo </w:t>
            </w:r>
            <w:r>
              <w:rPr>
                <w:rFonts w:ascii="Times New Roman" w:hAnsi="Times New Roman"/>
                <w:noProof/>
                <w:color w:val="006100"/>
                <w:sz w:val="20"/>
                <w:szCs w:val="20"/>
              </w:rPr>
              <w:t>duševnega zdravja – Reforma 3: Posodobitev diagnostičnih metod in zdravljenj</w:t>
            </w:r>
          </w:p>
          <w:p w:rsidR="009B5602" w:rsidRDefault="009B5602">
            <w:pPr>
              <w:spacing w:after="0"/>
              <w:rPr>
                <w:rFonts w:ascii="Times New Roman" w:eastAsia="Times New Roman" w:hAnsi="Times New Roman"/>
                <w:noProof/>
                <w:color w:val="006100"/>
                <w:sz w:val="20"/>
                <w:szCs w:val="20"/>
              </w:rPr>
            </w:pP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12 – Humanitarno, sodobno in dostopno varstvo duševnega zdravja – Naložba 1: Vodenje projektov in priprava projektov na naložbe</w:t>
            </w:r>
          </w:p>
          <w:p w:rsidR="009B5602" w:rsidRDefault="009B5602">
            <w:pPr>
              <w:spacing w:after="0"/>
              <w:rPr>
                <w:rFonts w:ascii="Times New Roman" w:eastAsia="Times New Roman" w:hAnsi="Times New Roman"/>
                <w:noProof/>
                <w:color w:val="006100"/>
                <w:sz w:val="20"/>
                <w:szCs w:val="20"/>
              </w:rPr>
            </w:pP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12 – Humanitarno, sodobno in dostopno varstvo duš</w:t>
            </w:r>
            <w:r>
              <w:rPr>
                <w:rFonts w:ascii="Times New Roman" w:hAnsi="Times New Roman"/>
                <w:noProof/>
                <w:color w:val="006100"/>
                <w:sz w:val="20"/>
                <w:szCs w:val="20"/>
              </w:rPr>
              <w:t>evnega zdravja – Naložba 7: Humanizacija institucionalnega psihiatričnega varstva</w:t>
            </w:r>
          </w:p>
        </w:tc>
        <w:tc>
          <w:tcPr>
            <w:tcW w:w="1050"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611"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Zmogljivost pacientov v pretvorjenih prostorih v ustanovah za psihiatrično nego.</w:t>
            </w:r>
          </w:p>
        </w:tc>
        <w:tc>
          <w:tcPr>
            <w:tcW w:w="1649" w:type="dxa"/>
            <w:tcBorders>
              <w:top w:val="single" w:sz="4" w:space="0" w:color="auto"/>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w:t>
            </w:r>
          </w:p>
        </w:tc>
        <w:tc>
          <w:tcPr>
            <w:tcW w:w="2185"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905"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1007"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244</w:t>
            </w:r>
          </w:p>
        </w:tc>
        <w:tc>
          <w:tcPr>
            <w:tcW w:w="916"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638"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Končana rekonstrukcija dvoslojnih sob v ustanovah za </w:t>
            </w:r>
            <w:r>
              <w:rPr>
                <w:rFonts w:ascii="Times New Roman" w:hAnsi="Times New Roman"/>
                <w:noProof/>
                <w:color w:val="006100"/>
                <w:sz w:val="20"/>
                <w:szCs w:val="20"/>
              </w:rPr>
              <w:t>psihiatrično oskrbo s sanitarnimi prostori in zamenjava ograjenih postelj z izolacijskimi prostori.</w:t>
            </w:r>
          </w:p>
          <w:p w:rsidR="009B5602" w:rsidRDefault="009B5602">
            <w:pPr>
              <w:spacing w:after="0"/>
              <w:rPr>
                <w:rFonts w:ascii="Times New Roman" w:eastAsia="Times New Roman" w:hAnsi="Times New Roman"/>
                <w:noProof/>
                <w:color w:val="006100"/>
                <w:sz w:val="20"/>
                <w:szCs w:val="20"/>
              </w:rPr>
            </w:pPr>
          </w:p>
          <w:p w:rsidR="009B5602" w:rsidRDefault="009B5602">
            <w:pPr>
              <w:spacing w:after="0"/>
              <w:rPr>
                <w:rFonts w:ascii="Times New Roman" w:eastAsia="Times New Roman" w:hAnsi="Times New Roman"/>
                <w:noProof/>
                <w:color w:val="006100"/>
                <w:sz w:val="20"/>
                <w:szCs w:val="20"/>
              </w:rPr>
            </w:pPr>
          </w:p>
        </w:tc>
      </w:tr>
      <w:tr w:rsidR="009B5602">
        <w:trPr>
          <w:trHeight w:val="2569"/>
        </w:trPr>
        <w:tc>
          <w:tcPr>
            <w:tcW w:w="689" w:type="dxa"/>
            <w:tcBorders>
              <w:top w:val="nil"/>
              <w:left w:val="single" w:sz="4" w:space="0" w:color="auto"/>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6</w:t>
            </w:r>
          </w:p>
        </w:tc>
        <w:tc>
          <w:tcPr>
            <w:tcW w:w="1605"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12 – Humanitarno, sodobno in dostopno varstvo duševnega zdravja – Naložba 8: Usposabljanje osebja na področju duševnega zdravja</w:t>
            </w:r>
          </w:p>
        </w:tc>
        <w:tc>
          <w:tcPr>
            <w:tcW w:w="1050"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611"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Število delavcev v zdravstvenem sektorju, usposobljenih na področju duševnega zdravja </w:t>
            </w:r>
          </w:p>
        </w:tc>
        <w:tc>
          <w:tcPr>
            <w:tcW w:w="1649" w:type="dxa"/>
            <w:tcBorders>
              <w:top w:val="nil"/>
              <w:left w:val="nil"/>
              <w:bottom w:val="single" w:sz="4" w:space="0" w:color="auto"/>
              <w:right w:val="single" w:sz="4" w:space="0" w:color="auto"/>
            </w:tcBorders>
            <w:shd w:val="clear" w:color="auto" w:fill="C6EFCE"/>
            <w:noWrap/>
            <w:hideMark/>
          </w:tcPr>
          <w:p w:rsidR="009B5602" w:rsidRDefault="009B5602">
            <w:pPr>
              <w:spacing w:after="0"/>
              <w:rPr>
                <w:rFonts w:ascii="Times New Roman" w:eastAsia="Times New Roman" w:hAnsi="Times New Roman"/>
                <w:noProof/>
                <w:color w:val="006100"/>
                <w:sz w:val="20"/>
                <w:szCs w:val="20"/>
              </w:rPr>
            </w:pPr>
          </w:p>
        </w:tc>
        <w:tc>
          <w:tcPr>
            <w:tcW w:w="2185"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905"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1007"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900</w:t>
            </w:r>
          </w:p>
        </w:tc>
        <w:tc>
          <w:tcPr>
            <w:tcW w:w="916"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638" w:type="dxa"/>
            <w:tcBorders>
              <w:top w:val="nil"/>
              <w:left w:val="nil"/>
              <w:bottom w:val="single" w:sz="4" w:space="0" w:color="auto"/>
              <w:right w:val="single" w:sz="4" w:space="0" w:color="auto"/>
            </w:tcBorders>
            <w:shd w:val="clear" w:color="auto" w:fill="C6EFCE"/>
            <w:noWrap/>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Od splošnega cilja zagotavljanja usposabljanja na področju duševnega zdravja za 1 000 delavcev se za 900 zdravstvenih delavcev opravi kratko– ali </w:t>
            </w:r>
            <w:r>
              <w:rPr>
                <w:rFonts w:ascii="Times New Roman" w:hAnsi="Times New Roman"/>
                <w:noProof/>
                <w:color w:val="006100"/>
                <w:sz w:val="20"/>
                <w:szCs w:val="20"/>
              </w:rPr>
              <w:t xml:space="preserve">dolgoročno potrjeno usposabljanje na področju duševnega zdravja. </w:t>
            </w:r>
          </w:p>
          <w:p w:rsidR="009B5602" w:rsidRDefault="009B5602">
            <w:pPr>
              <w:spacing w:after="0"/>
              <w:rPr>
                <w:rFonts w:ascii="Times New Roman" w:eastAsia="Times New Roman" w:hAnsi="Times New Roman"/>
                <w:noProof/>
                <w:color w:val="006100"/>
                <w:sz w:val="20"/>
                <w:szCs w:val="20"/>
              </w:rPr>
            </w:pPr>
          </w:p>
        </w:tc>
      </w:tr>
    </w:tbl>
    <w:p w:rsidR="009B5602" w:rsidRPr="00886830" w:rsidRDefault="009B5602">
      <w:pPr>
        <w:spacing w:before="120" w:after="120" w:line="240" w:lineRule="auto"/>
        <w:jc w:val="both"/>
        <w:rPr>
          <w:rFonts w:ascii="Times New Roman" w:hAnsi="Times New Roman"/>
          <w:noProof/>
          <w:sz w:val="24"/>
        </w:rPr>
        <w:sectPr w:rsidR="009B5602" w:rsidRPr="00886830">
          <w:headerReference w:type="even" r:id="rId156"/>
          <w:headerReference w:type="default" r:id="rId157"/>
          <w:footerReference w:type="even" r:id="rId158"/>
          <w:footerReference w:type="default" r:id="rId159"/>
          <w:headerReference w:type="first" r:id="rId160"/>
          <w:footerReference w:type="first" r:id="rId161"/>
          <w:pgSz w:w="16839" w:h="11907" w:orient="landscape"/>
          <w:pgMar w:top="567" w:right="1134" w:bottom="1134" w:left="1134" w:header="709" w:footer="709" w:gutter="0"/>
          <w:cols w:space="720"/>
          <w:docGrid w:linePitch="360"/>
        </w:sectPr>
      </w:pPr>
    </w:p>
    <w:p w:rsidR="009B5602" w:rsidRDefault="00886830">
      <w:pPr>
        <w:keepNext/>
        <w:tabs>
          <w:tab w:val="left" w:pos="1134"/>
        </w:tabs>
        <w:spacing w:before="120" w:after="120" w:line="240" w:lineRule="auto"/>
        <w:ind w:firstLine="142"/>
        <w:jc w:val="both"/>
        <w:outlineLvl w:val="0"/>
        <w:rPr>
          <w:rFonts w:ascii="Times New Roman" w:hAnsi="Times New Roman"/>
          <w:b/>
          <w:smallCaps/>
          <w:noProof/>
          <w:sz w:val="24"/>
          <w:szCs w:val="24"/>
        </w:rPr>
      </w:pPr>
      <w:r>
        <w:rPr>
          <w:rFonts w:ascii="Times New Roman" w:hAnsi="Times New Roman"/>
          <w:b/>
          <w:smallCaps/>
          <w:noProof/>
          <w:sz w:val="24"/>
          <w:szCs w:val="24"/>
        </w:rPr>
        <w:t>KOMPONENTA 13: Dostopno in visokokakovostno dolgotrajno socialno-zdravstveno varstvo</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Sistem dolgotrajne oskrbe Slovaške ni </w:t>
      </w:r>
      <w:r>
        <w:rPr>
          <w:rFonts w:ascii="Times New Roman" w:hAnsi="Times New Roman"/>
          <w:noProof/>
          <w:sz w:val="24"/>
          <w:szCs w:val="24"/>
        </w:rPr>
        <w:t>pripravljen na pričakovano hitro staranje prebivalstva. Delež prebivalstva, starejšega od 65 let, se do leta 2040 poveča s sedanjih 16 % na več kot 24 %. Dostop do kakovostne in cenovno dostopne dolgotrajne oskrbe je nezadosten zaradi splošnega nezadostneg</w:t>
      </w:r>
      <w:r>
        <w:rPr>
          <w:rFonts w:ascii="Times New Roman" w:hAnsi="Times New Roman"/>
          <w:noProof/>
          <w:sz w:val="24"/>
          <w:szCs w:val="24"/>
        </w:rPr>
        <w:t>a financiranja storitev oskrbe v skupnosti in na domu, razdrobljenega upravljanja ter pomanjkanja sistemskega usklajevanja socialnih in zdravstvenih storitev. Ni celovite in ustrezne strategije, ki bi zajemala socialne in zdravstvene vidike. Neskladna je t</w:t>
      </w:r>
      <w:r>
        <w:rPr>
          <w:rFonts w:ascii="Times New Roman" w:hAnsi="Times New Roman"/>
          <w:noProof/>
          <w:sz w:val="24"/>
          <w:szCs w:val="24"/>
        </w:rPr>
        <w:t>udi ocena potreb invalidov po dolgotrajni oskrbi. Nadzor socialne oskrbe je neučinkovit in še posebej nezadosten, kar zadeva oskrbo na domu. Poleg tega je sistem financiranja razdrobljen in podpira institucionalizirano oskrbo zaradi pomanjkanja podpore sto</w:t>
      </w:r>
      <w:r>
        <w:rPr>
          <w:rFonts w:ascii="Times New Roman" w:hAnsi="Times New Roman"/>
          <w:noProof/>
          <w:sz w:val="24"/>
          <w:szCs w:val="24"/>
        </w:rPr>
        <w:t>ritvam na domu in v skupnosti. Zato primanjkuje ustreznih storitev dolgotrajne in paliativne oskrbe, zlasti v ustanovah za oskrbo na domu in v skupnosti.</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Ta komponenta slovaškega načrta za okrevanje in odpornost bo Slovaško pripravila na hitro starajoče se</w:t>
      </w:r>
      <w:r>
        <w:rPr>
          <w:rFonts w:ascii="Times New Roman" w:hAnsi="Times New Roman"/>
          <w:noProof/>
          <w:sz w:val="24"/>
          <w:szCs w:val="24"/>
        </w:rPr>
        <w:t xml:space="preserve"> prebivalstvo z zagotavljanjem visokokakovostne, dostopne in celovite podpore ljudem, ki potrebujejo dolgotrajno in paliativno oskrbo. Z zagotavljanjem take oskrbe se povečata tudi vključenost invalidov v družbo in njihova raven socialne zaščite. Cilj regu</w:t>
      </w:r>
      <w:r>
        <w:rPr>
          <w:rFonts w:ascii="Times New Roman" w:hAnsi="Times New Roman"/>
          <w:noProof/>
          <w:sz w:val="24"/>
          <w:szCs w:val="24"/>
        </w:rPr>
        <w:t>lativnih reform je bolj usklajen in bolje usklajen sistem oskrbe, ki povezuje socialno in zdravstveno varstvo, izboljšan sistem financiranja, osredotočen na potrebe ljudi, in zagotavljanje boljših spodbud za oskrbo v skupnosti, bolj usklajeno ocenjevanje p</w:t>
      </w:r>
      <w:r>
        <w:rPr>
          <w:rFonts w:ascii="Times New Roman" w:hAnsi="Times New Roman"/>
          <w:noProof/>
          <w:sz w:val="24"/>
          <w:szCs w:val="24"/>
        </w:rPr>
        <w:t>otreb invalidov po oskrbi ter boljši nadzor nad socialnim varstvom. Naložbe imajo za posledico dodatne zmogljivosti za dolgotrajno oskrbo, paliativno oskrbo in storitve po oskrbi, zlasti v zagotavljanje oskrbe na domu in v skupnosti.</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Pričakuje se, da noben</w:t>
      </w:r>
      <w:r>
        <w:rPr>
          <w:rFonts w:ascii="Times New Roman" w:hAnsi="Times New Roman"/>
          <w:noProof/>
          <w:sz w:val="24"/>
          <w:szCs w:val="24"/>
        </w:rPr>
        <w:t xml:space="preserve"> ukrep v tej komponenti ne bo znatno škodoval okoljskim ciljem v smislu člena 17 Uredbe (EU) 2020/852, ob upoštevanju opisa ukrepov in ukrepov za ublažitev, določenih v načrtu za okrevanje in odpornost v skladu s tehničnimi smernicami za uporabo načela, da</w:t>
      </w:r>
      <w:r>
        <w:rPr>
          <w:rFonts w:ascii="Times New Roman" w:hAnsi="Times New Roman"/>
          <w:noProof/>
          <w:sz w:val="24"/>
          <w:szCs w:val="24"/>
        </w:rPr>
        <w:t xml:space="preserve"> se ne škoduje bistveno (2021/C58/01).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Komponenta prispeva k obravnavi priporočila za posamezno državo št. 2 iz leta 2019, izboljšanju dostopa do cenovno dostopne in kakovostne dolgotrajne oskrbe ter k obravnavi priporočila za posamezno državo št. 1 iz l</w:t>
      </w:r>
      <w:r>
        <w:rPr>
          <w:rFonts w:ascii="Times New Roman" w:hAnsi="Times New Roman"/>
          <w:noProof/>
          <w:sz w:val="24"/>
          <w:szCs w:val="24"/>
        </w:rPr>
        <w:t>eta 2020, kar izboljšuje usklajevanje med vrstami oskrbe. Prispeva tudi k ohranjanju dolgoročne vzdržnosti javnih financ, zlasti zdravstvenega sistema, kot je priporočeno v priporočilu za posamezno državo št. 1 iz leta 2019.</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 </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 xml:space="preserve">Reforma 1: Vključevanje in </w:t>
      </w:r>
      <w:r>
        <w:rPr>
          <w:rFonts w:ascii="Times New Roman" w:hAnsi="Times New Roman"/>
          <w:b/>
          <w:noProof/>
          <w:sz w:val="24"/>
        </w:rPr>
        <w:t>financiranje dolgotrajnega socialno-zdravstvenega varstva</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Cilj te reforme je prenova struktur dolgotrajnega socialnega in zdravstvenega varstva, da se zagotovi boljše usklajevanje med vrstami oskrbe in poveča učinkovitost financiranja. Zlasti vzpostavi skl</w:t>
      </w:r>
      <w:r>
        <w:rPr>
          <w:rFonts w:ascii="Times New Roman" w:hAnsi="Times New Roman"/>
          <w:noProof/>
          <w:sz w:val="24"/>
          <w:szCs w:val="24"/>
        </w:rPr>
        <w:t>aden okvir, ki zajema socialno in zdravstveno varstvo. Glavna sprememba sistema financiranja se nanaša na uvedbo osebnega proračuna za osebe s potrebami po oskrbi in ne na sedanje razdrobljeno financiranje ponudnikov zdravstvenih storitev. Prenovljena shem</w:t>
      </w:r>
      <w:r>
        <w:rPr>
          <w:rFonts w:ascii="Times New Roman" w:hAnsi="Times New Roman"/>
          <w:noProof/>
          <w:sz w:val="24"/>
          <w:szCs w:val="24"/>
        </w:rPr>
        <w:t xml:space="preserve">a financiranja bo tudi okrepila prizadevanja za deinstitucionalizacijo oskrbe z izboljšanjem spodbud za oskrbo na domu in oskrbo v skupnosti.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Novi zakon o dolgotrajni in paliativnih negi začne veljati do 31. marca 2023, nova zakonodaja o financiranju soci</w:t>
      </w:r>
      <w:r>
        <w:rPr>
          <w:rFonts w:ascii="Times New Roman" w:hAnsi="Times New Roman"/>
          <w:noProof/>
          <w:sz w:val="24"/>
          <w:szCs w:val="24"/>
        </w:rPr>
        <w:t>alnih storitev pa začne veljati 31. decembra 2025.</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Reforma 2: Ocena potreb po oskrbi</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Ocena potreb invalidov po dolgotrajni oskrbi je neskladna zaradi razdrobljenega sistema. Čeprav to ne velja za zagotavljanje socialnih storitev, je priznanje hude invalidn</w:t>
      </w:r>
      <w:r>
        <w:rPr>
          <w:rFonts w:ascii="Times New Roman" w:hAnsi="Times New Roman"/>
          <w:noProof/>
          <w:sz w:val="24"/>
          <w:szCs w:val="24"/>
        </w:rPr>
        <w:t>osti predpogoj za dodelitev dodatka za osebno pomoč in nego.</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Ta reforma bo izboljšala in racionalizirala način priznavanja oseb s hudo invalidnostjo. Uvede enoten okvir in sistem ocenjevanja za osebno pomoč in oskrbo oseb s hudo invalidnostjo. Glavno oceno</w:t>
      </w:r>
      <w:r>
        <w:rPr>
          <w:rFonts w:ascii="Times New Roman" w:hAnsi="Times New Roman"/>
          <w:noProof/>
          <w:sz w:val="24"/>
          <w:szCs w:val="24"/>
        </w:rPr>
        <w:t xml:space="preserve"> opravijo uradi za delo, socialne zadeve in družino ter v skladu z enotno metodologijo, ki temelji na časovnem razporedu ocene invalidnosti Svetovne zdravstvene organizacije 2.0, pri čemer se oceni širok nabor potreb. Za zmanjšanje upravnega bremena in v o</w:t>
      </w:r>
      <w:r>
        <w:rPr>
          <w:rFonts w:ascii="Times New Roman" w:hAnsi="Times New Roman"/>
          <w:noProof/>
          <w:sz w:val="24"/>
          <w:szCs w:val="24"/>
        </w:rPr>
        <w:t>kviru prizadevanj za digitalizacijo ocenjevalci uporabljajo sistem e–zdravja. Ocenjevalci v 46 podružnicah prejmejo opremo, potrebno za opravljanje svojega dela.</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Reforma se izvede do 31. marca 2024.</w:t>
      </w:r>
    </w:p>
    <w:p w:rsidR="009B5602" w:rsidRDefault="009B5602">
      <w:pPr>
        <w:spacing w:before="120" w:after="120" w:line="240" w:lineRule="auto"/>
        <w:jc w:val="both"/>
        <w:rPr>
          <w:rFonts w:ascii="Times New Roman" w:eastAsia="Times New Roman" w:hAnsi="Times New Roman"/>
          <w:noProof/>
          <w:sz w:val="24"/>
          <w:szCs w:val="24"/>
        </w:rPr>
      </w:pP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Reforma 3: Utrditev nadzora socialne oskrbe in zagotavlj</w:t>
      </w:r>
      <w:r>
        <w:rPr>
          <w:rFonts w:ascii="Times New Roman" w:hAnsi="Times New Roman"/>
          <w:b/>
          <w:noProof/>
          <w:sz w:val="24"/>
        </w:rPr>
        <w:t>anje potrebne infrastrukture</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Sistem nadzora nad zagotavljanjem socialnega varstva je razdrobljen in neučinkovit. Nadzor in kontrolo trenutno izvajajo različni organi na nacionalni in regionalni ravni brez jasne razdelitve pristojnosti. Zmogljivosti za nadz</w:t>
      </w:r>
      <w:r>
        <w:rPr>
          <w:rFonts w:ascii="Times New Roman" w:hAnsi="Times New Roman"/>
          <w:noProof/>
          <w:sz w:val="24"/>
          <w:szCs w:val="24"/>
        </w:rPr>
        <w:t>or so nezadostne. Neformalna nega in osebna pomoč, zlasti nega na domu, ki jo zagotavljajo družinski člani, nista zajeti.</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Ta reforma bo utrdila nadzor nad socialnim varstvom. Ustanovi se enotni nadzorni organ. Skrbi za zagotavljanje socialnih storitev in n</w:t>
      </w:r>
      <w:r>
        <w:rPr>
          <w:rFonts w:ascii="Times New Roman" w:hAnsi="Times New Roman"/>
          <w:noProof/>
          <w:sz w:val="24"/>
          <w:szCs w:val="24"/>
        </w:rPr>
        <w:t>jihovo kakovost, kakovost in obseg pomoči za osebe, ki prejemajo osebni proračun za potrebe po oskrbi, ter zagotavljanje zdravstvenega varstva na področju socialnih storitev (skupaj z nadzornim organom za zdravstveno varstvo). Kakovost oskrbe se oceni v sk</w:t>
      </w:r>
      <w:r>
        <w:rPr>
          <w:rFonts w:ascii="Times New Roman" w:hAnsi="Times New Roman"/>
          <w:noProof/>
          <w:sz w:val="24"/>
          <w:szCs w:val="24"/>
        </w:rPr>
        <w:t>ladu z metodologijo, razvito v skladu z Zbirko orodij SZO o pravicah kakovosti. Ukrep zagotavlja tudi potrebno infrastrukturo za novi sistem nadzora, ki ga sestavljajo sedež in osem regionalnih podružnic, vključno s stavbami, vozili in opremo IT.</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Reforma s</w:t>
      </w:r>
      <w:r>
        <w:rPr>
          <w:rFonts w:ascii="Times New Roman" w:hAnsi="Times New Roman"/>
          <w:noProof/>
          <w:sz w:val="24"/>
          <w:szCs w:val="24"/>
        </w:rPr>
        <w:t>e izvede do 31. marca 2024.</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Naložba 1: Krepitev zmogljivosti socialnega varstva v skupnosti</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Na Slovaškem je zagotavljanje formalnih socialnih storitev usmerjeno v stanovanjske storitve institucionalne narave, v katerih prevladujejo velike varstvene ustanov</w:t>
      </w:r>
      <w:r>
        <w:rPr>
          <w:rFonts w:ascii="Times New Roman" w:hAnsi="Times New Roman"/>
          <w:noProof/>
          <w:sz w:val="24"/>
          <w:szCs w:val="24"/>
        </w:rPr>
        <w:t>e in ne manjše ustanove v skupnosti. Storitev ambulantne oskrbe ni.</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Na podlagi reforme 1 komponente 13 Vključevanje in financiranje dolgotrajnega socialno-zdravstvenega varstva se bodo s temi naložbami povečale zmogljivosti oskrbe v skupnosti in </w:t>
      </w:r>
      <w:r>
        <w:rPr>
          <w:rFonts w:ascii="Times New Roman" w:hAnsi="Times New Roman"/>
          <w:noProof/>
          <w:sz w:val="24"/>
          <w:szCs w:val="24"/>
        </w:rPr>
        <w:t xml:space="preserve">ambulantnih ustanov, kar bo pacientom omogočilo prenos iz velikih ustanov v manjše zmogljivosti, ki so podobne skupnostim, zagotovilo dodatne zmogljivosti za nove upravičence in zmanjšalo breme za neformalne negovalce. Natančneje, z gradnjo novih stavb in </w:t>
      </w:r>
      <w:r>
        <w:rPr>
          <w:rFonts w:ascii="Times New Roman" w:hAnsi="Times New Roman"/>
          <w:noProof/>
          <w:sz w:val="24"/>
          <w:szCs w:val="24"/>
        </w:rPr>
        <w:t>prenovo obstoječih stavb se ustvari vsaj 1 400 novih mest v objektih, ki temeljijo na skupnosti, in nizko zmogljivih zdravstvenih in socialnovarstvenih ustanovah skupaj. Poleg tega se v novih, nizko zmogljivih ambulantnih objektih s povprečno zmogljivostjo</w:t>
      </w:r>
      <w:r>
        <w:rPr>
          <w:rFonts w:ascii="Times New Roman" w:hAnsi="Times New Roman"/>
          <w:noProof/>
          <w:sz w:val="24"/>
          <w:szCs w:val="24"/>
        </w:rPr>
        <w:t xml:space="preserve"> 20 mest ustvari vsaj 2580 mest, in sicer z gradnjo novih stavb ali prenovo obstoječih stavb.</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Pri prenovi stavb je minimalni cilj doseči 30-odstotni povprečni prihranek primarne energije.</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Naložba se izvede do 30. junija 2026.</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Naložba 2: Razširitev in obnov</w:t>
      </w:r>
      <w:r>
        <w:rPr>
          <w:rFonts w:ascii="Times New Roman" w:hAnsi="Times New Roman"/>
          <w:b/>
          <w:noProof/>
          <w:sz w:val="24"/>
        </w:rPr>
        <w:t>itev zmogljivosti za oskrbo po zdravljenju in nego</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Ni dovolj jasne zakonodaje in zmogljivosti za oskrbo bolnikov po hospitalizaciji, da se zagotovi najboljša možna rehabilitacija. To pomanjkanje prispeva k nepotrebni in neučinkoviti ponovni hospitalizaciji</w:t>
      </w:r>
      <w:r>
        <w:rPr>
          <w:rFonts w:ascii="Times New Roman" w:hAnsi="Times New Roman"/>
          <w:noProof/>
          <w:sz w:val="24"/>
        </w:rPr>
        <w:t>, ki preobremeni bolnišnice. Primanjkujejo tudi zmogljivosti za nego na domu.</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S to naložbo se okrepijo zmogljivosti oskrbe, da se osebam v stiski zagotovi dobra oskrba po njihovi izpustitvi iz bolnišnice in povečajo zmogljivosti zdravstvene nege na domu. Z</w:t>
      </w:r>
      <w:r>
        <w:rPr>
          <w:rFonts w:ascii="Times New Roman" w:hAnsi="Times New Roman"/>
          <w:noProof/>
          <w:sz w:val="24"/>
        </w:rPr>
        <w:t>lasti se ustvari vsaj 650 novih postelj za oskrbo po zdravljenju, pri čemer se uporabijo sproščene zmogljivosti kronične in akutne oskrbe po optimizaciji bolnišničnega omrežja, kot je opisano v delu 11 slovaškega načrta za okrevanje in odpornost. Poleg teg</w:t>
      </w:r>
      <w:r>
        <w:rPr>
          <w:rFonts w:ascii="Times New Roman" w:hAnsi="Times New Roman"/>
          <w:noProof/>
          <w:sz w:val="24"/>
        </w:rPr>
        <w:t xml:space="preserve">a podporo prejme vsaj 91 ponudnikov zdravstvene nege na domu. To vključuje ustanovitev vsaj 11 novih ponudnikov zdravstvene nege na domu in popolno opremljanje vsaj 80 obstoječih.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30. junija 2026.</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Naložba 3: Krepitev in obnovitev zmoglji</w:t>
      </w:r>
      <w:r>
        <w:rPr>
          <w:rFonts w:ascii="Times New Roman" w:hAnsi="Times New Roman"/>
          <w:b/>
          <w:noProof/>
          <w:sz w:val="24"/>
        </w:rPr>
        <w:t xml:space="preserve">vosti za paliativno oskrbo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Mreža paliativnih storitev za bolnike z neozdravljivo boleznijo je nezadostna in ne izpolnjuje mednarodnih priporočil. Na voljo je manj kot polovica priporočene ambulantne hospice, njihova kakovost oskrbe pa je ogrožena zaradi n</w:t>
      </w:r>
      <w:r>
        <w:rPr>
          <w:rFonts w:ascii="Times New Roman" w:hAnsi="Times New Roman"/>
          <w:noProof/>
          <w:sz w:val="24"/>
          <w:szCs w:val="24"/>
        </w:rPr>
        <w:t xml:space="preserve">jihove postavitve, hkrati pa je za večino bolnikov prednostna vrsta storitve hospice. Poleg tega obstajajo velike regionalne razlike v razpoložljivosti storitev. Oddelki za paliativno nego so ustanovljeni samo v treh od osmih regij.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Na podlagi reforme 1 k</w:t>
      </w:r>
      <w:r>
        <w:rPr>
          <w:rFonts w:ascii="Times New Roman" w:hAnsi="Times New Roman"/>
          <w:noProof/>
          <w:sz w:val="24"/>
          <w:szCs w:val="24"/>
        </w:rPr>
        <w:t>omponente 13 Vključevanje in financiranje dolgotrajnega socialno-zdravstvenega varstva bodo te naložbe povečale in izboljšale zmogljivosti za paliativno oskrbo zaradi pomanjkanja takih storitev v skladu s strategijo deinstitucionalizacije, dajanja prednost</w:t>
      </w:r>
      <w:r>
        <w:rPr>
          <w:rFonts w:ascii="Times New Roman" w:hAnsi="Times New Roman"/>
          <w:noProof/>
          <w:sz w:val="24"/>
          <w:szCs w:val="24"/>
        </w:rPr>
        <w:t>i oskrbi na domu in v skupnosti. Naložba obsega:</w:t>
      </w:r>
    </w:p>
    <w:p w:rsidR="009B5602" w:rsidRDefault="00886830">
      <w:pPr>
        <w:numPr>
          <w:ilvl w:val="0"/>
          <w:numId w:val="40"/>
        </w:numPr>
        <w:spacing w:before="120" w:after="120" w:line="240" w:lineRule="auto"/>
        <w:ind w:left="0"/>
        <w:jc w:val="both"/>
        <w:rPr>
          <w:rFonts w:ascii="Times New Roman" w:eastAsia="Times New Roman" w:hAnsi="Times New Roman"/>
          <w:noProof/>
          <w:sz w:val="24"/>
        </w:rPr>
      </w:pPr>
      <w:r>
        <w:rPr>
          <w:rFonts w:ascii="Times New Roman" w:hAnsi="Times New Roman"/>
          <w:noProof/>
          <w:sz w:val="24"/>
        </w:rPr>
        <w:t>Vzpostavitev najmanj 270 novih postelj za paliativno nego v hospicah z majhno zmogljivostjo, s povprečno zmogljivostjo 20 postelj za vsako hospico, na manj pokritih območjih z gradnjo novih in prenovo obstoj</w:t>
      </w:r>
      <w:r>
        <w:rPr>
          <w:rFonts w:ascii="Times New Roman" w:hAnsi="Times New Roman"/>
          <w:noProof/>
          <w:sz w:val="24"/>
        </w:rPr>
        <w:t>ečih. Paliativni oddelki in postelje za nego v bolnišnicah se vzpostavijo z rekonstrukcijo obstoječih postelj, ki se sprostijo z reorganizacijo bolnišnične mreže.</w:t>
      </w:r>
    </w:p>
    <w:p w:rsidR="009B5602" w:rsidRDefault="00886830">
      <w:pPr>
        <w:numPr>
          <w:ilvl w:val="0"/>
          <w:numId w:val="40"/>
        </w:numPr>
        <w:spacing w:before="120" w:after="120" w:line="240" w:lineRule="auto"/>
        <w:ind w:left="0"/>
        <w:jc w:val="both"/>
        <w:rPr>
          <w:rFonts w:ascii="Times New Roman" w:eastAsia="Times New Roman" w:hAnsi="Times New Roman"/>
          <w:noProof/>
          <w:sz w:val="24"/>
        </w:rPr>
      </w:pPr>
      <w:r>
        <w:rPr>
          <w:rFonts w:ascii="Times New Roman" w:hAnsi="Times New Roman"/>
          <w:noProof/>
          <w:sz w:val="24"/>
        </w:rPr>
        <w:t>Razširitev in obnovitev ambulantne paliativne nege z vzpostavitvijo najmanj 20 novih ambulant</w:t>
      </w:r>
      <w:r>
        <w:rPr>
          <w:rFonts w:ascii="Times New Roman" w:hAnsi="Times New Roman"/>
          <w:noProof/>
          <w:sz w:val="24"/>
        </w:rPr>
        <w:t>nih hospic in obnovitvijo vsaj šestih obstoječih. To vključuje zagotavljanje potrebne fizične in tehnične opreme. Z opiranjem na novo uveljavljeno ambulantno paliativno nego v hospicah ali paliativnih oddelkih se izboljša kakovost njihove oskrbe.</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Pri preno</w:t>
      </w:r>
      <w:r>
        <w:rPr>
          <w:rFonts w:ascii="Times New Roman" w:hAnsi="Times New Roman"/>
          <w:noProof/>
          <w:sz w:val="24"/>
          <w:szCs w:val="24"/>
        </w:rPr>
        <w:t>vi stavb je minimalni cilj doseči 30-odstotni povprečni prihranek primarne energije.</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Naložba se izvede do 30. septembra 2025.</w:t>
      </w:r>
    </w:p>
    <w:p w:rsidR="009B5602" w:rsidRDefault="009B5602">
      <w:pPr>
        <w:spacing w:before="120" w:after="120" w:line="240" w:lineRule="auto"/>
        <w:jc w:val="both"/>
        <w:rPr>
          <w:rFonts w:ascii="Times New Roman" w:eastAsia="Times New Roman" w:hAnsi="Times New Roman"/>
          <w:noProof/>
          <w:sz w:val="24"/>
          <w:szCs w:val="24"/>
        </w:rPr>
      </w:pPr>
    </w:p>
    <w:p w:rsidR="009B5602" w:rsidRDefault="009B5602">
      <w:pPr>
        <w:spacing w:before="120" w:after="120" w:line="240" w:lineRule="auto"/>
        <w:jc w:val="both"/>
        <w:rPr>
          <w:rFonts w:ascii="Times New Roman" w:eastAsia="Times New Roman" w:hAnsi="Times New Roman"/>
          <w:noProof/>
          <w:sz w:val="24"/>
        </w:rPr>
        <w:sectPr w:rsidR="009B5602">
          <w:headerReference w:type="even" r:id="rId162"/>
          <w:headerReference w:type="default" r:id="rId163"/>
          <w:footerReference w:type="even" r:id="rId164"/>
          <w:footerReference w:type="default" r:id="rId165"/>
          <w:headerReference w:type="first" r:id="rId166"/>
          <w:footerReference w:type="first" r:id="rId167"/>
          <w:pgSz w:w="11907" w:h="16839"/>
          <w:pgMar w:top="1134" w:right="1418" w:bottom="1134" w:left="1418" w:header="709" w:footer="709" w:gutter="0"/>
          <w:cols w:space="720"/>
          <w:docGrid w:linePitch="360"/>
        </w:sectPr>
      </w:pPr>
    </w:p>
    <w:p w:rsidR="009B5602" w:rsidRDefault="009B5602">
      <w:pPr>
        <w:spacing w:before="120" w:after="120" w:line="240" w:lineRule="auto"/>
        <w:jc w:val="both"/>
        <w:rPr>
          <w:rFonts w:ascii="Times New Roman" w:hAnsi="Times New Roman"/>
          <w:noProof/>
          <w:sz w:val="24"/>
          <w:szCs w:val="24"/>
        </w:rPr>
      </w:pPr>
    </w:p>
    <w:p w:rsidR="009B5602" w:rsidRDefault="00886830">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 xml:space="preserve">Mejniki, cilji, kazalniki in časovni razpored za spremljanje in </w:t>
      </w:r>
      <w:r>
        <w:rPr>
          <w:rFonts w:ascii="Times New Roman" w:hAnsi="Times New Roman"/>
          <w:b/>
          <w:noProof/>
          <w:sz w:val="24"/>
          <w:u w:val="single"/>
        </w:rPr>
        <w:t>izvajanje nepovratne finančne podpore</w:t>
      </w:r>
    </w:p>
    <w:p w:rsidR="009B5602" w:rsidRDefault="009B5602">
      <w:pPr>
        <w:spacing w:before="120" w:after="120" w:line="240" w:lineRule="auto"/>
        <w:ind w:left="850"/>
        <w:jc w:val="both"/>
        <w:rPr>
          <w:rFonts w:ascii="Times New Roman" w:hAnsi="Times New Roman"/>
          <w:b/>
          <w:bCs/>
          <w:noProof/>
          <w:sz w:val="24"/>
          <w:szCs w:val="24"/>
        </w:rPr>
      </w:pPr>
    </w:p>
    <w:tbl>
      <w:tblPr>
        <w:tblW w:w="14893" w:type="dxa"/>
        <w:tblLayout w:type="fixed"/>
        <w:tblLook w:val="04A0" w:firstRow="1" w:lastRow="0" w:firstColumn="1" w:lastColumn="0" w:noHBand="0" w:noVBand="1"/>
      </w:tblPr>
      <w:tblGrid>
        <w:gridCol w:w="817"/>
        <w:gridCol w:w="1701"/>
        <w:gridCol w:w="1134"/>
        <w:gridCol w:w="827"/>
        <w:gridCol w:w="268"/>
        <w:gridCol w:w="1173"/>
        <w:gridCol w:w="1418"/>
        <w:gridCol w:w="1275"/>
        <w:gridCol w:w="1417"/>
        <w:gridCol w:w="993"/>
        <w:gridCol w:w="851"/>
        <w:gridCol w:w="3019"/>
      </w:tblGrid>
      <w:tr w:rsidR="009B5602">
        <w:trPr>
          <w:trHeight w:val="870"/>
        </w:trPr>
        <w:tc>
          <w:tcPr>
            <w:tcW w:w="817"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Zap. št.</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701"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Povezani ukrep (reforma ali naložba)</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134"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Mejnik/cilj</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827"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Ime</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441" w:type="dxa"/>
            <w:gridSpan w:val="2"/>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Kvalitativni kazalniki</w:t>
            </w:r>
            <w:r>
              <w:rPr>
                <w:rFonts w:ascii="Times New Roman" w:hAnsi="Times New Roman"/>
                <w:noProof/>
                <w:sz w:val="20"/>
                <w:szCs w:val="20"/>
              </w:rPr>
              <w:t xml:space="preserve">  </w:t>
            </w:r>
            <w:r>
              <w:rPr>
                <w:rFonts w:ascii="Times New Roman" w:hAnsi="Times New Roman"/>
                <w:b/>
                <w:bCs/>
                <w:noProof/>
                <w:sz w:val="20"/>
                <w:szCs w:val="20"/>
              </w:rPr>
              <w:t xml:space="preserve"> (za mejnike)</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4110"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Kvantitativni kazalniki</w:t>
            </w:r>
            <w:r>
              <w:rPr>
                <w:rFonts w:ascii="Times New Roman" w:hAnsi="Times New Roman"/>
                <w:noProof/>
                <w:sz w:val="20"/>
                <w:szCs w:val="20"/>
              </w:rPr>
              <w:t xml:space="preserve">  </w:t>
            </w:r>
            <w:r>
              <w:rPr>
                <w:rFonts w:ascii="Times New Roman" w:hAnsi="Times New Roman"/>
                <w:b/>
                <w:bCs/>
                <w:noProof/>
                <w:sz w:val="20"/>
                <w:szCs w:val="20"/>
              </w:rPr>
              <w:t xml:space="preserve"> (za cilje)</w:t>
            </w:r>
          </w:p>
        </w:tc>
        <w:tc>
          <w:tcPr>
            <w:tcW w:w="1844" w:type="dxa"/>
            <w:gridSpan w:val="2"/>
            <w:tcBorders>
              <w:top w:val="single" w:sz="8" w:space="0" w:color="auto"/>
              <w:left w:val="nil"/>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Okvirni časovni razpored za dokončanje </w:t>
            </w:r>
          </w:p>
        </w:tc>
        <w:tc>
          <w:tcPr>
            <w:tcW w:w="3019" w:type="dxa"/>
            <w:vMerge w:val="restart"/>
            <w:tcBorders>
              <w:top w:val="single" w:sz="8" w:space="0" w:color="auto"/>
              <w:left w:val="nil"/>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Opis in jasna opredelitev vsak</w:t>
            </w:r>
            <w:r>
              <w:rPr>
                <w:rFonts w:ascii="Times New Roman" w:hAnsi="Times New Roman"/>
                <w:b/>
                <w:bCs/>
                <w:noProof/>
                <w:sz w:val="20"/>
                <w:szCs w:val="20"/>
              </w:rPr>
              <w:t>ega mejnika in cilja</w:t>
            </w:r>
          </w:p>
          <w:p w:rsidR="009B5602" w:rsidRDefault="00886830">
            <w:pPr>
              <w:rPr>
                <w:rFonts w:ascii="Times New Roman" w:hAnsi="Times New Roman"/>
                <w:noProof/>
                <w:sz w:val="20"/>
                <w:szCs w:val="20"/>
              </w:rPr>
            </w:pPr>
            <w:r>
              <w:rPr>
                <w:rFonts w:ascii="Times New Roman" w:hAnsi="Times New Roman"/>
                <w:noProof/>
                <w:sz w:val="20"/>
                <w:szCs w:val="20"/>
              </w:rPr>
              <w:t xml:space="preserve"> </w:t>
            </w:r>
          </w:p>
        </w:tc>
      </w:tr>
      <w:tr w:rsidR="009B5602">
        <w:trPr>
          <w:trHeight w:val="240"/>
        </w:trPr>
        <w:tc>
          <w:tcPr>
            <w:tcW w:w="817"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701"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134"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827"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441" w:type="dxa"/>
            <w:gridSpan w:val="2"/>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Merska enota</w:t>
            </w:r>
          </w:p>
        </w:tc>
        <w:tc>
          <w:tcPr>
            <w:tcW w:w="1275" w:type="dxa"/>
            <w:tcBorders>
              <w:top w:val="nil"/>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Ozadje</w:t>
            </w:r>
          </w:p>
        </w:tc>
        <w:tc>
          <w:tcPr>
            <w:tcW w:w="1417" w:type="dxa"/>
            <w:tcBorders>
              <w:top w:val="nil"/>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cilj</w:t>
            </w:r>
          </w:p>
        </w:tc>
        <w:tc>
          <w:tcPr>
            <w:tcW w:w="993" w:type="dxa"/>
            <w:tcBorders>
              <w:top w:val="nil"/>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Četrtletje</w:t>
            </w:r>
          </w:p>
        </w:tc>
        <w:tc>
          <w:tcPr>
            <w:tcW w:w="851" w:type="dxa"/>
            <w:tcBorders>
              <w:top w:val="nil"/>
              <w:left w:val="nil"/>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Leto</w:t>
            </w:r>
          </w:p>
        </w:tc>
        <w:tc>
          <w:tcPr>
            <w:tcW w:w="3019" w:type="dxa"/>
            <w:vMerge/>
            <w:tcBorders>
              <w:left w:val="nil"/>
              <w:bottom w:val="single" w:sz="8" w:space="0" w:color="auto"/>
              <w:right w:val="single" w:sz="8" w:space="0" w:color="auto"/>
            </w:tcBorders>
            <w:shd w:val="clear" w:color="auto" w:fill="BDD7EE"/>
            <w:vAlign w:val="center"/>
          </w:tcPr>
          <w:p w:rsidR="009B5602" w:rsidRDefault="009B5602">
            <w:pPr>
              <w:rPr>
                <w:rFonts w:ascii="Times New Roman" w:hAnsi="Times New Roman"/>
                <w:noProof/>
                <w:sz w:val="20"/>
                <w:szCs w:val="20"/>
              </w:rPr>
            </w:pPr>
          </w:p>
        </w:tc>
      </w:tr>
      <w:tr w:rsidR="009B5602">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13 – Dostopno in visokokakovostno dolgotrajno socialno-zdravstveno varstvo – Reforma 1: Dostopno in visokokakovostno dolgotrajno socialno-zdravstveno varstvo – Reforma vključevanja in financiranja dolgotrajnega socialnega in zdravstvenega varstva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w:t>
            </w:r>
            <w:r>
              <w:rPr>
                <w:rFonts w:ascii="Times New Roman" w:hAnsi="Times New Roman"/>
                <w:noProof/>
                <w:color w:val="006100"/>
                <w:sz w:val="20"/>
                <w:szCs w:val="20"/>
              </w:rPr>
              <w:t>ejnik</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Nov zakonodajni okvir za dolgoročno zdravstveno varstvo in paliativno oskrbo</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novega zakona o dolgotrajni in paliativnih negi ter uredbe o financiranju paliativne in zdravstvene nege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Q1</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2023</w:t>
            </w:r>
          </w:p>
        </w:tc>
        <w:tc>
          <w:tcPr>
            <w:tcW w:w="3019"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Prva faza izvajanja reforme zajema</w:t>
            </w:r>
            <w:r>
              <w:rPr>
                <w:rFonts w:ascii="Times New Roman" w:hAnsi="Times New Roman"/>
                <w:noProof/>
                <w:color w:val="006100"/>
                <w:sz w:val="20"/>
                <w:szCs w:val="20"/>
              </w:rPr>
              <w:t xml:space="preserve"> ureditev povračila stroškov zdravstvene nege v ustanovah socialnega varstva s strani zdravstvenih zavarovalnic, ureditev pogodb o zdravstveni negi s strani zavarovalnic in prilagoditev povračil zdravstvenih zavarovalnic za paliativno, ambulantno in bolniš</w:t>
            </w:r>
            <w:r>
              <w:rPr>
                <w:rFonts w:ascii="Times New Roman" w:hAnsi="Times New Roman"/>
                <w:noProof/>
                <w:color w:val="006100"/>
                <w:sz w:val="20"/>
                <w:szCs w:val="20"/>
              </w:rPr>
              <w:t xml:space="preserve">nično oskrbo. Sprejetje te zakonodajne spremembe je predvideno do prvega četrtletja leta 2022. </w:t>
            </w:r>
          </w:p>
          <w:p w:rsidR="009B5602" w:rsidRDefault="00886830">
            <w:pPr>
              <w:rPr>
                <w:rFonts w:ascii="Times New Roman" w:hAnsi="Times New Roman"/>
                <w:noProof/>
                <w:sz w:val="20"/>
                <w:szCs w:val="20"/>
              </w:rPr>
            </w:pPr>
            <w:r>
              <w:rPr>
                <w:rFonts w:ascii="Times New Roman" w:hAnsi="Times New Roman"/>
                <w:noProof/>
                <w:color w:val="006100"/>
                <w:sz w:val="20"/>
                <w:szCs w:val="20"/>
              </w:rPr>
              <w:t>Naslednja faza izvajanja zajema pripravo in odobritev nove zakonodaje. Z novim zdravstvenim zakonom se opredeli področje uporabe dolgotrajne zdravstvene in pali</w:t>
            </w:r>
            <w:r>
              <w:rPr>
                <w:rFonts w:ascii="Times New Roman" w:hAnsi="Times New Roman"/>
                <w:noProof/>
                <w:color w:val="006100"/>
                <w:sz w:val="20"/>
                <w:szCs w:val="20"/>
              </w:rPr>
              <w:t>ativne oskrbe ter nadaljnja oskrba in njena povezava z drugimi vrstami oskrbe. Ta zakon se sprejme do prvega četrtletja 2023. Zakonodajne spremembe urejajo področja, ki so trenutno opredeljena z Zakonom št. 576/2004 o zdravstvenem varstvu in storitvah, pov</w:t>
            </w:r>
            <w:r>
              <w:rPr>
                <w:rFonts w:ascii="Times New Roman" w:hAnsi="Times New Roman"/>
                <w:noProof/>
                <w:color w:val="006100"/>
                <w:sz w:val="20"/>
                <w:szCs w:val="20"/>
              </w:rPr>
              <w:t>ezanih z zagotavljanjem zdravstvenega varstva.</w:t>
            </w:r>
          </w:p>
        </w:tc>
      </w:tr>
      <w:tr w:rsidR="009B5602">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13 – Dostopno in visokokakovostno dolgotrajno socialno-zdravstveno varstvo – Reforma 1: Dostopno in kakovostno dolgotrajno socialno-zdravstveno varstvo – Reforma vključevanja in financiranja dolgotrajnega </w:t>
            </w:r>
            <w:r>
              <w:rPr>
                <w:rFonts w:ascii="Times New Roman" w:hAnsi="Times New Roman"/>
                <w:noProof/>
                <w:color w:val="006100"/>
                <w:sz w:val="20"/>
                <w:szCs w:val="20"/>
              </w:rPr>
              <w:t>socialno-zdravstvenega varstva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Objava koncepta financiranja socialnih storitev za javno razpravo</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Objavljeni koncept financiranja socialnih storitev</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2023</w:t>
            </w:r>
          </w:p>
        </w:tc>
        <w:tc>
          <w:tcPr>
            <w:tcW w:w="3019"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Kot rezultat prve faze priprave reforme financiranja socialnih storitev vlada predlaga </w:t>
            </w:r>
            <w:r>
              <w:rPr>
                <w:rFonts w:ascii="Times New Roman" w:hAnsi="Times New Roman"/>
                <w:noProof/>
                <w:color w:val="006100"/>
                <w:sz w:val="20"/>
                <w:szCs w:val="20"/>
              </w:rPr>
              <w:t>nov koncept financiranja socialnih storitev za posvetovanje z zainteresiranimi stranmi.</w:t>
            </w:r>
          </w:p>
        </w:tc>
      </w:tr>
      <w:tr w:rsidR="009B5602">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3</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13 – Dostopno in visokokakovostno dolgotrajno socialno-zdravstveno varstvo – Reforma 1: Dostopno in visokokakovostno dolgotrajno socialno-zdravstveno varstvo – </w:t>
            </w:r>
            <w:r>
              <w:rPr>
                <w:rFonts w:ascii="Times New Roman" w:hAnsi="Times New Roman"/>
                <w:noProof/>
                <w:color w:val="006100"/>
                <w:sz w:val="20"/>
                <w:szCs w:val="20"/>
              </w:rPr>
              <w:t>Reforma vključevanja in financiranja dolgotrajnega socialnega in zdravstvenega varstva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Nov sistem financiranja socialnih storitev – uvedba osebnega proračuna</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zakona o financiranju socialnih storitev</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2025</w:t>
            </w:r>
          </w:p>
        </w:tc>
        <w:tc>
          <w:tcPr>
            <w:tcW w:w="3019"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w:t>
            </w:r>
            <w:r>
              <w:rPr>
                <w:rFonts w:ascii="Times New Roman" w:hAnsi="Times New Roman"/>
                <w:noProof/>
                <w:color w:val="006100"/>
                <w:sz w:val="20"/>
                <w:szCs w:val="20"/>
              </w:rPr>
              <w:t>sti zakonodaje o socialnih storitvah, ki bo uvedla nov sistem financiranja, ki bo temeljil na osebnem proračunu za ogrožene osebe. Reforma bo odpravila številne različne prispevke in ustvarila prostor za ciljno usmerjeno in celovito podporo ljudem, ki potr</w:t>
            </w:r>
            <w:r>
              <w:rPr>
                <w:rFonts w:ascii="Times New Roman" w:hAnsi="Times New Roman"/>
                <w:noProof/>
                <w:color w:val="006100"/>
                <w:sz w:val="20"/>
                <w:szCs w:val="20"/>
              </w:rPr>
              <w:t>ebujejo dolgotrajno oskrbo. Reforma financiranja podpira nastanek in razvoj storitev v skupnosti.  Zakonodajne spremembe urejajo področja, ki so trenutno opredeljena zlasti v Zakonu št. 448/2008 o socialnih storitvah in Zakonu št. 447/2008 zb. o denarnih n</w:t>
            </w:r>
            <w:r>
              <w:rPr>
                <w:rFonts w:ascii="Times New Roman" w:hAnsi="Times New Roman"/>
                <w:noProof/>
                <w:color w:val="006100"/>
                <w:sz w:val="20"/>
                <w:szCs w:val="20"/>
              </w:rPr>
              <w:t>adomestilih za nadomestilo za hudo invalidnost.</w:t>
            </w:r>
          </w:p>
        </w:tc>
      </w:tr>
      <w:tr w:rsidR="009B5602">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4</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13 – Dostopno in visokokakovostno dolgotrajno socialno-zdravstveno varstvo – Reforma 2: Dostopno in visokokakovostno dolgotrajno socialno-zdravstveno varstvo – Ocena potreb po oskrbi</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Poenotenje </w:t>
            </w:r>
            <w:r>
              <w:rPr>
                <w:rFonts w:ascii="Times New Roman" w:hAnsi="Times New Roman"/>
                <w:noProof/>
                <w:color w:val="006100"/>
                <w:sz w:val="20"/>
                <w:szCs w:val="20"/>
              </w:rPr>
              <w:t>sistema ocenjevanja</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Zakona o socialnih storitvah in spremembah Zakona št. 447/2008 o odškodnini za težje invalidne osebe</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Q1</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2024</w:t>
            </w:r>
          </w:p>
        </w:tc>
        <w:tc>
          <w:tcPr>
            <w:tcW w:w="3019"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Začetek veljavnosti zakonodaje o socialnih storitvah, ki združuje ocenjevanje, ki so ga doslej opravili različni organi, in hkrati spreminja Zakon št. 447/2008 o odškodnini za težje invalidne osebe. </w:t>
            </w:r>
          </w:p>
          <w:p w:rsidR="009B5602" w:rsidRDefault="00886830">
            <w:pPr>
              <w:rPr>
                <w:rFonts w:ascii="Times New Roman" w:hAnsi="Times New Roman"/>
                <w:noProof/>
                <w:sz w:val="20"/>
                <w:szCs w:val="20"/>
              </w:rPr>
            </w:pPr>
            <w:r>
              <w:rPr>
                <w:rFonts w:ascii="Times New Roman" w:hAnsi="Times New Roman"/>
                <w:noProof/>
                <w:color w:val="006100"/>
                <w:sz w:val="20"/>
                <w:szCs w:val="20"/>
              </w:rPr>
              <w:t>Reforma ocenjevalnega dela odpravlja neučinkovitost in b</w:t>
            </w:r>
            <w:r>
              <w:rPr>
                <w:rFonts w:ascii="Times New Roman" w:hAnsi="Times New Roman"/>
                <w:noProof/>
                <w:color w:val="006100"/>
                <w:sz w:val="20"/>
                <w:szCs w:val="20"/>
              </w:rPr>
              <w:t>irokracijo za zdravstvene ocenjevalce in ocenjevalce. Za večjo preglednost ocene se določijo nova enotna merila za pododvisnost. Ocenjevalno delo se digitalizira – zdravstveni ocenjevalci bodo uporabljali sistem e–zdravja. Za zagotovitev učinkovitega izvaj</w:t>
            </w:r>
            <w:r>
              <w:rPr>
                <w:rFonts w:ascii="Times New Roman" w:hAnsi="Times New Roman"/>
                <w:noProof/>
                <w:color w:val="006100"/>
                <w:sz w:val="20"/>
                <w:szCs w:val="20"/>
              </w:rPr>
              <w:t xml:space="preserve">anja reforme se finančna sredstva v okviru te reforme uporabijo za zagotavljanje računalniške in pisarniške opreme za 200 ocenjevalcev in vozila za vsakega od 46 vej. </w:t>
            </w:r>
          </w:p>
        </w:tc>
      </w:tr>
      <w:tr w:rsidR="009B5602">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5</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13 – Dostopno in visokokakovostno dolgotrajno socialno-zdravstveno varstvo – Reforma </w:t>
            </w:r>
            <w:r>
              <w:rPr>
                <w:rFonts w:ascii="Times New Roman" w:hAnsi="Times New Roman"/>
                <w:noProof/>
                <w:color w:val="006100"/>
                <w:sz w:val="20"/>
                <w:szCs w:val="20"/>
              </w:rPr>
              <w:t>3:  Reforma nadzora nad socialnim varstvom in zagotavljanje infrastrukture za njegovo izvajanje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Reforma nadzora nad socialnim varstvom</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zakona o nadzoru nad socialnim varstvom</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2022</w:t>
            </w:r>
          </w:p>
        </w:tc>
        <w:tc>
          <w:tcPr>
            <w:tcW w:w="3019"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zakona na področju</w:t>
            </w:r>
            <w:r>
              <w:rPr>
                <w:rFonts w:ascii="Times New Roman" w:hAnsi="Times New Roman"/>
                <w:noProof/>
                <w:color w:val="006100"/>
                <w:sz w:val="20"/>
                <w:szCs w:val="20"/>
              </w:rPr>
              <w:t xml:space="preserve"> nadzora socialne oskrbe, ki bo poenotil nadzorne pristojnosti in</w:t>
            </w:r>
            <w:r>
              <w:rPr>
                <w:rFonts w:ascii="Times New Roman" w:hAnsi="Times New Roman"/>
                <w:noProof/>
                <w:sz w:val="20"/>
                <w:szCs w:val="20"/>
              </w:rPr>
              <w:t xml:space="preserve">  </w:t>
            </w:r>
            <w:r>
              <w:rPr>
                <w:rFonts w:ascii="Times New Roman" w:hAnsi="Times New Roman"/>
                <w:noProof/>
                <w:color w:val="006100"/>
                <w:sz w:val="20"/>
                <w:szCs w:val="20"/>
              </w:rPr>
              <w:t xml:space="preserve"> – ustvaril zakonodajno podlago za delovanje novega nadzora/inšpekcijskih pregledov socialne varnosti;</w:t>
            </w:r>
            <w:r>
              <w:rPr>
                <w:rFonts w:ascii="Times New Roman" w:hAnsi="Times New Roman"/>
                <w:noProof/>
                <w:sz w:val="20"/>
                <w:szCs w:val="20"/>
              </w:rPr>
              <w:t xml:space="preserve">  </w:t>
            </w:r>
            <w:r>
              <w:rPr>
                <w:rFonts w:ascii="Times New Roman" w:hAnsi="Times New Roman"/>
                <w:noProof/>
                <w:color w:val="006100"/>
                <w:sz w:val="20"/>
                <w:szCs w:val="20"/>
              </w:rPr>
              <w:t xml:space="preserve"> – opredelil nove pogoje za kakovost oskrbe v socialnih službah in gospodinjstvih;</w:t>
            </w:r>
            <w:r>
              <w:rPr>
                <w:rFonts w:ascii="Times New Roman" w:hAnsi="Times New Roman"/>
                <w:noProof/>
                <w:sz w:val="20"/>
                <w:szCs w:val="20"/>
              </w:rPr>
              <w:t xml:space="preserve">  </w:t>
            </w:r>
            <w:r>
              <w:rPr>
                <w:rFonts w:ascii="Times New Roman" w:hAnsi="Times New Roman"/>
                <w:noProof/>
                <w:color w:val="006100"/>
                <w:sz w:val="20"/>
                <w:szCs w:val="20"/>
              </w:rPr>
              <w:t xml:space="preserve"> </w:t>
            </w:r>
            <w:r>
              <w:rPr>
                <w:rFonts w:ascii="Times New Roman" w:hAnsi="Times New Roman"/>
                <w:noProof/>
                <w:color w:val="006100"/>
                <w:sz w:val="20"/>
                <w:szCs w:val="20"/>
              </w:rPr>
              <w:t xml:space="preserve">– razširil področje nadzora na nadzor neformalne oskrbe na domu. </w:t>
            </w:r>
          </w:p>
        </w:tc>
      </w:tr>
      <w:tr w:rsidR="009B5602">
        <w:trPr>
          <w:trHeight w:val="16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6</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13 – Dostopno in visokokakovostno dolgotrajno socialno-zdravstveno varstvo – Reforma 3:  Reforma nadzora nad socialnim varstvom in zagotavljanje infrastrukture za njegovo izvajanje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Vzpostavitev enotnega nadzornega sistema s sedežem in 8 podružnicami </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9</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Q1</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2024</w:t>
            </w:r>
          </w:p>
        </w:tc>
        <w:tc>
          <w:tcPr>
            <w:tcW w:w="3019"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Dokončanje potrebne infrastrukture za delovanje nadzornega organa – sedež in 8 regionalnih podružnic. Stroški vključujejo stavbe, avtomobile, računalniško opremo in</w:t>
            </w:r>
            <w:r>
              <w:rPr>
                <w:rFonts w:ascii="Times New Roman" w:hAnsi="Times New Roman"/>
                <w:noProof/>
                <w:color w:val="006100"/>
                <w:sz w:val="20"/>
                <w:szCs w:val="20"/>
              </w:rPr>
              <w:t xml:space="preserve"> druge predpogoje.</w:t>
            </w:r>
          </w:p>
        </w:tc>
      </w:tr>
      <w:tr w:rsidR="009B5602">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7</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13 – Dostopno in visokokakovostno dolgotrajno socialno-zdravstveno varstvo – Naložba 1: Krepitev zmogljivosti socialnega varstva v skupnosti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Povečanje zmogljivosti stanovanjskih storitev v skupnosti in zdravstvenih in socialnih </w:t>
            </w:r>
            <w:r>
              <w:rPr>
                <w:rFonts w:ascii="Times New Roman" w:hAnsi="Times New Roman"/>
                <w:noProof/>
                <w:color w:val="006100"/>
                <w:sz w:val="20"/>
                <w:szCs w:val="20"/>
              </w:rPr>
              <w:t>zmogljivosti z nizko zmogljivostjo (kazalnik: najmanjše število ustvarjenih mest)</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210</w:t>
            </w:r>
          </w:p>
        </w:tc>
        <w:tc>
          <w:tcPr>
            <w:tcW w:w="993" w:type="dxa"/>
            <w:tcBorders>
              <w:top w:val="nil"/>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nil"/>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2024</w:t>
            </w:r>
          </w:p>
        </w:tc>
        <w:tc>
          <w:tcPr>
            <w:tcW w:w="301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Z gradnjo novih stavb in obnovo obstoječih stavb se skupaj ustvari vsaj 210 novih mest v objektih v skupnosti in nizko zmogljivih zdravstvenih in </w:t>
            </w:r>
            <w:r>
              <w:rPr>
                <w:rFonts w:ascii="Times New Roman" w:hAnsi="Times New Roman"/>
                <w:noProof/>
                <w:color w:val="006100"/>
                <w:sz w:val="20"/>
                <w:szCs w:val="20"/>
              </w:rPr>
              <w:t>socialnovarstvenih ustanovah.</w:t>
            </w:r>
            <w:r>
              <w:rPr>
                <w:rFonts w:ascii="Times New Roman" w:hAnsi="Times New Roman"/>
                <w:noProof/>
                <w:sz w:val="20"/>
                <w:szCs w:val="20"/>
              </w:rPr>
              <w:t xml:space="preserve"> </w:t>
            </w:r>
            <w:r>
              <w:rPr>
                <w:rFonts w:ascii="Times New Roman" w:hAnsi="Times New Roman"/>
                <w:noProof/>
                <w:color w:val="006100"/>
                <w:sz w:val="20"/>
                <w:szCs w:val="20"/>
              </w:rPr>
              <w:t xml:space="preserve"> Objekti, ki se nahajajo v Skupnosti, se večinoma nanašajo na nastanitvene zmogljivosti za družine z zmogljivostjo do 12 krajev. Ustanove za zdravstveno in socialno varstvo imajo zmogljivost do 30 krajev na vsakega.</w:t>
            </w:r>
          </w:p>
          <w:p w:rsidR="009B5602" w:rsidRDefault="00886830">
            <w:pPr>
              <w:rPr>
                <w:rFonts w:ascii="Times New Roman" w:hAnsi="Times New Roman"/>
                <w:noProof/>
                <w:sz w:val="20"/>
                <w:szCs w:val="20"/>
              </w:rPr>
            </w:pPr>
            <w:r>
              <w:rPr>
                <w:rFonts w:ascii="Times New Roman" w:hAnsi="Times New Roman"/>
                <w:noProof/>
                <w:color w:val="006100"/>
                <w:sz w:val="20"/>
                <w:szCs w:val="20"/>
              </w:rPr>
              <w:t>Objekti bo</w:t>
            </w:r>
            <w:r>
              <w:rPr>
                <w:rFonts w:ascii="Times New Roman" w:hAnsi="Times New Roman"/>
                <w:noProof/>
                <w:color w:val="006100"/>
                <w:sz w:val="20"/>
                <w:szCs w:val="20"/>
              </w:rPr>
              <w:t xml:space="preserve">do zgrajeni/rekonstruirani v skladu z načeli univerzalnega oblikovanja in bodo imeli nizko zmogljivost, s čimer bodo izpolnjevali pogoje iz Konvencije Združenih narodov o pravicah invalidov. </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r>
      <w:tr w:rsidR="009B5602">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8</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13 – Dostopno in visokokakovostno dolgotrajno socialno-zdravstveno varstvo – Naložba 1: Krepitev zmogljivosti socialnega varstva v skupnosti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Povečanje zmogljivosti stanovanjskih storitev v skupnosti in zdravstvenih in socialnih zmogljivosti z nizko z</w:t>
            </w:r>
            <w:r>
              <w:rPr>
                <w:rFonts w:ascii="Times New Roman" w:hAnsi="Times New Roman"/>
                <w:noProof/>
                <w:color w:val="006100"/>
                <w:sz w:val="20"/>
                <w:szCs w:val="20"/>
              </w:rPr>
              <w:t>mogljivostjo (kazalnik: najmanjše število ustvarjenih mest)</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1 400</w:t>
            </w:r>
          </w:p>
        </w:tc>
        <w:tc>
          <w:tcPr>
            <w:tcW w:w="993" w:type="dxa"/>
            <w:tcBorders>
              <w:top w:val="nil"/>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nil"/>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2026</w:t>
            </w:r>
          </w:p>
        </w:tc>
        <w:tc>
          <w:tcPr>
            <w:tcW w:w="3019"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Od splošnega cilja, da se v objektih v skupnosti (od tega 1000 mest) in ustanovah za socialno in socialno varstvo z nizko zmogljivostjo (od tega 480 mest) skupaj ustvari </w:t>
            </w:r>
            <w:r>
              <w:rPr>
                <w:rFonts w:ascii="Times New Roman" w:hAnsi="Times New Roman"/>
                <w:noProof/>
                <w:color w:val="006100"/>
                <w:sz w:val="20"/>
                <w:szCs w:val="20"/>
              </w:rPr>
              <w:t>1480 mest, se z gradnjo novih stavb in prenovo obstoječih stavb ustvari vsaj 1400 novih mest.</w:t>
            </w:r>
            <w:r>
              <w:rPr>
                <w:rFonts w:ascii="Times New Roman" w:hAnsi="Times New Roman"/>
                <w:noProof/>
                <w:sz w:val="20"/>
                <w:szCs w:val="20"/>
              </w:rPr>
              <w:t xml:space="preserve"> </w:t>
            </w:r>
            <w:r>
              <w:rPr>
                <w:rFonts w:ascii="Times New Roman" w:hAnsi="Times New Roman"/>
                <w:noProof/>
                <w:color w:val="006100"/>
                <w:sz w:val="20"/>
                <w:szCs w:val="20"/>
              </w:rPr>
              <w:t xml:space="preserve"> Objekti, ki se nahajajo v Skupnosti, se večinoma nanašajo na nastanitvene zmogljivosti za družine z zmogljivostjo do 12 krajev. Ustanove za zdravstveno in social</w:t>
            </w:r>
            <w:r>
              <w:rPr>
                <w:rFonts w:ascii="Times New Roman" w:hAnsi="Times New Roman"/>
                <w:noProof/>
                <w:color w:val="006100"/>
                <w:sz w:val="20"/>
                <w:szCs w:val="20"/>
              </w:rPr>
              <w:t>no varstvo imajo zmogljivost do 30 krajev na vsakega.</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Objekti bodo zgrajeni/rekonstruirani v skladu z načeli univerzalnega oblikovanja in bodo imeli nizko zmogljivost, s čimer bodo izpolnjevali pogoje iz Konvencije Združenih narodov o pravicah invalidov. </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r>
      <w:tr w:rsidR="009B5602">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9</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13 – Dostopno in visokokakovostno dolgotrajno socialno-zdravstveno varstvo – Naložba 1: Krepitev zmogljivosti socialnega varstva v skupnosti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Povečanje zmogljivosti ambulantnih storitev (kazalnik: najmanjše število ustvarjenih mest)</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387</w:t>
            </w:r>
          </w:p>
        </w:tc>
        <w:tc>
          <w:tcPr>
            <w:tcW w:w="993" w:type="dxa"/>
            <w:tcBorders>
              <w:top w:val="nil"/>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nil"/>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2024</w:t>
            </w:r>
          </w:p>
        </w:tc>
        <w:tc>
          <w:tcPr>
            <w:tcW w:w="301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387 mest za ambulantne storitve v novih ambulantnih objektih (npr. dnevni stacionarni, rehabilitacijski center) se ustvari s povprečno zmogljivostjo 20 mest z gradnjo novih stavb ali prenovo obstoječih stavb. Ti prostori so deloma namenjeni neg</w:t>
            </w:r>
            <w:r>
              <w:rPr>
                <w:rFonts w:ascii="Times New Roman" w:hAnsi="Times New Roman"/>
                <w:noProof/>
                <w:color w:val="006100"/>
                <w:sz w:val="20"/>
                <w:szCs w:val="20"/>
              </w:rPr>
              <w:t>i nepoklicnih negovalcev. Objekti so zgrajeni/rekonstruirani v skladu z načeli univerzalnega oblikovanja in so nizko zmogljivi, s čimer izpolnjujejo pogoje Konvencije Združenih narodov o pravicah invalidov.</w:t>
            </w:r>
          </w:p>
        </w:tc>
      </w:tr>
      <w:tr w:rsidR="009B5602">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10</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13 – Dostopno in visokokakovostno dolgotrajno socialno-zdravstveno varstvo – Naložba 1: Krepitev zmogljivosti socialnega varstva v skupnosti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Povečanje zmogljivosti ambulantnih storitev (kazalnik: najmanjše število ustvarjenih mest)</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2 580</w:t>
            </w:r>
          </w:p>
        </w:tc>
        <w:tc>
          <w:tcPr>
            <w:tcW w:w="993" w:type="dxa"/>
            <w:tcBorders>
              <w:top w:val="nil"/>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nil"/>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2026</w:t>
            </w:r>
          </w:p>
        </w:tc>
        <w:tc>
          <w:tcPr>
            <w:tcW w:w="3019"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Od splošnega cilja, da se v novih ambulantnih ustanovah (npr. dnevni stacionarni, rehabilitacijski center) s povprečno zmogljivostjo 20 mest ustvari 2585 mest za ambulantne storitve, se z gradnjo novih stavb ali prenovo obstoječih stavb ustvari vsa</w:t>
            </w:r>
            <w:r>
              <w:rPr>
                <w:rFonts w:ascii="Times New Roman" w:hAnsi="Times New Roman"/>
                <w:noProof/>
                <w:color w:val="006100"/>
                <w:sz w:val="20"/>
                <w:szCs w:val="20"/>
              </w:rPr>
              <w:t xml:space="preserve">j 2580 mest. Ti prostori so deloma namenjeni negi nepoklicnih negovalcev. Objekti so zgrajeni/rekonstruirani v skladu z načeli univerzalnega oblikovanja in so nizko zmogljivi, s čimer izpolnjujejo pogoje Konvencije Združenih narodov o pravicah invalidov. </w:t>
            </w:r>
          </w:p>
        </w:tc>
      </w:tr>
      <w:tr w:rsidR="009B5602">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11</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13 – Dostopno in visokokakovostno dolgotrajno socialno-zdravstveno varstvo – Naložba 2: Razširitev in obnovitev zmogljivosti za oskrbo po zdravljenju in nego</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Razširitev in obnova ponudnikov zdravstvene nege na domu (kazalnik: število podprtih </w:t>
            </w:r>
            <w:r>
              <w:rPr>
                <w:rFonts w:ascii="Times New Roman" w:hAnsi="Times New Roman"/>
                <w:noProof/>
                <w:color w:val="006100"/>
                <w:sz w:val="20"/>
                <w:szCs w:val="20"/>
              </w:rPr>
              <w:t>ponudnikov)</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91</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Q1</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2025</w:t>
            </w:r>
          </w:p>
        </w:tc>
        <w:tc>
          <w:tcPr>
            <w:tcW w:w="3019"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Naložbe v fizično in tehnično opremo 91 novih in obstoječih agencij za zdravstveno nego na domu. Podprl bo ustanovitev vsaj 11 novih in ponovno opremljanje vsaj 80 obstoječih agencij za zdravstveno nego.</w:t>
            </w:r>
          </w:p>
        </w:tc>
      </w:tr>
      <w:tr w:rsidR="009B5602">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12</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13 – Dostopno</w:t>
            </w:r>
            <w:r>
              <w:rPr>
                <w:rFonts w:ascii="Times New Roman" w:hAnsi="Times New Roman"/>
                <w:noProof/>
                <w:color w:val="006100"/>
                <w:sz w:val="20"/>
                <w:szCs w:val="20"/>
              </w:rPr>
              <w:t xml:space="preserve"> in visokokakovostno dolgotrajno socialno-zdravstveno varstvo – Naložba 2: Razširitev in obnovitev zmogljivosti za oskrbo po zdravljenju in nego</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Ustvarjanje postelj po oskrbi z rekonstrukcijo obstoječih akutnih in kroničnih postelj (kazalnik: najmanjš</w:t>
            </w:r>
            <w:r>
              <w:rPr>
                <w:rFonts w:ascii="Times New Roman" w:hAnsi="Times New Roman"/>
                <w:noProof/>
                <w:color w:val="006100"/>
                <w:sz w:val="20"/>
                <w:szCs w:val="20"/>
              </w:rPr>
              <w:t>e število obnovljenih postelj za oskrbo po zaprtju)</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650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2026</w:t>
            </w:r>
          </w:p>
        </w:tc>
        <w:tc>
          <w:tcPr>
            <w:tcW w:w="3019"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Vsaj 650 postelj za oskrbo po zaprtju se ustvari z uporabo sproščenih zmogljivosti kronične in akutne oskrbe po optimizaciji bolnišničnega omrežja. Postelje po zdravljenju bodo namenjene zdravljenju bolnikov po hospitalizaciji v akutnih posteljah. </w:t>
            </w:r>
          </w:p>
        </w:tc>
      </w:tr>
      <w:tr w:rsidR="009B5602">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13</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13 – Dostopno in visokokakovostno dolgotrajno socialno-zdravstveno varstvo – Naložba 3: Razširitev in obnovitev zmogljivosti za paliativno oskrbo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Razširitev in obnova zmogljivosti za paliativno oskrbo na domu (kazalnik: število ustvarjenih in obnovlj</w:t>
            </w:r>
            <w:r>
              <w:rPr>
                <w:rFonts w:ascii="Times New Roman" w:hAnsi="Times New Roman"/>
                <w:noProof/>
                <w:color w:val="006100"/>
                <w:sz w:val="20"/>
                <w:szCs w:val="20"/>
              </w:rPr>
              <w:t>enih ležišč)</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270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Q3</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2025</w:t>
            </w:r>
          </w:p>
        </w:tc>
        <w:tc>
          <w:tcPr>
            <w:tcW w:w="3019"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Ta naložba vključuje izgradnjo vsaj 270 postelj z gradnjo novih hospic (povprečno 20 postelj) in obnovo obstoječih hospic. Hospice se bodo uporabljale za dolgotrajno paliativno oskrbo bolnikov, katerih stanje ali družin</w:t>
            </w:r>
            <w:r>
              <w:rPr>
                <w:rFonts w:ascii="Times New Roman" w:hAnsi="Times New Roman"/>
                <w:noProof/>
                <w:color w:val="006100"/>
                <w:sz w:val="20"/>
                <w:szCs w:val="20"/>
              </w:rPr>
              <w:t>ske razmere ne omogočajo paliativnega zdravljenja doma.  Postelje v paliativnih oddelkih se ustvarijo z rekonstrukcijo obstoječih postelj. Nekateri so posledica ponovnega profiliranja dolgotrajnih bolnih prostorov, del katerih je posledica akutnih postelj,</w:t>
            </w:r>
            <w:r>
              <w:rPr>
                <w:rFonts w:ascii="Times New Roman" w:hAnsi="Times New Roman"/>
                <w:noProof/>
                <w:color w:val="006100"/>
                <w:sz w:val="20"/>
                <w:szCs w:val="20"/>
              </w:rPr>
              <w:t xml:space="preserve"> ki se sproščajo z optimizacijo omrežja. </w:t>
            </w:r>
          </w:p>
        </w:tc>
      </w:tr>
      <w:tr w:rsidR="009B5602">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14</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13 – Dostopno in visokokakovostno dolgotrajno socialno-zdravstveno varstvo – Naložba 3: Razširitev in obnovitev zmogljivosti za paliativno oskrbo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Razširitev in obnova mobilnega omrežja za hospice </w:t>
            </w:r>
            <w:r>
              <w:rPr>
                <w:rFonts w:ascii="Times New Roman" w:hAnsi="Times New Roman"/>
                <w:noProof/>
                <w:color w:val="006100"/>
                <w:sz w:val="20"/>
                <w:szCs w:val="20"/>
              </w:rPr>
              <w:t>(kazalnik: število novih in obnovljenih ponudnikov)</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26</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Q1</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2025</w:t>
            </w:r>
          </w:p>
        </w:tc>
        <w:tc>
          <w:tcPr>
            <w:tcW w:w="3019"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V okviru te naložbe v fizično in tehnično opremo novih in obstoječih mobilnih hospic bo podprtih vsaj 20 novih mobilnih hospic in vsaj šest obstoječih.</w:t>
            </w:r>
          </w:p>
        </w:tc>
      </w:tr>
    </w:tbl>
    <w:p w:rsidR="009B5602" w:rsidRDefault="009B5602">
      <w:pPr>
        <w:spacing w:before="120" w:after="120" w:line="240" w:lineRule="auto"/>
        <w:jc w:val="both"/>
        <w:rPr>
          <w:rFonts w:ascii="Times New Roman" w:hAnsi="Times New Roman"/>
          <w:b/>
          <w:bCs/>
          <w:noProof/>
          <w:sz w:val="24"/>
          <w:szCs w:val="24"/>
        </w:rPr>
        <w:sectPr w:rsidR="009B5602">
          <w:headerReference w:type="even" r:id="rId168"/>
          <w:headerReference w:type="default" r:id="rId169"/>
          <w:footerReference w:type="even" r:id="rId170"/>
          <w:footerReference w:type="default" r:id="rId171"/>
          <w:headerReference w:type="first" r:id="rId172"/>
          <w:footerReference w:type="first" r:id="rId173"/>
          <w:pgSz w:w="16839" w:h="11907" w:orient="landscape"/>
          <w:pgMar w:top="568" w:right="1134" w:bottom="1418" w:left="1134" w:header="709" w:footer="709" w:gutter="0"/>
          <w:cols w:space="720"/>
          <w:docGrid w:linePitch="360"/>
        </w:sectPr>
      </w:pPr>
    </w:p>
    <w:p w:rsidR="009B5602" w:rsidRDefault="00886830">
      <w:pPr>
        <w:keepNext/>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KOMPONENTA 14: Izboljšanje poslovnega okolja</w:t>
      </w:r>
    </w:p>
    <w:p w:rsidR="009B5602" w:rsidRDefault="009B5602">
      <w:pPr>
        <w:spacing w:before="120" w:after="120" w:line="240" w:lineRule="auto"/>
        <w:jc w:val="both"/>
        <w:rPr>
          <w:rFonts w:ascii="Times New Roman" w:hAnsi="Times New Roman"/>
          <w:noProof/>
          <w:sz w:val="24"/>
          <w:szCs w:val="24"/>
        </w:rPr>
      </w:pP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Poslovno okolje na Slovaškem počasi izgublja temelje. Pogoste spremembe zakonodajnega okolja in veliko regulativno breme podjetjem povzročajo stroške, dragi in dolgotrajni postopki z</w:t>
      </w:r>
      <w:r>
        <w:rPr>
          <w:rFonts w:ascii="Times New Roman" w:hAnsi="Times New Roman"/>
          <w:noProof/>
          <w:sz w:val="24"/>
          <w:szCs w:val="24"/>
        </w:rPr>
        <w:t xml:space="preserve">aradi insolventnosti pa ovirajo prerazporejanje virov, nepregleden okvir javnega naročanja pa upočasnjuje naložbe in vodi v neoptimalna javna naročila.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Ta komponenta slovaškega načrta za okrevanje in odpornost je namenjena različnim izboljšavam poslovnega</w:t>
      </w:r>
      <w:r>
        <w:rPr>
          <w:rFonts w:ascii="Times New Roman" w:hAnsi="Times New Roman"/>
          <w:noProof/>
          <w:sz w:val="24"/>
          <w:szCs w:val="24"/>
        </w:rPr>
        <w:t xml:space="preserve"> okolja. Cilj ukrepov je zmanjšati upravno breme za podjetja, posodobiti in digitalizirati okvir za insolventnost ter izboljšati postopke javnega naročanja.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Pričakuje se, da noben ukrep v tej komponenti ne bo znatno škodoval okoljskim ciljem v smislu člen</w:t>
      </w:r>
      <w:r>
        <w:rPr>
          <w:rFonts w:ascii="Times New Roman" w:hAnsi="Times New Roman"/>
          <w:noProof/>
          <w:sz w:val="24"/>
          <w:szCs w:val="24"/>
        </w:rPr>
        <w:t xml:space="preserve">a 17 Uredbe (EU) 2020/852, ob upoštevanju opisa ukrepov in ukrepov za ublažitev, določenih v načrtu za okrevanje in odpornost v skladu s tehničnimi smernicami za uporabo načela, da se ne škoduje bistveno (2021/C58/01).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Komponenta tako prispeva k obravnav</w:t>
      </w:r>
      <w:r>
        <w:rPr>
          <w:rFonts w:ascii="Times New Roman" w:hAnsi="Times New Roman"/>
          <w:noProof/>
          <w:sz w:val="24"/>
          <w:szCs w:val="24"/>
        </w:rPr>
        <w:t>i priporočila za posamezno državo št. 4 iz leta 2020 za zagotovitev ugodnega poslovnega okolja in priporočila za posamezno državo št. 3 iz leta 2019 z obravnavanjem izzivov na področju javnega naročanja.</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 xml:space="preserve"> Reforma 1: Zmanjšanje regulativnega bremena za podj</w:t>
      </w:r>
      <w:r>
        <w:rPr>
          <w:rFonts w:ascii="Times New Roman" w:hAnsi="Times New Roman"/>
          <w:b/>
          <w:noProof/>
          <w:sz w:val="24"/>
          <w:szCs w:val="24"/>
        </w:rPr>
        <w:t>etja</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Veliko upravno in regulativno breme negativno vpliva na naložbe in inovacije, zlasti za mala in srednja podjetja. Kljub prizadevanjem vlade se upravno breme ne zmanjšuje dovolj, slovaško poslovno okolje pa v primerjavi z mednarodnim okoljem zaostaja.</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Ta reforma bo zmanjšala upravno breme za podjetja z uvedbo naslednjih orodij: predhodno oceno načrtovane zakonodaje za prenos, da se prepreči neupravičeno čezmerno prenašanje zakonodaje; naknadno oceno učinkovitosti in upravičenosti že uvedenih predpisov; </w:t>
      </w:r>
      <w:r>
        <w:rPr>
          <w:rFonts w:ascii="Times New Roman" w:hAnsi="Times New Roman"/>
          <w:noProof/>
          <w:sz w:val="24"/>
          <w:szCs w:val="24"/>
        </w:rPr>
        <w:t xml:space="preserve">pravilo 1–in–2–out, ki zagotavlja novo zakonodajo, ne povečuje upravnih stroškov za podjetja; ter svežnje posameznih ukrepov, ki temeljijo na posvetovanjih z zainteresiranimi stranmi in so primerni za poenostavitev upravnih zahtev za podjetja.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Reforma se </w:t>
      </w:r>
      <w:r>
        <w:rPr>
          <w:rFonts w:ascii="Times New Roman" w:hAnsi="Times New Roman"/>
          <w:noProof/>
          <w:sz w:val="24"/>
          <w:szCs w:val="24"/>
        </w:rPr>
        <w:t xml:space="preserve">izvede do 31. decembra 2024.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Reforma 2: Harmonizacija in digitalizacija postopkov v primeru insolventnosti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Postopki v primeru insolventnosti na Slovaškem so dolgotrajni in dragi. Primanjkuje ustreznih mehanizmov zgodnjega opozarjanja, ni specializiranih </w:t>
      </w:r>
      <w:r>
        <w:rPr>
          <w:rFonts w:ascii="Times New Roman" w:hAnsi="Times New Roman"/>
          <w:noProof/>
          <w:sz w:val="24"/>
          <w:szCs w:val="24"/>
        </w:rPr>
        <w:t>sodišč, ki bi obravnavala postopke v primeru insolventnosti, pomanjkanje popolnoma digitaliziranega poteka dela pa upočasnjuje procese.</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S to reformo se vzpostavijo enotni in digitalizirani postopki v primeru insolventnosti in prestrukturiranja, ki izboljša</w:t>
      </w:r>
      <w:r>
        <w:rPr>
          <w:rFonts w:ascii="Times New Roman" w:hAnsi="Times New Roman"/>
          <w:noProof/>
          <w:sz w:val="24"/>
          <w:szCs w:val="24"/>
        </w:rPr>
        <w:t xml:space="preserve">jo njihovo preglednost, čas in stroške. Vzpostavi izboljšan in usklajen insolvenčni okvir, vključno z orodji za zgodnje opozarjanje in specializacijo v primeru insolventnosti na poslovnih sodiščih.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Zakonodaja o mehanizmih zgodnjega opozarjanja začne velja</w:t>
      </w:r>
      <w:r>
        <w:rPr>
          <w:rFonts w:ascii="Times New Roman" w:hAnsi="Times New Roman"/>
          <w:noProof/>
          <w:sz w:val="24"/>
          <w:szCs w:val="24"/>
        </w:rPr>
        <w:t>ti 31. januarja 2022. Ustrezne zakonodajne spremembe Zakona št. 7/2005 o stečaju in prestrukturiranju, Zakona št. 328/1991 o stečaju in postopku poravnave, Zakona št. 7/2005 o stečaju in prestrukturiranju ter Zakona št. 8/2005 o upraviteljih, Zakona št. 75</w:t>
      </w:r>
      <w:r>
        <w:rPr>
          <w:rFonts w:ascii="Times New Roman" w:hAnsi="Times New Roman"/>
          <w:noProof/>
          <w:sz w:val="24"/>
          <w:szCs w:val="24"/>
        </w:rPr>
        <w:t xml:space="preserve">7/2004 o sodiščih in Zakona št. 371/2004 o sedežih in okrajih sodišč Slovaške republike začnejo veljati do 31. marca 2023.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Reforma se izvede do 31. marca 2023.</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 xml:space="preserve"> Reforma 3: Postopki za oddajo javnih naročil</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Zapletenost in trajanje postopkov preverjanja jav</w:t>
      </w:r>
      <w:r>
        <w:rPr>
          <w:rFonts w:ascii="Times New Roman" w:hAnsi="Times New Roman"/>
          <w:noProof/>
          <w:sz w:val="24"/>
          <w:szCs w:val="24"/>
        </w:rPr>
        <w:t>nega naročanja sta za morebitne upravičence še vedno blokirna dejavnika. Poleg tega je mogoče povečati uporabo meril, povezanih s kakovostjo, in stroškov življenjskega cikla. Hkrati je treba zagotoviti ustrezne zaščitne ukrepe. Zaradi nezaupanja v javne in</w:t>
      </w:r>
      <w:r>
        <w:rPr>
          <w:rFonts w:ascii="Times New Roman" w:hAnsi="Times New Roman"/>
          <w:noProof/>
          <w:sz w:val="24"/>
          <w:szCs w:val="24"/>
        </w:rPr>
        <w:t>stitucije si morajo javni naročniki močneje prizadevati za obnovitev zaupanja podjetij, medijev in širše javnosti. Koristi dosedanjih prizadevanj za profesionalizacijo se pojavljajo le počasi.</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Reforma javnih naročil bo poenostavila in pospešila postopke, h</w:t>
      </w:r>
      <w:r>
        <w:rPr>
          <w:rFonts w:ascii="Times New Roman" w:hAnsi="Times New Roman"/>
          <w:noProof/>
          <w:sz w:val="24"/>
          <w:szCs w:val="24"/>
        </w:rPr>
        <w:t xml:space="preserve">krati pa zagotovila ustrezne zaščitne ukrepe. Njegov namen je tudi izboljšati nadzor z digitalizacijo in avtomatizacijo dodeljevanja in ocenjevanja pogodb ter zbiranjem in analizo cen. Zakonodajna reforma ureja tako nadmejne in podmejne javne postopke kot </w:t>
      </w:r>
      <w:r>
        <w:rPr>
          <w:rFonts w:ascii="Times New Roman" w:hAnsi="Times New Roman"/>
          <w:noProof/>
          <w:sz w:val="24"/>
          <w:szCs w:val="24"/>
        </w:rPr>
        <w:t>tudi tiste z nizko vrednostjo. Postopki javnega naročanja se poenostavijo in skrajšajo, izboljšajo se nadzorni postopki in poveča preglednost, zlasti z vzpostavitvijo enotne javne elektronske platforme za celoten postopek javnega naročanja, vključno z naro</w:t>
      </w:r>
      <w:r>
        <w:rPr>
          <w:rFonts w:ascii="Times New Roman" w:hAnsi="Times New Roman"/>
          <w:noProof/>
          <w:sz w:val="24"/>
          <w:szCs w:val="24"/>
        </w:rPr>
        <w:t xml:space="preserve">čili pod mejno vrednostjo in pogodbami nizke vrednosti. Vse spremembe, zlasti kar zadeva ustrezne zaščitne ukrepe, kot so zahteve glede preglednosti, revizijski postopki ter ločitev nalog in pristojnosti, morajo biti v celoti skladne s pravom EU. Da bi se </w:t>
      </w:r>
      <w:r>
        <w:rPr>
          <w:rFonts w:ascii="Times New Roman" w:hAnsi="Times New Roman"/>
          <w:noProof/>
          <w:sz w:val="24"/>
          <w:szCs w:val="24"/>
        </w:rPr>
        <w:t xml:space="preserve">izboljšala uporaba meril kakovosti, se pričakuje, da se bodo pravila za zelena javna naročila okrepila. Pričakuje se, da bo nadaljnja krepitev uporabe meril kakovosti dosežena z neregulativnimi sredstvi. Ukrep bo okrepil dodatno profesionalizacijo javnega </w:t>
      </w:r>
      <w:r>
        <w:rPr>
          <w:rFonts w:ascii="Times New Roman" w:hAnsi="Times New Roman"/>
          <w:noProof/>
          <w:sz w:val="24"/>
          <w:szCs w:val="24"/>
        </w:rPr>
        <w:t>naročanja s krepitvijo zmogljivosti Urada za javna naročila. Zlasti je treba zagotoviti usposabljanje v različnih oblikah, da se izboljša uporaba spremenjenih postopkov javnega naročanja.</w:t>
      </w:r>
    </w:p>
    <w:p w:rsidR="009B5602" w:rsidRDefault="00886830">
      <w:pPr>
        <w:spacing w:before="120" w:after="120"/>
        <w:jc w:val="both"/>
        <w:rPr>
          <w:rFonts w:ascii="Times New Roman" w:eastAsia="Times New Roman" w:hAnsi="Times New Roman"/>
          <w:noProof/>
          <w:sz w:val="24"/>
          <w:szCs w:val="24"/>
        </w:rPr>
      </w:pPr>
      <w:r>
        <w:rPr>
          <w:rFonts w:ascii="Times New Roman" w:hAnsi="Times New Roman"/>
          <w:noProof/>
          <w:sz w:val="24"/>
          <w:szCs w:val="24"/>
        </w:rPr>
        <w:t xml:space="preserve">Reforma zakona o javnih naročilih začne veljati 31. marca 2022. </w:t>
      </w:r>
      <w:r>
        <w:rPr>
          <w:rFonts w:ascii="Times New Roman" w:hAnsi="Times New Roman"/>
          <w:noProof/>
          <w:sz w:val="24"/>
          <w:szCs w:val="24"/>
        </w:rPr>
        <w:t>Enotna elektronska platforma začne delovati do 30. junija 2023.</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 xml:space="preserve">Naložba 1: Zmogljivosti za reforme za zmanjšanje regulativnega bremena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Za hitro izvajanje reform za zmanjšanje upravnega bremena so potrebne začasne zmogljivosti pristojnih javnih organov, zl</w:t>
      </w:r>
      <w:r>
        <w:rPr>
          <w:rFonts w:ascii="Times New Roman" w:hAnsi="Times New Roman"/>
          <w:noProof/>
          <w:sz w:val="24"/>
        </w:rPr>
        <w:t>asti odvetnikov in analitikov.</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Ta naložba zato predvideva začasne projektne skupine za oblikovanje in izvedbo reforme 1. Sestavljajo ga pravni strokovnjaki in analitiki. Opravijo se predhodna in naknadna vrednotenja ter uporaba pravila 1–in–2–out. Spletno </w:t>
      </w:r>
      <w:r>
        <w:rPr>
          <w:rFonts w:ascii="Times New Roman" w:hAnsi="Times New Roman"/>
          <w:noProof/>
          <w:sz w:val="24"/>
          <w:szCs w:val="24"/>
        </w:rPr>
        <w:t xml:space="preserve">poročanje o preverjanju skladnosti načela 1–in–2–out (virtualni račun) potrdi, da se pravilo izvaja v praksi. </w:t>
      </w:r>
    </w:p>
    <w:p w:rsidR="009B5602" w:rsidRDefault="00886830">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Naložba se izvede do 30. junija 2025.</w:t>
      </w: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Naložba 2: Digitalizacija postopkov v primeru insolventnosti</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Pomanjkanje celovitega digitalnega sistema je </w:t>
      </w:r>
      <w:r>
        <w:rPr>
          <w:rFonts w:ascii="Times New Roman" w:hAnsi="Times New Roman"/>
          <w:noProof/>
          <w:sz w:val="24"/>
        </w:rPr>
        <w:t>eden od ključnih razlogov za zaostanek pri postopkih v primeru insolventnosti. Sedanji register insolventnosti deluje predvsem kot založniška platforma, vendar ne omogoča digitalnega obravnavanja zadev med udeleženimi akterji. To prispeva k dolgotrajnim po</w:t>
      </w:r>
      <w:r>
        <w:rPr>
          <w:rFonts w:ascii="Times New Roman" w:hAnsi="Times New Roman"/>
          <w:noProof/>
          <w:sz w:val="24"/>
        </w:rPr>
        <w:t>stopkom z negativnimi posledicami za poslovno okolje in učinkovito prerazporeditev virov.</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Naložba v celoti digitalizira postopke v primeru insolventnosti, da se skrajšajo in zmanjšajo stroški za podjetnike. To vključuje digitalizacijo likvidacije, stečaja,</w:t>
      </w:r>
      <w:r>
        <w:rPr>
          <w:rFonts w:ascii="Times New Roman" w:hAnsi="Times New Roman"/>
          <w:noProof/>
          <w:sz w:val="24"/>
          <w:szCs w:val="24"/>
        </w:rPr>
        <w:t xml:space="preserve"> prestrukturiranja in odpusta dolgov, vključno s postopki pred nastopom insolventnosti. Z njim so povezani različni akterji, kot so sodišča, upniki in javnost.</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30. junija 2024.</w:t>
      </w:r>
      <w:r>
        <w:rPr>
          <w:rFonts w:ascii="Times New Roman" w:hAnsi="Times New Roman"/>
          <w:b/>
          <w:noProof/>
          <w:sz w:val="24"/>
        </w:rPr>
        <w:t xml:space="preserve"> </w:t>
      </w:r>
    </w:p>
    <w:p w:rsidR="009B5602" w:rsidRDefault="009B5602">
      <w:pPr>
        <w:spacing w:before="120" w:after="120" w:line="240" w:lineRule="auto"/>
        <w:jc w:val="both"/>
        <w:rPr>
          <w:rFonts w:ascii="Times New Roman" w:hAnsi="Times New Roman"/>
          <w:noProof/>
          <w:sz w:val="24"/>
          <w:szCs w:val="24"/>
        </w:rPr>
        <w:sectPr w:rsidR="009B5602">
          <w:headerReference w:type="even" r:id="rId174"/>
          <w:headerReference w:type="default" r:id="rId175"/>
          <w:footerReference w:type="even" r:id="rId176"/>
          <w:footerReference w:type="default" r:id="rId177"/>
          <w:headerReference w:type="first" r:id="rId178"/>
          <w:footerReference w:type="first" r:id="rId179"/>
          <w:pgSz w:w="11907" w:h="16839"/>
          <w:pgMar w:top="1134" w:right="1418" w:bottom="1134" w:left="1418" w:header="709" w:footer="709" w:gutter="0"/>
          <w:cols w:space="720"/>
          <w:docGrid w:linePitch="360"/>
        </w:sectPr>
      </w:pPr>
    </w:p>
    <w:p w:rsidR="009B5602" w:rsidRDefault="009B5602">
      <w:pPr>
        <w:spacing w:before="120" w:after="120" w:line="240" w:lineRule="auto"/>
        <w:jc w:val="both"/>
        <w:rPr>
          <w:rFonts w:ascii="Times New Roman" w:hAnsi="Times New Roman"/>
          <w:noProof/>
          <w:sz w:val="24"/>
          <w:szCs w:val="24"/>
        </w:rPr>
      </w:pPr>
    </w:p>
    <w:p w:rsidR="009B5602" w:rsidRDefault="00886830">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Mejniki, cilji, kazalniki in časovni razpored za spremljanje in izvajanje nepovratne finančne podpore</w:t>
      </w:r>
    </w:p>
    <w:p w:rsidR="009B5602" w:rsidRDefault="009B5602">
      <w:pPr>
        <w:spacing w:before="120" w:after="120" w:line="240" w:lineRule="auto"/>
        <w:ind w:left="850"/>
        <w:jc w:val="both"/>
        <w:rPr>
          <w:rFonts w:ascii="Times New Roman" w:hAnsi="Times New Roman"/>
          <w:b/>
          <w:bCs/>
          <w:noProof/>
          <w:sz w:val="24"/>
          <w:szCs w:val="24"/>
          <w:u w:val="single"/>
        </w:rPr>
      </w:pPr>
    </w:p>
    <w:tbl>
      <w:tblPr>
        <w:tblW w:w="0" w:type="auto"/>
        <w:tblLayout w:type="fixed"/>
        <w:tblLook w:val="04A0" w:firstRow="1" w:lastRow="0" w:firstColumn="1" w:lastColumn="0" w:noHBand="0" w:noVBand="1"/>
      </w:tblPr>
      <w:tblGrid>
        <w:gridCol w:w="675"/>
        <w:gridCol w:w="993"/>
        <w:gridCol w:w="1134"/>
        <w:gridCol w:w="2090"/>
        <w:gridCol w:w="1035"/>
        <w:gridCol w:w="1127"/>
        <w:gridCol w:w="1134"/>
        <w:gridCol w:w="709"/>
        <w:gridCol w:w="992"/>
        <w:gridCol w:w="709"/>
        <w:gridCol w:w="3968"/>
      </w:tblGrid>
      <w:tr w:rsidR="009B5602">
        <w:trPr>
          <w:trHeight w:val="720"/>
        </w:trPr>
        <w:tc>
          <w:tcPr>
            <w:tcW w:w="675" w:type="dxa"/>
            <w:tcBorders>
              <w:top w:val="single" w:sz="8" w:space="0" w:color="auto"/>
              <w:left w:val="single" w:sz="8" w:space="0" w:color="auto"/>
              <w:bottom w:val="nil"/>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Zap. št.</w:t>
            </w:r>
          </w:p>
        </w:tc>
        <w:tc>
          <w:tcPr>
            <w:tcW w:w="993" w:type="dxa"/>
            <w:tcBorders>
              <w:top w:val="single" w:sz="8" w:space="0" w:color="auto"/>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Povezani ukrep (reforma ali naložba)</w:t>
            </w:r>
          </w:p>
        </w:tc>
        <w:tc>
          <w:tcPr>
            <w:tcW w:w="1134" w:type="dxa"/>
            <w:tcBorders>
              <w:top w:val="single" w:sz="8" w:space="0" w:color="auto"/>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Mejnik/cilj</w:t>
            </w:r>
          </w:p>
        </w:tc>
        <w:tc>
          <w:tcPr>
            <w:tcW w:w="2090" w:type="dxa"/>
            <w:tcBorders>
              <w:top w:val="single" w:sz="8" w:space="0" w:color="auto"/>
              <w:left w:val="single" w:sz="8" w:space="0" w:color="auto"/>
              <w:bottom w:val="nil"/>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Ime</w:t>
            </w:r>
          </w:p>
        </w:tc>
        <w:tc>
          <w:tcPr>
            <w:tcW w:w="1035" w:type="dxa"/>
            <w:tcBorders>
              <w:top w:val="single" w:sz="8" w:space="0" w:color="auto"/>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Kvalitativni kazalniki</w:t>
            </w:r>
            <w:r>
              <w:rPr>
                <w:rFonts w:ascii="Times New Roman" w:hAnsi="Times New Roman"/>
                <w:noProof/>
                <w:sz w:val="20"/>
                <w:szCs w:val="20"/>
              </w:rPr>
              <w:t xml:space="preserve">  </w:t>
            </w:r>
            <w:r>
              <w:rPr>
                <w:rFonts w:ascii="Times New Roman" w:hAnsi="Times New Roman"/>
                <w:b/>
                <w:bCs/>
                <w:noProof/>
                <w:sz w:val="20"/>
                <w:szCs w:val="20"/>
              </w:rPr>
              <w:t xml:space="preserve"> (za mejnike)</w:t>
            </w:r>
          </w:p>
        </w:tc>
        <w:tc>
          <w:tcPr>
            <w:tcW w:w="2970"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Kvantitativni kazalniki</w:t>
            </w:r>
            <w:r>
              <w:rPr>
                <w:rFonts w:ascii="Times New Roman" w:hAnsi="Times New Roman"/>
                <w:noProof/>
                <w:sz w:val="20"/>
                <w:szCs w:val="20"/>
              </w:rPr>
              <w:t xml:space="preserve">  </w:t>
            </w:r>
            <w:r>
              <w:rPr>
                <w:rFonts w:ascii="Times New Roman" w:hAnsi="Times New Roman"/>
                <w:b/>
                <w:bCs/>
                <w:noProof/>
                <w:sz w:val="20"/>
                <w:szCs w:val="20"/>
              </w:rPr>
              <w:t xml:space="preserve"> (za cilje)</w:t>
            </w:r>
          </w:p>
        </w:tc>
        <w:tc>
          <w:tcPr>
            <w:tcW w:w="1701" w:type="dxa"/>
            <w:gridSpan w:val="2"/>
            <w:tcBorders>
              <w:top w:val="single" w:sz="8" w:space="0" w:color="auto"/>
              <w:left w:val="nil"/>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Okvirni časovni razpored za dokončanje </w:t>
            </w:r>
          </w:p>
        </w:tc>
        <w:tc>
          <w:tcPr>
            <w:tcW w:w="3968" w:type="dxa"/>
            <w:vMerge w:val="restart"/>
            <w:tcBorders>
              <w:top w:val="single" w:sz="8" w:space="0" w:color="auto"/>
              <w:left w:val="nil"/>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Opis in jasna opredelitev vsakega mejnika in cilja</w:t>
            </w:r>
          </w:p>
          <w:p w:rsidR="009B5602" w:rsidRDefault="00886830">
            <w:pPr>
              <w:rPr>
                <w:rFonts w:ascii="Times New Roman" w:hAnsi="Times New Roman"/>
                <w:noProof/>
                <w:sz w:val="20"/>
                <w:szCs w:val="20"/>
              </w:rPr>
            </w:pPr>
            <w:r>
              <w:rPr>
                <w:rFonts w:ascii="Times New Roman" w:hAnsi="Times New Roman"/>
                <w:noProof/>
                <w:sz w:val="20"/>
                <w:szCs w:val="20"/>
              </w:rPr>
              <w:t xml:space="preserve"> </w:t>
            </w:r>
          </w:p>
        </w:tc>
      </w:tr>
      <w:tr w:rsidR="009B5602">
        <w:trPr>
          <w:trHeight w:val="540"/>
        </w:trPr>
        <w:tc>
          <w:tcPr>
            <w:tcW w:w="675" w:type="dxa"/>
            <w:tcBorders>
              <w:top w:val="single" w:sz="8" w:space="0" w:color="auto"/>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2090" w:type="dxa"/>
            <w:tcBorders>
              <w:top w:val="single" w:sz="8" w:space="0" w:color="auto"/>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035" w:type="dxa"/>
            <w:tcBorders>
              <w:top w:val="single" w:sz="8" w:space="0" w:color="auto"/>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127" w:type="dxa"/>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Merska enota</w:t>
            </w:r>
          </w:p>
        </w:tc>
        <w:tc>
          <w:tcPr>
            <w:tcW w:w="1134" w:type="dxa"/>
            <w:tcBorders>
              <w:top w:val="nil"/>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Ozadje</w:t>
            </w:r>
          </w:p>
        </w:tc>
        <w:tc>
          <w:tcPr>
            <w:tcW w:w="709" w:type="dxa"/>
            <w:tcBorders>
              <w:top w:val="nil"/>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cilj</w:t>
            </w:r>
          </w:p>
        </w:tc>
        <w:tc>
          <w:tcPr>
            <w:tcW w:w="992" w:type="dxa"/>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Četrtletje</w:t>
            </w:r>
          </w:p>
        </w:tc>
        <w:tc>
          <w:tcPr>
            <w:tcW w:w="709" w:type="dxa"/>
            <w:tcBorders>
              <w:top w:val="nil"/>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Leto</w:t>
            </w:r>
          </w:p>
        </w:tc>
        <w:tc>
          <w:tcPr>
            <w:tcW w:w="3968" w:type="dxa"/>
            <w:vMerge/>
            <w:tcBorders>
              <w:left w:val="single" w:sz="8" w:space="0" w:color="auto"/>
              <w:bottom w:val="single" w:sz="8" w:space="0" w:color="auto"/>
              <w:right w:val="single" w:sz="8" w:space="0" w:color="auto"/>
            </w:tcBorders>
            <w:shd w:val="clear" w:color="auto" w:fill="BDD7EE"/>
            <w:vAlign w:val="center"/>
          </w:tcPr>
          <w:p w:rsidR="009B5602" w:rsidRDefault="009B5602">
            <w:pPr>
              <w:rPr>
                <w:rFonts w:ascii="Times New Roman" w:hAnsi="Times New Roman"/>
                <w:noProof/>
                <w:sz w:val="20"/>
                <w:szCs w:val="20"/>
              </w:rPr>
            </w:pPr>
          </w:p>
        </w:tc>
      </w:tr>
      <w:tr w:rsidR="009B5602">
        <w:trPr>
          <w:trHeight w:val="21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14 – Izboljšanje poslovnega okolja – Reforma 1: Zmanjšanje regulativnega bremena za podjetja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mejnik</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uvedba novih orodij za zmanjšanje regulativnega bremena: – izvajanje pravila „1in–2 out“ – uvedba naknadne ocene obstoječih uredb (zakonodajnih in </w:t>
            </w:r>
            <w:r>
              <w:rPr>
                <w:rFonts w:ascii="Times New Roman" w:hAnsi="Times New Roman"/>
                <w:noProof/>
                <w:color w:val="006100"/>
                <w:sz w:val="20"/>
                <w:szCs w:val="20"/>
              </w:rPr>
              <w:t>nezakonodajnih gradiv) – uvedba zaščite pred neupravičenim čezmernim prenašanjem zakonodaje</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resolucij o posodobitvi enotne metodologije za oceno izbranih vplivov</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2023</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vladnih resolucij o posodobitvi enotne</w:t>
            </w:r>
            <w:r>
              <w:rPr>
                <w:rFonts w:ascii="Times New Roman" w:hAnsi="Times New Roman"/>
                <w:noProof/>
                <w:color w:val="006100"/>
                <w:sz w:val="20"/>
                <w:szCs w:val="20"/>
              </w:rPr>
              <w:t xml:space="preserve"> metodologije za oceno izbranih vplivov in uvedbi novih orodij za zmanjšanje regulativnega bremena: – uvedba pravila „1–in–2 out“ v 1Q/2022 – uvedba naknadne ocene obstoječih uredb (zakonodajno gradivo do 1.Q/2022 in nezakonodajno gradivo do 1Q/2023) v zve</w:t>
            </w:r>
            <w:r>
              <w:rPr>
                <w:rFonts w:ascii="Times New Roman" w:hAnsi="Times New Roman"/>
                <w:noProof/>
                <w:color w:val="006100"/>
                <w:sz w:val="20"/>
                <w:szCs w:val="20"/>
              </w:rPr>
              <w:t>zi z njihovo učinkovitostjo in upravičenostjo – Uvedba zaščite pred neupravičenim čezmernim prenašanjem do 4Q/2022 – Naložbeni ukrepi za izvajanje regulativnih ukrepov.</w:t>
            </w:r>
          </w:p>
        </w:tc>
      </w:tr>
      <w:tr w:rsidR="009B5602">
        <w:trPr>
          <w:trHeight w:val="21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14 – Izboljšanje poslovnega okolja – Naložba 1: Zmanjšanje regulativnega bremena za </w:t>
            </w:r>
            <w:r>
              <w:rPr>
                <w:rFonts w:ascii="Times New Roman" w:hAnsi="Times New Roman"/>
                <w:noProof/>
                <w:color w:val="006100"/>
                <w:sz w:val="20"/>
                <w:szCs w:val="20"/>
              </w:rPr>
              <w:t>podjetja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mejnik</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Pravilo 1 IN–2, predhodno vrednotenje za preprečevanje čezmernega prenašanja in naknadne ocene obstoječe ureditve </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Ocene, ki jih je izvedlo Ministrstvo za gospodarstvo </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2025</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S spletnim poročanjem o preverjanju skladnosti načela </w:t>
            </w:r>
            <w:r>
              <w:rPr>
                <w:rFonts w:ascii="Times New Roman" w:hAnsi="Times New Roman"/>
                <w:noProof/>
                <w:color w:val="006100"/>
                <w:sz w:val="20"/>
                <w:szCs w:val="20"/>
              </w:rPr>
              <w:t>1–in–2–out (virtualni račun) se potrdi, da se pravilo izvaja v praksi: Kontrola predloženega zakonodajnega gradiva (500 na leto)/priprava usposabljanj za predlagatelje zakonodajnega in nezakonodajnega gradiva (1 na leto)/število posvetovanj za predlagatelj</w:t>
            </w:r>
            <w:r>
              <w:rPr>
                <w:rFonts w:ascii="Times New Roman" w:hAnsi="Times New Roman"/>
                <w:noProof/>
                <w:color w:val="006100"/>
                <w:sz w:val="20"/>
                <w:szCs w:val="20"/>
              </w:rPr>
              <w:t>e (100 na leto)/število posodobitev virtualnih računov na spletni strani MH SR (12 na leto) – Q4 / 2024</w:t>
            </w:r>
          </w:p>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Redno naknadno ocenjevanje učinkovitosti in upravičenosti obstoječih predpisov: Pregled predloženega zakonodajnega gradiva (50 leta 2022, 100 v naslednj</w:t>
            </w:r>
            <w:r>
              <w:rPr>
                <w:rFonts w:ascii="Times New Roman" w:hAnsi="Times New Roman"/>
                <w:noProof/>
                <w:color w:val="006100"/>
                <w:sz w:val="20"/>
                <w:szCs w:val="20"/>
              </w:rPr>
              <w:t>ih letih). Usposabljanje predlagateljev zakonodajnega gradiva (enkrat letno) in zagotavljanje posvetovanj.  Razvit bo mehanizem za nadzor uporabe načela naknadnega vrednotenja – Q4/2024</w:t>
            </w:r>
          </w:p>
          <w:p w:rsidR="009B5602" w:rsidRDefault="00886830">
            <w:pPr>
              <w:rPr>
                <w:rFonts w:ascii="Times New Roman" w:hAnsi="Times New Roman"/>
                <w:noProof/>
                <w:sz w:val="20"/>
                <w:szCs w:val="20"/>
              </w:rPr>
            </w:pPr>
            <w:r>
              <w:rPr>
                <w:rFonts w:ascii="Times New Roman" w:hAnsi="Times New Roman"/>
                <w:noProof/>
                <w:color w:val="006100"/>
                <w:sz w:val="20"/>
                <w:szCs w:val="20"/>
              </w:rPr>
              <w:t>Izvajanje zaščite pred neupravičenim čezmernim prenašanjem zakonodaje:</w:t>
            </w:r>
            <w:r>
              <w:rPr>
                <w:rFonts w:ascii="Times New Roman" w:hAnsi="Times New Roman"/>
                <w:noProof/>
                <w:color w:val="006100"/>
                <w:sz w:val="20"/>
                <w:szCs w:val="20"/>
              </w:rPr>
              <w:t xml:space="preserve"> Razvit bo nadzor predloženih ocen zakonodajnega gradiva (40 na leto)/usposabljanje za predlagatelje zakonodajnega gradiva (1x na leto)/število posvetovanj (30 na leto)/mehanizem za spremljanje uporabe načela zaščite pred neupravičenim čezmernim prenašanje</w:t>
            </w:r>
            <w:r>
              <w:rPr>
                <w:rFonts w:ascii="Times New Roman" w:hAnsi="Times New Roman"/>
                <w:noProof/>
                <w:color w:val="006100"/>
                <w:sz w:val="20"/>
                <w:szCs w:val="20"/>
              </w:rPr>
              <w:t>m zakonodaje. – Q2 / 2025.</w:t>
            </w:r>
          </w:p>
        </w:tc>
      </w:tr>
      <w:tr w:rsidR="009B5602">
        <w:trPr>
          <w:trHeight w:val="12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3</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14 – Izboljšanje poslovnega okolja – Reforma 1: Zmanjšanje regulativnega bremena za podjetja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mejnik</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Zmanjšanje upravnega bremena za podjetnike</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treh svežnjev s 300 ukrepi za zmanjšanje upravnega bremena</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2024</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Začetek veljavnosti treh svežnjev, ki zmanjšujejo upravno breme za podjetja, od katerih vsak vsebuje vsaj 100 ukrepov, in omogočajo prihranke za podjetnike. </w:t>
            </w:r>
          </w:p>
        </w:tc>
      </w:tr>
      <w:tr w:rsidR="009B5602">
        <w:trPr>
          <w:trHeight w:val="300"/>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4</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14 – Izboljšanje poslovnega okolja – Reforma 2: Reforma insolvenčnega okvira – </w:t>
            </w:r>
            <w:r>
              <w:rPr>
                <w:rFonts w:ascii="Times New Roman" w:hAnsi="Times New Roman"/>
                <w:noProof/>
                <w:color w:val="006100"/>
                <w:sz w:val="20"/>
                <w:szCs w:val="20"/>
              </w:rPr>
              <w:t>Prilagoditev zakonodaje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mejnik</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Reforma insolvenčnega okvira </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niza zakonov, ki urejajo postopke v primeru insolventnosti.</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2023</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Začetek veljavnosti zakonov, s katerimi se vzpostavi pravni okvir za poenotenje in popolno digitalizacijo likvidacije, stečaja, prestrukturiranja in odpusta dolgov ter po potrebi za reševanje grozečega stečaja, pa tudi za spremembo pravnih in postopkovnih </w:t>
            </w:r>
            <w:r>
              <w:rPr>
                <w:rFonts w:ascii="Times New Roman" w:hAnsi="Times New Roman"/>
                <w:noProof/>
                <w:color w:val="006100"/>
                <w:sz w:val="20"/>
                <w:szCs w:val="20"/>
              </w:rPr>
              <w:t xml:space="preserve">okvirov za digitalizacijo postopkov prisilne likvidacije. Vključuje uvedbo orodij za zgodnje opozarjanje in ustvarja specializacijo na področju insolventnosti na ravni poslovnih sodišč. </w:t>
            </w:r>
          </w:p>
          <w:p w:rsidR="009B5602" w:rsidRDefault="00886830">
            <w:pPr>
              <w:rPr>
                <w:rFonts w:ascii="Times New Roman" w:hAnsi="Times New Roman"/>
                <w:noProof/>
                <w:sz w:val="20"/>
                <w:szCs w:val="20"/>
              </w:rPr>
            </w:pPr>
            <w:r>
              <w:rPr>
                <w:rFonts w:ascii="Times New Roman" w:hAnsi="Times New Roman"/>
                <w:noProof/>
                <w:color w:val="006100"/>
                <w:sz w:val="20"/>
                <w:szCs w:val="20"/>
              </w:rPr>
              <w:t>Vlada in parlament odobrita sklop zakonov: – nov zakon o nejavnem fin</w:t>
            </w:r>
            <w:r>
              <w:rPr>
                <w:rFonts w:ascii="Times New Roman" w:hAnsi="Times New Roman"/>
                <w:noProof/>
                <w:color w:val="006100"/>
                <w:sz w:val="20"/>
                <w:szCs w:val="20"/>
              </w:rPr>
              <w:t>ančnem prestrukturiranju in javnem preventivnem prestrukturiranju; – sprememba Zakona št. 7/2005 o stečaju in prestrukturiranju, – sprememba Zakona št. 8/2005 o upraviteljih, – Sprememba Zakona št. 328/1991 o stečaju in dogovoru; – sprememba zakona št. 757</w:t>
            </w:r>
            <w:r>
              <w:rPr>
                <w:rFonts w:ascii="Times New Roman" w:hAnsi="Times New Roman"/>
                <w:noProof/>
                <w:color w:val="006100"/>
                <w:sz w:val="20"/>
                <w:szCs w:val="20"/>
              </w:rPr>
              <w:t>/2004 o sodiščih; – sprememba zakona št. 371/2004 o sedežih in okrožjih sodišč Slovaške republike.</w:t>
            </w:r>
          </w:p>
        </w:tc>
      </w:tr>
      <w:tr w:rsidR="009B5602">
        <w:trPr>
          <w:trHeight w:val="235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5</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14 – Izboljšanje poslovnega okolja – Naložba 2: Digitalizacija postopkov v primeru insolventnosti</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cilj</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V celoti deluje en sam, popolnoma digitaliziran </w:t>
            </w:r>
            <w:r>
              <w:rPr>
                <w:rFonts w:ascii="Times New Roman" w:hAnsi="Times New Roman"/>
                <w:noProof/>
                <w:color w:val="006100"/>
                <w:sz w:val="20"/>
                <w:szCs w:val="20"/>
              </w:rPr>
              <w:t>postopek insolventnosti.</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 postopkov v primeru insolventnosti, izvedenih z enotnim digitalnim postopkom</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100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2024</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Edini popolnoma digitaliziran postopek insolventnosti je bil preizkušen in sprožen ter se uporablja v vseh postopkih v primeru </w:t>
            </w:r>
            <w:r>
              <w:rPr>
                <w:rFonts w:ascii="Times New Roman" w:hAnsi="Times New Roman"/>
                <w:noProof/>
                <w:color w:val="006100"/>
                <w:sz w:val="20"/>
                <w:szCs w:val="20"/>
              </w:rPr>
              <w:t xml:space="preserve">insolventnosti. Začetek delovanja informacijskega sistema javne uprave (tehnični okvir), ki se osredotoča na insolvenčno pravo in postopke izstopa z moduli z več uporabniki (skrbniki, upniki, sodišča, javnost, unovčenje premoženja) in dodatnimi funkcijami </w:t>
            </w:r>
            <w:r>
              <w:rPr>
                <w:rFonts w:ascii="Times New Roman" w:hAnsi="Times New Roman"/>
                <w:noProof/>
                <w:color w:val="006100"/>
                <w:sz w:val="20"/>
                <w:szCs w:val="20"/>
              </w:rPr>
              <w:t>za zgodnje opozarjanje na neizbežno insolventnost, odpust dolgov fizičnih oseb, čezmejno izmenjavo informacij, zagotavljanje statističnih in analitičnih podatkov ter razkritje informacij.</w:t>
            </w:r>
          </w:p>
        </w:tc>
      </w:tr>
      <w:tr w:rsidR="009B5602">
        <w:trPr>
          <w:trHeight w:val="7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6</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14 – Izboljšanje poslovnega okolja – Reforma 3: Reforma javnih </w:t>
            </w:r>
            <w:r>
              <w:rPr>
                <w:rFonts w:ascii="Times New Roman" w:hAnsi="Times New Roman"/>
                <w:noProof/>
                <w:color w:val="006100"/>
                <w:sz w:val="20"/>
                <w:szCs w:val="20"/>
              </w:rPr>
              <w:t>naročil – prilagoditev zakonodaje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mejnik</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Reforma Zakona o postopkih javnega naročanja </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revidiranega zakona o postopkih javnega naročanja v parlamentu</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Sprememba Zakona o postopkih javnega naročanja, ki sta jo odobrila vlada</w:t>
            </w:r>
            <w:r>
              <w:rPr>
                <w:rFonts w:ascii="Times New Roman" w:hAnsi="Times New Roman"/>
                <w:noProof/>
                <w:color w:val="006100"/>
                <w:sz w:val="20"/>
                <w:szCs w:val="20"/>
              </w:rPr>
              <w:t xml:space="preserve"> in parlament ter je začela veljati, bo zagotovila:</w:t>
            </w:r>
          </w:p>
          <w:p w:rsidR="009B5602" w:rsidRDefault="00886830">
            <w:pPr>
              <w:rPr>
                <w:rFonts w:ascii="Times New Roman" w:hAnsi="Times New Roman"/>
                <w:noProof/>
                <w:sz w:val="20"/>
                <w:szCs w:val="20"/>
              </w:rPr>
            </w:pPr>
            <w:r>
              <w:rPr>
                <w:rFonts w:ascii="Times New Roman" w:hAnsi="Times New Roman"/>
                <w:noProof/>
                <w:color w:val="006100"/>
                <w:sz w:val="20"/>
                <w:szCs w:val="20"/>
              </w:rPr>
              <w:t>– pospešitev in poenostavitev postopka javnega naročanja;</w:t>
            </w:r>
          </w:p>
          <w:p w:rsidR="009B5602" w:rsidRDefault="00886830">
            <w:pPr>
              <w:rPr>
                <w:rFonts w:ascii="Times New Roman" w:hAnsi="Times New Roman"/>
                <w:noProof/>
                <w:sz w:val="20"/>
                <w:szCs w:val="20"/>
              </w:rPr>
            </w:pPr>
            <w:r>
              <w:rPr>
                <w:rFonts w:ascii="Times New Roman" w:hAnsi="Times New Roman"/>
                <w:noProof/>
                <w:color w:val="006100"/>
                <w:sz w:val="20"/>
                <w:szCs w:val="20"/>
              </w:rPr>
              <w:t>– pospešitev postopka, tudi z namenom uveljavljanja pravic kandidatov, ponudnikov, udeležencev in drugih zadevnih oseb;</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izboljšanje nadzora nad </w:t>
            </w:r>
            <w:r>
              <w:rPr>
                <w:rFonts w:ascii="Times New Roman" w:hAnsi="Times New Roman"/>
                <w:noProof/>
                <w:color w:val="006100"/>
                <w:sz w:val="20"/>
                <w:szCs w:val="20"/>
              </w:rPr>
              <w:t>javnimi naročili z avtomatizacijo oddaje in ocenjevanja pogodb ter zagotavljanjem učinkovitega zbiranja in analize podatkov o cenah;</w:t>
            </w:r>
          </w:p>
          <w:p w:rsidR="009B5602" w:rsidRDefault="00886830">
            <w:pPr>
              <w:rPr>
                <w:rFonts w:ascii="Times New Roman" w:hAnsi="Times New Roman"/>
                <w:noProof/>
                <w:sz w:val="20"/>
                <w:szCs w:val="20"/>
              </w:rPr>
            </w:pPr>
            <w:r>
              <w:rPr>
                <w:rFonts w:ascii="Times New Roman" w:hAnsi="Times New Roman"/>
                <w:noProof/>
                <w:color w:val="006100"/>
                <w:sz w:val="20"/>
                <w:szCs w:val="20"/>
              </w:rPr>
              <w:t>– ustrezne zaščitne ukrepe, zlasti glede preglednosti, in vse predlagane spremembe bodo v skladu z ustreznimi direktivami E</w:t>
            </w:r>
            <w:r>
              <w:rPr>
                <w:rFonts w:ascii="Times New Roman" w:hAnsi="Times New Roman"/>
                <w:noProof/>
                <w:color w:val="006100"/>
                <w:sz w:val="20"/>
                <w:szCs w:val="20"/>
              </w:rPr>
              <w:t>vropskega parlamenta in Sveta ter pravili iz Pogodbe o delovanju EU.</w:t>
            </w:r>
          </w:p>
        </w:tc>
      </w:tr>
      <w:tr w:rsidR="009B5602">
        <w:trPr>
          <w:trHeight w:val="1050"/>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7</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14 – Izboljšanje poslovnega okolja – Reforma 3: Reforma javnega naročanja – digitalizacija postopkov javnega naročanja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mejnik</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Digitalizacija postopkov javnega naročanja prek enotne </w:t>
            </w:r>
            <w:r>
              <w:rPr>
                <w:rFonts w:ascii="Times New Roman" w:hAnsi="Times New Roman"/>
                <w:noProof/>
                <w:color w:val="006100"/>
                <w:sz w:val="20"/>
                <w:szCs w:val="20"/>
              </w:rPr>
              <w:t>elektronske platforme.</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Enotna elektronska platforma v celoti deluje, kar zadeva 7 novih funkcij. </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2023</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Digitalizacija postopkov javnega naročanja se preskusi in v celoti deluje, vključno z interoperabilnostjo z informacijskim sistemom centralnega </w:t>
            </w:r>
            <w:r>
              <w:rPr>
                <w:rFonts w:ascii="Times New Roman" w:hAnsi="Times New Roman"/>
                <w:noProof/>
                <w:color w:val="006100"/>
                <w:sz w:val="20"/>
                <w:szCs w:val="20"/>
              </w:rPr>
              <w:t>upravljanja referenčnih podatkov (IS CSRÚ) v skladu z zakonom št. 305/2013 zb., ki omogoča samodejno dokončanje podatkov o naročnikih, razširitev področja uporabe na vse blago in storitve ter spremljanje razvoja cen blaga in storitev. Pričakuje se, da se b</w:t>
            </w:r>
            <w:r>
              <w:rPr>
                <w:rFonts w:ascii="Times New Roman" w:hAnsi="Times New Roman"/>
                <w:noProof/>
                <w:color w:val="006100"/>
                <w:sz w:val="20"/>
                <w:szCs w:val="20"/>
              </w:rPr>
              <w:t>o sistem za gibanje cen blaga in storitev postopoma zapolnil. Značilnosti:</w:t>
            </w:r>
          </w:p>
          <w:p w:rsidR="009B5602" w:rsidRDefault="00886830">
            <w:pPr>
              <w:rPr>
                <w:rFonts w:ascii="Times New Roman" w:hAnsi="Times New Roman"/>
                <w:noProof/>
                <w:sz w:val="20"/>
                <w:szCs w:val="20"/>
              </w:rPr>
            </w:pPr>
            <w:r>
              <w:rPr>
                <w:rFonts w:ascii="Times New Roman" w:hAnsi="Times New Roman"/>
                <w:noProof/>
                <w:color w:val="006100"/>
                <w:sz w:val="20"/>
                <w:szCs w:val="20"/>
              </w:rPr>
              <w:t>– predložitev del, blaga in storitev, ki ne dosegajo praga, ne le tistih, ki so običajno na voljo na trgu;</w:t>
            </w:r>
          </w:p>
          <w:p w:rsidR="009B5602" w:rsidRDefault="00886830">
            <w:pPr>
              <w:rPr>
                <w:rFonts w:ascii="Times New Roman" w:hAnsi="Times New Roman"/>
                <w:noProof/>
                <w:sz w:val="20"/>
                <w:szCs w:val="20"/>
              </w:rPr>
            </w:pPr>
            <w:r>
              <w:rPr>
                <w:rFonts w:ascii="Times New Roman" w:hAnsi="Times New Roman"/>
                <w:noProof/>
                <w:color w:val="006100"/>
                <w:sz w:val="20"/>
                <w:szCs w:val="20"/>
              </w:rPr>
              <w:t>– oddaja naročila z merilom, ki ni cena;</w:t>
            </w:r>
          </w:p>
          <w:p w:rsidR="009B5602" w:rsidRDefault="00886830">
            <w:pPr>
              <w:rPr>
                <w:rFonts w:ascii="Times New Roman" w:hAnsi="Times New Roman"/>
                <w:noProof/>
                <w:sz w:val="20"/>
                <w:szCs w:val="20"/>
              </w:rPr>
            </w:pPr>
            <w:r>
              <w:rPr>
                <w:rFonts w:ascii="Times New Roman" w:hAnsi="Times New Roman"/>
                <w:noProof/>
                <w:color w:val="006100"/>
                <w:sz w:val="20"/>
                <w:szCs w:val="20"/>
              </w:rPr>
              <w:t>– tržne raziskave za naročila niz</w:t>
            </w:r>
            <w:r>
              <w:rPr>
                <w:rFonts w:ascii="Times New Roman" w:hAnsi="Times New Roman"/>
                <w:noProof/>
                <w:color w:val="006100"/>
                <w:sz w:val="20"/>
                <w:szCs w:val="20"/>
              </w:rPr>
              <w:t>ke vrednosti;</w:t>
            </w:r>
          </w:p>
          <w:p w:rsidR="009B5602" w:rsidRDefault="00886830">
            <w:pPr>
              <w:rPr>
                <w:rFonts w:ascii="Times New Roman" w:hAnsi="Times New Roman"/>
                <w:noProof/>
                <w:sz w:val="20"/>
                <w:szCs w:val="20"/>
              </w:rPr>
            </w:pPr>
            <w:r>
              <w:rPr>
                <w:rFonts w:ascii="Times New Roman" w:hAnsi="Times New Roman"/>
                <w:noProof/>
                <w:color w:val="006100"/>
                <w:sz w:val="20"/>
                <w:szCs w:val="20"/>
              </w:rPr>
              <w:t>– objava naročil nizke vrednosti;</w:t>
            </w:r>
          </w:p>
          <w:p w:rsidR="009B5602" w:rsidRDefault="00886830">
            <w:pPr>
              <w:rPr>
                <w:rFonts w:ascii="Times New Roman" w:hAnsi="Times New Roman"/>
                <w:noProof/>
                <w:sz w:val="20"/>
                <w:szCs w:val="20"/>
              </w:rPr>
            </w:pPr>
            <w:r>
              <w:rPr>
                <w:rFonts w:ascii="Times New Roman" w:hAnsi="Times New Roman"/>
                <w:noProof/>
                <w:color w:val="006100"/>
                <w:sz w:val="20"/>
                <w:szCs w:val="20"/>
              </w:rPr>
              <w:t>– vzpostavitev funkcije spremljanja cen;</w:t>
            </w:r>
          </w:p>
          <w:p w:rsidR="009B5602" w:rsidRDefault="00886830">
            <w:pPr>
              <w:rPr>
                <w:rFonts w:ascii="Times New Roman" w:hAnsi="Times New Roman"/>
                <w:noProof/>
                <w:sz w:val="20"/>
                <w:szCs w:val="20"/>
              </w:rPr>
            </w:pPr>
            <w:r>
              <w:rPr>
                <w:rFonts w:ascii="Times New Roman" w:hAnsi="Times New Roman"/>
                <w:noProof/>
                <w:color w:val="006100"/>
                <w:sz w:val="20"/>
                <w:szCs w:val="20"/>
              </w:rPr>
              <w:t>– vzpostavitev funkcije za samodejno razvrščanje ponudb;</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vključitev v informacijski sistem centralnega upravljanja referenčnih podatkov (IS CSRÚ) v skladu z zakonom </w:t>
            </w:r>
            <w:r>
              <w:rPr>
                <w:rFonts w:ascii="Times New Roman" w:hAnsi="Times New Roman"/>
                <w:noProof/>
                <w:color w:val="006100"/>
                <w:sz w:val="20"/>
                <w:szCs w:val="20"/>
              </w:rPr>
              <w:t>št. 305/2013 zb.</w:t>
            </w:r>
          </w:p>
        </w:tc>
      </w:tr>
    </w:tbl>
    <w:p w:rsidR="009B5602" w:rsidRPr="00886830" w:rsidRDefault="009B5602">
      <w:pPr>
        <w:spacing w:before="120" w:after="120" w:line="240" w:lineRule="auto"/>
        <w:jc w:val="both"/>
        <w:rPr>
          <w:rFonts w:ascii="Times New Roman" w:hAnsi="Times New Roman"/>
          <w:noProof/>
          <w:sz w:val="24"/>
          <w:szCs w:val="24"/>
        </w:rPr>
        <w:sectPr w:rsidR="009B5602" w:rsidRPr="00886830">
          <w:headerReference w:type="even" r:id="rId180"/>
          <w:headerReference w:type="default" r:id="rId181"/>
          <w:footerReference w:type="even" r:id="rId182"/>
          <w:footerReference w:type="default" r:id="rId183"/>
          <w:headerReference w:type="first" r:id="rId184"/>
          <w:footerReference w:type="first" r:id="rId185"/>
          <w:pgSz w:w="16839" w:h="11907" w:orient="landscape"/>
          <w:pgMar w:top="568" w:right="1134" w:bottom="1418" w:left="1134" w:header="709" w:footer="709" w:gutter="0"/>
          <w:cols w:space="720"/>
          <w:docGrid w:linePitch="360"/>
        </w:sectPr>
      </w:pPr>
    </w:p>
    <w:p w:rsidR="009B5602" w:rsidRDefault="00886830">
      <w:pPr>
        <w:keepNext/>
        <w:tabs>
          <w:tab w:val="left" w:pos="850"/>
        </w:tabs>
        <w:spacing w:before="360" w:after="120" w:line="240" w:lineRule="auto"/>
        <w:jc w:val="both"/>
        <w:outlineLvl w:val="0"/>
        <w:rPr>
          <w:rFonts w:ascii="Times New Roman" w:hAnsi="Times New Roman"/>
          <w:b/>
          <w:bCs/>
          <w:smallCaps/>
          <w:noProof/>
          <w:sz w:val="24"/>
        </w:rPr>
      </w:pPr>
      <w:r>
        <w:rPr>
          <w:rFonts w:ascii="Times New Roman" w:hAnsi="Times New Roman"/>
          <w:b/>
          <w:smallCaps/>
          <w:noProof/>
          <w:sz w:val="24"/>
        </w:rPr>
        <w:t xml:space="preserve">KOMPONENTA 15: </w:t>
      </w:r>
      <w:r>
        <w:rPr>
          <w:rFonts w:ascii="Times New Roman" w:hAnsi="Times New Roman"/>
          <w:b/>
          <w:bCs/>
          <w:smallCaps/>
          <w:noProof/>
          <w:sz w:val="24"/>
        </w:rPr>
        <w:t>Reforma pravosodja</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Na Slovaškem so bili izraženi posebni pomisleki glede splošne celovitosti njenega pravosodnega sistema, zaupanje v sodstvo pa je slabo v primerjavi z drugimi državami EU. Korupcija je še vedno izziv, zaznavanje korupcije pa je še vedno problematično.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Ta k</w:t>
      </w:r>
      <w:r>
        <w:rPr>
          <w:rFonts w:ascii="Times New Roman" w:hAnsi="Times New Roman"/>
          <w:noProof/>
          <w:sz w:val="24"/>
          <w:szCs w:val="24"/>
        </w:rPr>
        <w:t>omponenta slovaškega načrta za okrevanje in odpornost je namenjena nadaljnjemu povečanju učinkovitosti, celovitosti in neodvisnosti pravosodnega sistema ter boju proti korupciji. Cilj reforme mreže sodišč je uvesti specializacijo sodnikov in tako ustvariti</w:t>
      </w:r>
      <w:r>
        <w:rPr>
          <w:rFonts w:ascii="Times New Roman" w:hAnsi="Times New Roman"/>
          <w:noProof/>
          <w:sz w:val="24"/>
          <w:szCs w:val="24"/>
        </w:rPr>
        <w:t xml:space="preserve"> prostor za boljše in hitrejše sodne odločbe. Naložbe, povezane z reformo mreže sodišč, imajo dva krovna cilja. Prvi cilj je nadgraditi obstoječe prostore in zgraditi ali naročiti nove prostore za ključna sodišča v novi mreži sodišč. Drugi cilj je vlagati </w:t>
      </w:r>
      <w:r>
        <w:rPr>
          <w:rFonts w:ascii="Times New Roman" w:hAnsi="Times New Roman"/>
          <w:noProof/>
          <w:sz w:val="24"/>
          <w:szCs w:val="24"/>
        </w:rPr>
        <w:t>v analitične zmogljivosti, digitalne tehnologije in elektronsko uporabo sodnih postopkov, da bi prispevali k boljši kakovosti in hitrejšim storitvam ter večji preglednosti postopkov in zmanjšali možnosti za koruptivne prakse.</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Pričakuje se, da noben ukrep v</w:t>
      </w:r>
      <w:r>
        <w:rPr>
          <w:rFonts w:ascii="Times New Roman" w:hAnsi="Times New Roman"/>
          <w:noProof/>
          <w:sz w:val="24"/>
          <w:szCs w:val="24"/>
        </w:rPr>
        <w:t xml:space="preserve"> tej komponenti ne bo znatno škodoval okoljskim ciljem v smislu člena 17 Uredbe (EU) 2020/852, ob upoštevanju opisa ukrepov in ukrepov za ublažitev, določenih v načrtu za okrevanje in odpornost v skladu s tehničnimi smernicami za uporabo načela, da se ne š</w:t>
      </w:r>
      <w:r>
        <w:rPr>
          <w:rFonts w:ascii="Times New Roman" w:hAnsi="Times New Roman"/>
          <w:noProof/>
          <w:sz w:val="24"/>
          <w:szCs w:val="24"/>
        </w:rPr>
        <w:t xml:space="preserve">koduje bistveno (2021/C58/01).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Komponenta prispeva k obravnavi priporočila za posamezno državo št. 4 iz leta 2019 in priporočila za posamezno državo št. 4 iz leta 2020, in sicer za izboljšanje učinkovitosti in obravnavanje vprašanj integritete v pravosod</w:t>
      </w:r>
      <w:r>
        <w:rPr>
          <w:rFonts w:ascii="Times New Roman" w:hAnsi="Times New Roman"/>
          <w:noProof/>
          <w:sz w:val="24"/>
        </w:rPr>
        <w:t>nem sistemu, pa tudi za povečanje prizadevanj za odkrivanje in pregon korupcije ter zagotavljanje učinkovitega nadzora in izvrševanja okvira za preprečevanje pranja denarja.</w:t>
      </w:r>
    </w:p>
    <w:p w:rsidR="009B5602" w:rsidRDefault="009B5602">
      <w:pPr>
        <w:spacing w:before="120" w:after="120" w:line="240" w:lineRule="auto"/>
        <w:jc w:val="both"/>
        <w:rPr>
          <w:rFonts w:ascii="Times New Roman" w:hAnsi="Times New Roman"/>
          <w:noProof/>
          <w:sz w:val="24"/>
        </w:rPr>
      </w:pP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Reforma 1: Reorganizacija mreže sodišč</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Razdrobljenost slovaškega pravosodnega sistema zmanjšuje njegovo učinkovitost. Sodniki se ne morejo dovolj specializirati, kar ovira učinkovitost in kakovost sodnih odločb. Poleg tega heterogenost sistema povzroča pomanjkanje preglednosti.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Ta reforma bo z</w:t>
      </w:r>
      <w:r>
        <w:rPr>
          <w:rFonts w:ascii="Times New Roman" w:hAnsi="Times New Roman"/>
          <w:noProof/>
          <w:sz w:val="24"/>
          <w:szCs w:val="24"/>
        </w:rPr>
        <w:t>ato izboljšala učinkovitost in kakovost sodstva. V ta namen preoblikuje sistem sodišč z njegovo racionalizacijo in tako omogoči večjo specializacijo sodnikov na področju kazenskega, civilnega, gospodarskega in družinskega pravosodja ter utira pot boljšim i</w:t>
      </w:r>
      <w:r>
        <w:rPr>
          <w:rFonts w:ascii="Times New Roman" w:hAnsi="Times New Roman"/>
          <w:noProof/>
          <w:sz w:val="24"/>
          <w:szCs w:val="24"/>
        </w:rPr>
        <w:t xml:space="preserve">n hitrejšim sodnim odločbam. Vključuje novo mrežo prvostopenjskih upravnih in rednih sodišč (vključno z občinskimi sodišči), pritožbenih sodišč in vrhovnega upravnega sodišča.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Glavna zakonodaja, s katero se izvaja reforma mreže sodišč, začne veljati do 31</w:t>
      </w:r>
      <w:r>
        <w:rPr>
          <w:rFonts w:ascii="Times New Roman" w:hAnsi="Times New Roman"/>
          <w:noProof/>
          <w:sz w:val="24"/>
        </w:rPr>
        <w:t>. decembra 2021. Prehod pravosodnega sistema na manjše število sodišč in s specializiranimi sodniki se zaključi do 31. marca 2023.</w:t>
      </w:r>
    </w:p>
    <w:p w:rsidR="009B5602" w:rsidRDefault="009B5602">
      <w:pPr>
        <w:spacing w:before="120" w:after="120" w:line="240" w:lineRule="auto"/>
        <w:jc w:val="both"/>
        <w:rPr>
          <w:rFonts w:ascii="Times New Roman" w:hAnsi="Times New Roman"/>
          <w:noProof/>
          <w:sz w:val="24"/>
        </w:rPr>
      </w:pP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Reforma 2:</w:t>
      </w:r>
      <w:r>
        <w:rPr>
          <w:rFonts w:ascii="Times New Roman" w:hAnsi="Times New Roman"/>
          <w:noProof/>
          <w:sz w:val="24"/>
        </w:rPr>
        <w:t xml:space="preserve"> </w:t>
      </w:r>
      <w:r>
        <w:rPr>
          <w:rFonts w:ascii="Times New Roman" w:hAnsi="Times New Roman"/>
          <w:b/>
          <w:noProof/>
          <w:sz w:val="24"/>
        </w:rPr>
        <w:t>Boj proti korupciji ter krepitev integritete in neodvisnosti sodstva</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Visoka stopnja zaznane korupcije je povezana</w:t>
      </w:r>
      <w:r>
        <w:rPr>
          <w:rFonts w:ascii="Times New Roman" w:hAnsi="Times New Roman"/>
          <w:noProof/>
          <w:sz w:val="24"/>
          <w:szCs w:val="24"/>
        </w:rPr>
        <w:t xml:space="preserve"> s pomanjkanjem zaupanja v sodstvo. Posebna skrb vzbuja pomanjkanje sredstev za pregon korupcije in pranja denarja.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Ta reforma vključuje sveženj zakonodajnih sprememb, namenjenih izboljšanju celovitosti in neodvisnosti sodstva ter učinkovitejšemu boju prot</w:t>
      </w:r>
      <w:r>
        <w:rPr>
          <w:rFonts w:ascii="Times New Roman" w:hAnsi="Times New Roman"/>
          <w:noProof/>
          <w:sz w:val="24"/>
        </w:rPr>
        <w:t>i korupciji in pranju denarja. Ta reforma se izvaja v skladu s členom 19 PEU, da se zagotovi učinkovito sodno varstvo.</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Krepitev integritete in neodvisnosti sodstva:</w:t>
      </w:r>
    </w:p>
    <w:p w:rsidR="009B5602" w:rsidRDefault="00886830">
      <w:pPr>
        <w:numPr>
          <w:ilvl w:val="0"/>
          <w:numId w:val="33"/>
        </w:numPr>
        <w:spacing w:before="120" w:after="120" w:line="240" w:lineRule="auto"/>
        <w:ind w:left="0"/>
        <w:jc w:val="both"/>
        <w:rPr>
          <w:rFonts w:ascii="Times New Roman" w:hAnsi="Times New Roman"/>
          <w:noProof/>
          <w:sz w:val="24"/>
          <w:szCs w:val="24"/>
        </w:rPr>
      </w:pPr>
      <w:r>
        <w:rPr>
          <w:rFonts w:ascii="Times New Roman" w:hAnsi="Times New Roman"/>
          <w:noProof/>
          <w:sz w:val="24"/>
          <w:szCs w:val="24"/>
        </w:rPr>
        <w:t>Vrhovno upravno sodišče se ustanovi s pooblastilom, da deluje kot disciplinsko sodišče za s</w:t>
      </w:r>
      <w:r>
        <w:rPr>
          <w:rFonts w:ascii="Times New Roman" w:hAnsi="Times New Roman"/>
          <w:noProof/>
          <w:sz w:val="24"/>
          <w:szCs w:val="24"/>
        </w:rPr>
        <w:t>odnike, tožilce, sodne izvršitelje, notarje in administratorje (v povezavi z reformo 1).</w:t>
      </w:r>
    </w:p>
    <w:p w:rsidR="009B5602" w:rsidRDefault="00886830">
      <w:pPr>
        <w:numPr>
          <w:ilvl w:val="0"/>
          <w:numId w:val="33"/>
        </w:numPr>
        <w:spacing w:before="120" w:after="120" w:line="240" w:lineRule="auto"/>
        <w:ind w:left="0"/>
        <w:jc w:val="both"/>
        <w:rPr>
          <w:rFonts w:ascii="Times New Roman" w:hAnsi="Times New Roman"/>
          <w:noProof/>
          <w:sz w:val="24"/>
          <w:szCs w:val="24"/>
        </w:rPr>
      </w:pPr>
      <w:r>
        <w:rPr>
          <w:rFonts w:ascii="Times New Roman" w:hAnsi="Times New Roman"/>
          <w:noProof/>
          <w:sz w:val="24"/>
          <w:szCs w:val="24"/>
        </w:rPr>
        <w:t>Sodni svet ima več pristojnosti za preverjanje premoženja in strokovnega znanja sodnikov na področju pravosodja. Poleg tega se za izvolitev v sodni svet uvede regional</w:t>
      </w:r>
      <w:r>
        <w:rPr>
          <w:rFonts w:ascii="Times New Roman" w:hAnsi="Times New Roman"/>
          <w:noProof/>
          <w:sz w:val="24"/>
          <w:szCs w:val="24"/>
        </w:rPr>
        <w:t>no načelo, da se zagotovi boljša zastopanost.</w:t>
      </w:r>
    </w:p>
    <w:p w:rsidR="009B5602" w:rsidRDefault="00886830">
      <w:pPr>
        <w:numPr>
          <w:ilvl w:val="0"/>
          <w:numId w:val="33"/>
        </w:numPr>
        <w:spacing w:before="120" w:after="120" w:line="240" w:lineRule="auto"/>
        <w:ind w:left="0"/>
        <w:jc w:val="both"/>
        <w:rPr>
          <w:rFonts w:ascii="Times New Roman" w:hAnsi="Times New Roman"/>
          <w:noProof/>
          <w:sz w:val="24"/>
          <w:szCs w:val="24"/>
        </w:rPr>
      </w:pPr>
      <w:r>
        <w:rPr>
          <w:rFonts w:ascii="Times New Roman" w:hAnsi="Times New Roman"/>
          <w:noProof/>
          <w:sz w:val="24"/>
          <w:szCs w:val="24"/>
        </w:rPr>
        <w:t>Volitve sodnikov ustavnega sodišča se izboljšajo in postanejo preglednejše na več načinov, na primer z zaščito pred parlamentarno pasivnostjo pri volitvah sodnikov, uvedbo načela rotacije sodnikov, da se zmanjš</w:t>
      </w:r>
      <w:r>
        <w:rPr>
          <w:rFonts w:ascii="Times New Roman" w:hAnsi="Times New Roman"/>
          <w:noProof/>
          <w:sz w:val="24"/>
          <w:szCs w:val="24"/>
        </w:rPr>
        <w:t>a tveganje, da bi določeno politično stranko izbralo preveč sodnikov. Za izvolitev ključnih sodnikov (ustavnega sodišča, generalnega državnega tožilca in posebnega tožilca) se uvedejo javne obravnave.</w:t>
      </w:r>
    </w:p>
    <w:p w:rsidR="009B5602" w:rsidRDefault="00886830">
      <w:pPr>
        <w:numPr>
          <w:ilvl w:val="0"/>
          <w:numId w:val="33"/>
        </w:numPr>
        <w:spacing w:before="120" w:after="120" w:line="240" w:lineRule="auto"/>
        <w:ind w:left="0"/>
        <w:jc w:val="both"/>
        <w:rPr>
          <w:rFonts w:ascii="Times New Roman" w:hAnsi="Times New Roman"/>
          <w:noProof/>
          <w:sz w:val="24"/>
          <w:szCs w:val="24"/>
        </w:rPr>
      </w:pPr>
      <w:r>
        <w:rPr>
          <w:rFonts w:ascii="Times New Roman" w:hAnsi="Times New Roman"/>
          <w:noProof/>
          <w:sz w:val="24"/>
          <w:szCs w:val="24"/>
        </w:rPr>
        <w:t>Spremenijo se pravila o opravljanju sodnega poklica, vk</w:t>
      </w:r>
      <w:r>
        <w:rPr>
          <w:rFonts w:ascii="Times New Roman" w:hAnsi="Times New Roman"/>
          <w:noProof/>
          <w:sz w:val="24"/>
          <w:szCs w:val="24"/>
        </w:rPr>
        <w:t>ljučno s starostno mejo 67 let za sodnike in 72 let za ustavne sodnike.</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zagotovi učinkovit nadzor in izvrševanje okvira za preprečevanje pranja denarja:</w:t>
      </w:r>
    </w:p>
    <w:p w:rsidR="009B5602" w:rsidRDefault="00886830">
      <w:pPr>
        <w:numPr>
          <w:ilvl w:val="0"/>
          <w:numId w:val="32"/>
        </w:numPr>
        <w:spacing w:before="120" w:after="120" w:line="240" w:lineRule="auto"/>
        <w:ind w:left="0"/>
        <w:jc w:val="both"/>
        <w:rPr>
          <w:rFonts w:ascii="Times New Roman" w:hAnsi="Times New Roman"/>
          <w:noProof/>
          <w:sz w:val="24"/>
          <w:szCs w:val="24"/>
        </w:rPr>
      </w:pPr>
      <w:r>
        <w:rPr>
          <w:rFonts w:ascii="Times New Roman" w:hAnsi="Times New Roman"/>
          <w:noProof/>
          <w:sz w:val="24"/>
          <w:szCs w:val="24"/>
        </w:rPr>
        <w:t xml:space="preserve">Ustanovi se Urad za upravljanje zaseženega premoženja skupaj z izboljšanim pravnim okvirom, ki omogoča učinkovitejšo zaseg in upravljanje premoženja. </w:t>
      </w:r>
      <w:r>
        <w:rPr>
          <w:rFonts w:ascii="Times New Roman" w:hAnsi="Times New Roman"/>
          <w:noProof/>
          <w:sz w:val="24"/>
        </w:rPr>
        <w:t>Ta ukrep je povezan s prizadevanji za preprečevanje pranja denarja v komponenti 16 slovaškega načrta za ok</w:t>
      </w:r>
      <w:r>
        <w:rPr>
          <w:rFonts w:ascii="Times New Roman" w:hAnsi="Times New Roman"/>
          <w:noProof/>
          <w:sz w:val="24"/>
        </w:rPr>
        <w:t>revanje in odpornost.</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Odkrivanje in pregon korupcije:</w:t>
      </w:r>
    </w:p>
    <w:p w:rsidR="009B5602" w:rsidRDefault="00886830">
      <w:pPr>
        <w:numPr>
          <w:ilvl w:val="0"/>
          <w:numId w:val="31"/>
        </w:numPr>
        <w:spacing w:before="120" w:after="120" w:line="240" w:lineRule="auto"/>
        <w:ind w:left="0"/>
        <w:jc w:val="both"/>
        <w:rPr>
          <w:rFonts w:ascii="Times New Roman" w:hAnsi="Times New Roman"/>
          <w:noProof/>
          <w:sz w:val="24"/>
          <w:szCs w:val="24"/>
        </w:rPr>
      </w:pPr>
      <w:r>
        <w:rPr>
          <w:rFonts w:ascii="Times New Roman" w:hAnsi="Times New Roman"/>
          <w:noProof/>
          <w:sz w:val="24"/>
          <w:szCs w:val="24"/>
        </w:rPr>
        <w:t>Nova kazniva dejanja se uvedejo, če sodniki zlorabljajo zakone in če javni uslužbenci zahtevajo ali obljubljajo neupravičene ugodnosti.</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Del teh zakonodajnih sprememb je bil načrtovan za 31. december 202</w:t>
      </w:r>
      <w:r>
        <w:rPr>
          <w:rFonts w:ascii="Times New Roman" w:hAnsi="Times New Roman"/>
          <w:noProof/>
          <w:sz w:val="24"/>
          <w:szCs w:val="24"/>
        </w:rPr>
        <w:t>0. Celoten zakonodajni sveženj začne veljati do 30. septembra 2021.</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Reforma se izvede do 30. septembra 2021. </w:t>
      </w:r>
    </w:p>
    <w:p w:rsidR="009B5602" w:rsidRDefault="009B5602">
      <w:pPr>
        <w:spacing w:before="120" w:after="120" w:line="240" w:lineRule="auto"/>
        <w:jc w:val="both"/>
        <w:rPr>
          <w:rFonts w:ascii="Times New Roman" w:hAnsi="Times New Roman"/>
          <w:noProof/>
          <w:sz w:val="24"/>
        </w:rPr>
      </w:pP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Naložba 1: Stavbe za reorganizirani sodni sistem</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Nova mreža sodišč, ki jo je prinesla reforma 1 te komponente (reorganizacija mreže sodišč), zaht</w:t>
      </w:r>
      <w:r>
        <w:rPr>
          <w:rFonts w:ascii="Times New Roman" w:hAnsi="Times New Roman"/>
          <w:noProof/>
          <w:sz w:val="24"/>
        </w:rPr>
        <w:t>eva nekaj novih stavb, trenutno razpoložljive stavbe sodišč pa zahtevajo temeljito prenovo ali prilagoditev.</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Ta naložba bo povečala zmogljivost ali nadgradila obstoječe zmogljivosti ali po potrebi zgradila ali nabavila nove primerne prostore za ključna sod</w:t>
      </w:r>
      <w:r>
        <w:rPr>
          <w:rFonts w:ascii="Times New Roman" w:hAnsi="Times New Roman"/>
          <w:noProof/>
          <w:sz w:val="24"/>
        </w:rPr>
        <w:t>išča v novi mreži sodišč. Zlasti je treba zgraditi ali kupiti vsaj 80 500 m² sodnih zgradb in prenoviti vsaj 77 500 m² sodnih zgradb. S prenovo se doseže vsaj 30-odstotni povprečni prihranek primarne energije. Pričakuje se, da bo to zadevalo vsaj prenovo 2</w:t>
      </w:r>
      <w:r>
        <w:rPr>
          <w:rFonts w:ascii="Times New Roman" w:hAnsi="Times New Roman"/>
          <w:noProof/>
          <w:sz w:val="24"/>
        </w:rPr>
        <w:t>5 rednih sodišč prve stopnje, gradnjo dveh novih občinskih sodišč, gradnjo vrhovnega upravnega sodišča ter gradnjo ali obnovo treh prvostopenjskih upravnih sodišč, treh rednih pritožbenih sodišč in treh rednih sodišč prve stopnje.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Naložba se izvede do 31. </w:t>
      </w:r>
      <w:r>
        <w:rPr>
          <w:rFonts w:ascii="Times New Roman" w:hAnsi="Times New Roman"/>
          <w:noProof/>
          <w:sz w:val="24"/>
        </w:rPr>
        <w:t xml:space="preserve">decembra 2024. </w:t>
      </w:r>
    </w:p>
    <w:p w:rsidR="009B5602" w:rsidRDefault="009B5602">
      <w:pPr>
        <w:spacing w:before="120" w:after="120" w:line="240" w:lineRule="auto"/>
        <w:jc w:val="both"/>
        <w:rPr>
          <w:rFonts w:ascii="Times New Roman" w:hAnsi="Times New Roman"/>
          <w:noProof/>
          <w:sz w:val="24"/>
        </w:rPr>
      </w:pPr>
    </w:p>
    <w:p w:rsidR="009B5602" w:rsidRDefault="00886830">
      <w:pPr>
        <w:spacing w:before="120" w:after="120" w:line="240" w:lineRule="auto"/>
        <w:jc w:val="both"/>
        <w:rPr>
          <w:rFonts w:ascii="Times New Roman" w:hAnsi="Times New Roman"/>
          <w:noProof/>
          <w:sz w:val="24"/>
        </w:rPr>
      </w:pPr>
      <w:r>
        <w:rPr>
          <w:rFonts w:ascii="Times New Roman" w:hAnsi="Times New Roman"/>
          <w:b/>
          <w:noProof/>
          <w:sz w:val="24"/>
        </w:rPr>
        <w:t>Naložba 2: Digitalizacija in analitične zmogljivosti</w:t>
      </w:r>
      <w:r>
        <w:rPr>
          <w:rFonts w:ascii="Times New Roman" w:hAnsi="Times New Roman"/>
          <w:noProof/>
          <w:sz w:val="24"/>
        </w:rPr>
        <w:t xml:space="preserve">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Pravosodni sistem ima veliko možnosti za izboljšanje uporabe digitalnih tehnologij, da bi povečali učinkovitost in preglednost. To vključuje zagotavljanje digitalnih in centralno dostop</w:t>
      </w:r>
      <w:r>
        <w:rPr>
          <w:rFonts w:ascii="Times New Roman" w:hAnsi="Times New Roman"/>
          <w:noProof/>
          <w:sz w:val="24"/>
          <w:szCs w:val="24"/>
        </w:rPr>
        <w:t>nih sodnih datotek in opreme IT na sodiščih.</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S temi naložbami se bo dodatno izboljšala učinkovitost sodstva, in sicer z zagotovitvijo opreme za digitalno obravnavo zadev v prenovljenem omrežju in vzpostavitvijo potrebnih sistemov. V ta namen se vzpostavita</w:t>
      </w:r>
      <w:r>
        <w:rPr>
          <w:rFonts w:ascii="Times New Roman" w:hAnsi="Times New Roman"/>
          <w:noProof/>
          <w:sz w:val="24"/>
          <w:szCs w:val="24"/>
        </w:rPr>
        <w:t xml:space="preserve"> elektronski poslovni register ter elektronski centraliziran sistem pravosodnega upravljanja. Slednji omogoča popolnoma elektronsko upravljanje sodnih spisov. Dopolnjuje jo analitična podporna platforma, ki zagotavlja digitalno podatkovno zbirko sodne prak</w:t>
      </w:r>
      <w:r>
        <w:rPr>
          <w:rFonts w:ascii="Times New Roman" w:hAnsi="Times New Roman"/>
          <w:noProof/>
          <w:sz w:val="24"/>
          <w:szCs w:val="24"/>
        </w:rPr>
        <w:t>se, ki omogoča iskanje, ter pomaga sodnikom in pospešuje sprejemanje odločitev. V zvezi z opremo IT se vsaj 6 000 sodnih uslužbencev opremi z notesniki, priključnimi postajami, monitorji in telefoni. Naložba vključuje tudi nadaljnjo digitalno infrastruktur</w:t>
      </w:r>
      <w:r>
        <w:rPr>
          <w:rFonts w:ascii="Times New Roman" w:hAnsi="Times New Roman"/>
          <w:noProof/>
          <w:sz w:val="24"/>
          <w:szCs w:val="24"/>
        </w:rPr>
        <w:t>o, ki je potrebna za sodišča, kot sta tehnologija za videokonference in brezžični internet.</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Naložba se izvede do 30. junija 2026. </w:t>
      </w:r>
    </w:p>
    <w:p w:rsidR="009B5602" w:rsidRDefault="009B5602">
      <w:pPr>
        <w:spacing w:before="120" w:after="120" w:line="240" w:lineRule="auto"/>
        <w:jc w:val="both"/>
        <w:rPr>
          <w:rFonts w:ascii="Times New Roman" w:hAnsi="Times New Roman"/>
          <w:noProof/>
          <w:sz w:val="24"/>
        </w:rPr>
        <w:sectPr w:rsidR="009B5602">
          <w:headerReference w:type="even" r:id="rId186"/>
          <w:headerReference w:type="default" r:id="rId187"/>
          <w:footerReference w:type="even" r:id="rId188"/>
          <w:footerReference w:type="default" r:id="rId189"/>
          <w:headerReference w:type="first" r:id="rId190"/>
          <w:footerReference w:type="first" r:id="rId191"/>
          <w:pgSz w:w="11907" w:h="16839"/>
          <w:pgMar w:top="1134" w:right="1418" w:bottom="1134" w:left="1418" w:header="709" w:footer="709" w:gutter="0"/>
          <w:cols w:space="720"/>
          <w:docGrid w:linePitch="360"/>
        </w:sectPr>
      </w:pPr>
    </w:p>
    <w:p w:rsidR="009B5602" w:rsidRDefault="009B5602">
      <w:pPr>
        <w:spacing w:before="120" w:after="120" w:line="240" w:lineRule="auto"/>
        <w:jc w:val="both"/>
        <w:rPr>
          <w:rFonts w:ascii="Times New Roman" w:hAnsi="Times New Roman"/>
          <w:noProof/>
          <w:sz w:val="24"/>
        </w:rPr>
      </w:pPr>
    </w:p>
    <w:p w:rsidR="009B5602" w:rsidRDefault="00886830">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Mejniki, cilji, kazalniki in časovni razpored za spremljanje in</w:t>
      </w:r>
      <w:r>
        <w:rPr>
          <w:rFonts w:ascii="Times New Roman" w:hAnsi="Times New Roman"/>
          <w:b/>
          <w:noProof/>
          <w:sz w:val="24"/>
          <w:u w:val="single"/>
        </w:rPr>
        <w:t xml:space="preserve"> izvajanje nepovratne finančne podpore</w:t>
      </w:r>
    </w:p>
    <w:p w:rsidR="009B5602" w:rsidRDefault="009B5602">
      <w:pPr>
        <w:spacing w:before="120" w:after="120" w:line="240" w:lineRule="auto"/>
        <w:ind w:left="850"/>
        <w:jc w:val="both"/>
        <w:rPr>
          <w:rFonts w:ascii="Times New Roman" w:hAnsi="Times New Roman"/>
          <w:i/>
          <w:iCs/>
          <w:noProof/>
          <w:color w:val="4F81BD"/>
          <w:sz w:val="24"/>
        </w:rPr>
      </w:pPr>
    </w:p>
    <w:tbl>
      <w:tblPr>
        <w:tblW w:w="0" w:type="auto"/>
        <w:tblInd w:w="120" w:type="dxa"/>
        <w:tblLayout w:type="fixed"/>
        <w:tblLook w:val="04A0" w:firstRow="1" w:lastRow="0" w:firstColumn="1" w:lastColumn="0" w:noHBand="0" w:noVBand="1"/>
      </w:tblPr>
      <w:tblGrid>
        <w:gridCol w:w="697"/>
        <w:gridCol w:w="1617"/>
        <w:gridCol w:w="1157"/>
        <w:gridCol w:w="1271"/>
        <w:gridCol w:w="1271"/>
        <w:gridCol w:w="1042"/>
        <w:gridCol w:w="957"/>
        <w:gridCol w:w="614"/>
        <w:gridCol w:w="700"/>
        <w:gridCol w:w="1294"/>
        <w:gridCol w:w="3946"/>
      </w:tblGrid>
      <w:tr w:rsidR="009B5602">
        <w:trPr>
          <w:trHeight w:val="900"/>
        </w:trPr>
        <w:tc>
          <w:tcPr>
            <w:tcW w:w="697"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Zap. št.</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617"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Povezani ukrep (reforma ali naložba)</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157"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Mejnik/cilj</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271"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Ime</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1271"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Kvalitativni kazalniki</w:t>
            </w:r>
            <w:r>
              <w:rPr>
                <w:rFonts w:ascii="Times New Roman" w:hAnsi="Times New Roman"/>
                <w:noProof/>
                <w:sz w:val="20"/>
                <w:szCs w:val="20"/>
              </w:rPr>
              <w:t xml:space="preserve">  </w:t>
            </w:r>
            <w:r>
              <w:rPr>
                <w:rFonts w:ascii="Times New Roman" w:hAnsi="Times New Roman"/>
                <w:b/>
                <w:bCs/>
                <w:noProof/>
                <w:sz w:val="20"/>
                <w:szCs w:val="20"/>
              </w:rPr>
              <w:t xml:space="preserve"> (za mejnike)</w:t>
            </w:r>
          </w:p>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 </w:t>
            </w:r>
          </w:p>
        </w:tc>
        <w:tc>
          <w:tcPr>
            <w:tcW w:w="2613"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Kvantitativni kazalniki</w:t>
            </w:r>
            <w:r>
              <w:rPr>
                <w:rFonts w:ascii="Times New Roman" w:hAnsi="Times New Roman"/>
                <w:noProof/>
                <w:sz w:val="20"/>
                <w:szCs w:val="20"/>
              </w:rPr>
              <w:t xml:space="preserve">  </w:t>
            </w:r>
            <w:r>
              <w:rPr>
                <w:rFonts w:ascii="Times New Roman" w:hAnsi="Times New Roman"/>
                <w:b/>
                <w:bCs/>
                <w:noProof/>
                <w:sz w:val="20"/>
                <w:szCs w:val="20"/>
              </w:rPr>
              <w:t xml:space="preserve"> (za cilje)</w:t>
            </w:r>
          </w:p>
        </w:tc>
        <w:tc>
          <w:tcPr>
            <w:tcW w:w="1994" w:type="dxa"/>
            <w:gridSpan w:val="2"/>
            <w:tcBorders>
              <w:top w:val="single" w:sz="8" w:space="0" w:color="auto"/>
              <w:left w:val="nil"/>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Okvirni časovni razpored za dokončanje </w:t>
            </w:r>
          </w:p>
        </w:tc>
        <w:tc>
          <w:tcPr>
            <w:tcW w:w="3946" w:type="dxa"/>
            <w:vMerge w:val="restart"/>
            <w:tcBorders>
              <w:top w:val="single" w:sz="8" w:space="0" w:color="auto"/>
              <w:left w:val="nil"/>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Opis in jasna opredelitev vsa</w:t>
            </w:r>
            <w:r>
              <w:rPr>
                <w:rFonts w:ascii="Times New Roman" w:hAnsi="Times New Roman"/>
                <w:b/>
                <w:bCs/>
                <w:noProof/>
                <w:sz w:val="20"/>
                <w:szCs w:val="20"/>
              </w:rPr>
              <w:t>kega mejnika in cilja</w:t>
            </w:r>
          </w:p>
          <w:p w:rsidR="009B5602" w:rsidRDefault="00886830">
            <w:pPr>
              <w:rPr>
                <w:rFonts w:ascii="Times New Roman" w:hAnsi="Times New Roman"/>
                <w:noProof/>
                <w:sz w:val="20"/>
                <w:szCs w:val="20"/>
              </w:rPr>
            </w:pPr>
            <w:r>
              <w:rPr>
                <w:rFonts w:ascii="Times New Roman" w:hAnsi="Times New Roman"/>
                <w:noProof/>
                <w:sz w:val="20"/>
                <w:szCs w:val="20"/>
              </w:rPr>
              <w:t xml:space="preserve"> </w:t>
            </w:r>
          </w:p>
        </w:tc>
      </w:tr>
      <w:tr w:rsidR="009B5602">
        <w:trPr>
          <w:trHeight w:val="990"/>
        </w:trPr>
        <w:tc>
          <w:tcPr>
            <w:tcW w:w="697"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617"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157"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271"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271"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042" w:type="dxa"/>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Merska enota</w:t>
            </w:r>
          </w:p>
        </w:tc>
        <w:tc>
          <w:tcPr>
            <w:tcW w:w="957" w:type="dxa"/>
            <w:tcBorders>
              <w:top w:val="nil"/>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Ozadje</w:t>
            </w:r>
          </w:p>
        </w:tc>
        <w:tc>
          <w:tcPr>
            <w:tcW w:w="614" w:type="dxa"/>
            <w:tcBorders>
              <w:top w:val="nil"/>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cilj</w:t>
            </w:r>
          </w:p>
        </w:tc>
        <w:tc>
          <w:tcPr>
            <w:tcW w:w="700" w:type="dxa"/>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Četrtletje</w:t>
            </w:r>
          </w:p>
        </w:tc>
        <w:tc>
          <w:tcPr>
            <w:tcW w:w="1294" w:type="dxa"/>
            <w:tcBorders>
              <w:top w:val="nil"/>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Leto</w:t>
            </w:r>
          </w:p>
        </w:tc>
        <w:tc>
          <w:tcPr>
            <w:tcW w:w="3946" w:type="dxa"/>
            <w:vMerge/>
            <w:tcBorders>
              <w:left w:val="single" w:sz="8" w:space="0" w:color="auto"/>
              <w:bottom w:val="single" w:sz="8" w:space="0" w:color="auto"/>
              <w:right w:val="single" w:sz="8" w:space="0" w:color="auto"/>
            </w:tcBorders>
            <w:shd w:val="clear" w:color="auto" w:fill="BDD7EE"/>
            <w:vAlign w:val="center"/>
          </w:tcPr>
          <w:p w:rsidR="009B5602" w:rsidRDefault="009B5602">
            <w:pPr>
              <w:rPr>
                <w:rFonts w:ascii="Times New Roman" w:hAnsi="Times New Roman"/>
                <w:noProof/>
                <w:sz w:val="20"/>
                <w:szCs w:val="20"/>
              </w:rPr>
            </w:pPr>
          </w:p>
        </w:tc>
      </w:tr>
      <w:tr w:rsidR="009B5602">
        <w:trPr>
          <w:trHeight w:val="1230"/>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15 – Reforma pravosodja – Reforma 1: Reforma mreže sodišč – Zakonodaja</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mejnik</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Opredelitev nove mreže sodišč </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Zakona o rezidencah in okrožjih</w:t>
            </w: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2021</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Z začetkom veljavnosti zakonodajne spremembe se opredeli nov sistem sodišč. </w:t>
            </w:r>
          </w:p>
          <w:p w:rsidR="009B5602" w:rsidRDefault="00886830">
            <w:pPr>
              <w:rPr>
                <w:rFonts w:ascii="Times New Roman" w:hAnsi="Times New Roman"/>
                <w:noProof/>
                <w:sz w:val="20"/>
                <w:szCs w:val="20"/>
              </w:rPr>
            </w:pPr>
            <w:r>
              <w:rPr>
                <w:rFonts w:ascii="Times New Roman" w:hAnsi="Times New Roman"/>
                <w:noProof/>
                <w:color w:val="006100"/>
                <w:sz w:val="20"/>
                <w:szCs w:val="20"/>
              </w:rPr>
              <w:t>Spremembe mreže sodišč prilagodijo mrežo prvostopenjskih rednih sodišč, ustanovijo upravna sodišča, prilagodijo redna pritožbena sodišča in ustanovijo Vrhovno upravno sodišče Slov</w:t>
            </w:r>
            <w:r>
              <w:rPr>
                <w:rFonts w:ascii="Times New Roman" w:hAnsi="Times New Roman"/>
                <w:noProof/>
                <w:color w:val="006100"/>
                <w:sz w:val="20"/>
                <w:szCs w:val="20"/>
              </w:rPr>
              <w:t xml:space="preserve">aške republike. </w:t>
            </w:r>
          </w:p>
        </w:tc>
      </w:tr>
      <w:tr w:rsidR="009B5602">
        <w:trPr>
          <w:trHeight w:val="1230"/>
        </w:trPr>
        <w:tc>
          <w:tcPr>
            <w:tcW w:w="697" w:type="dxa"/>
            <w:tcBorders>
              <w:top w:val="single" w:sz="8" w:space="0" w:color="auto"/>
              <w:left w:val="single" w:sz="8" w:space="0" w:color="auto"/>
              <w:bottom w:val="single" w:sz="8" w:space="0" w:color="auto"/>
              <w:right w:val="single" w:sz="8" w:space="0" w:color="auto"/>
            </w:tcBorders>
            <w:shd w:val="clear" w:color="auto" w:fill="C6F1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w:t>
            </w:r>
          </w:p>
        </w:tc>
        <w:tc>
          <w:tcPr>
            <w:tcW w:w="1617" w:type="dxa"/>
            <w:tcBorders>
              <w:top w:val="single" w:sz="8" w:space="0" w:color="auto"/>
              <w:left w:val="single" w:sz="8" w:space="0" w:color="auto"/>
              <w:bottom w:val="single" w:sz="8" w:space="0" w:color="auto"/>
              <w:right w:val="single" w:sz="8" w:space="0" w:color="auto"/>
            </w:tcBorders>
            <w:shd w:val="clear" w:color="auto" w:fill="C6F1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15 – Reforma pravosodja – Reforma 1: Reforma mreže sodišč – Zakonodaja</w:t>
            </w:r>
          </w:p>
        </w:tc>
        <w:tc>
          <w:tcPr>
            <w:tcW w:w="1157" w:type="dxa"/>
            <w:tcBorders>
              <w:top w:val="single" w:sz="8" w:space="0" w:color="auto"/>
              <w:left w:val="single" w:sz="8" w:space="0" w:color="auto"/>
              <w:bottom w:val="single" w:sz="8" w:space="0" w:color="auto"/>
              <w:right w:val="single" w:sz="8" w:space="0" w:color="auto"/>
            </w:tcBorders>
            <w:shd w:val="clear" w:color="auto" w:fill="C6F1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mejnik</w:t>
            </w:r>
          </w:p>
        </w:tc>
        <w:tc>
          <w:tcPr>
            <w:tcW w:w="1271" w:type="dxa"/>
            <w:tcBorders>
              <w:top w:val="single" w:sz="8" w:space="0" w:color="auto"/>
              <w:left w:val="single" w:sz="8" w:space="0" w:color="auto"/>
              <w:bottom w:val="single" w:sz="8" w:space="0" w:color="auto"/>
              <w:right w:val="single" w:sz="8" w:space="0" w:color="auto"/>
            </w:tcBorders>
            <w:shd w:val="clear" w:color="auto" w:fill="C6F1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Uvedba nove mreže sodišč </w:t>
            </w:r>
          </w:p>
        </w:tc>
        <w:tc>
          <w:tcPr>
            <w:tcW w:w="1271" w:type="dxa"/>
            <w:tcBorders>
              <w:top w:val="single" w:sz="8" w:space="0" w:color="auto"/>
              <w:left w:val="single" w:sz="8" w:space="0" w:color="auto"/>
              <w:bottom w:val="single" w:sz="8" w:space="0" w:color="auto"/>
              <w:right w:val="single" w:sz="8" w:space="0" w:color="auto"/>
            </w:tcBorders>
            <w:shd w:val="clear" w:color="auto" w:fill="C6F1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Reorganizirana mreža sodišč deluje</w:t>
            </w:r>
          </w:p>
        </w:tc>
        <w:tc>
          <w:tcPr>
            <w:tcW w:w="1042" w:type="dxa"/>
            <w:tcBorders>
              <w:top w:val="single" w:sz="8" w:space="0" w:color="auto"/>
              <w:left w:val="single" w:sz="8" w:space="0" w:color="auto"/>
              <w:bottom w:val="single" w:sz="8" w:space="0" w:color="auto"/>
              <w:right w:val="single" w:sz="8" w:space="0" w:color="auto"/>
            </w:tcBorders>
            <w:shd w:val="clear" w:color="auto" w:fill="C6F1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57" w:type="dxa"/>
            <w:tcBorders>
              <w:top w:val="single" w:sz="8" w:space="0" w:color="auto"/>
              <w:left w:val="single" w:sz="8" w:space="0" w:color="auto"/>
              <w:bottom w:val="single" w:sz="8" w:space="0" w:color="auto"/>
              <w:right w:val="single" w:sz="8" w:space="0" w:color="auto"/>
            </w:tcBorders>
            <w:shd w:val="clear" w:color="auto" w:fill="C6F1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614" w:type="dxa"/>
            <w:tcBorders>
              <w:top w:val="single" w:sz="8" w:space="0" w:color="auto"/>
              <w:left w:val="single" w:sz="8" w:space="0" w:color="auto"/>
              <w:bottom w:val="single" w:sz="8" w:space="0" w:color="auto"/>
              <w:right w:val="single" w:sz="8" w:space="0" w:color="auto"/>
            </w:tcBorders>
            <w:shd w:val="clear" w:color="auto" w:fill="C6F1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00" w:type="dxa"/>
            <w:tcBorders>
              <w:top w:val="single" w:sz="8" w:space="0" w:color="auto"/>
              <w:left w:val="single" w:sz="8" w:space="0" w:color="auto"/>
              <w:bottom w:val="single" w:sz="8" w:space="0" w:color="auto"/>
              <w:right w:val="single" w:sz="8" w:space="0" w:color="auto"/>
            </w:tcBorders>
            <w:shd w:val="clear" w:color="auto" w:fill="C6F1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Q1</w:t>
            </w:r>
          </w:p>
        </w:tc>
        <w:tc>
          <w:tcPr>
            <w:tcW w:w="1294" w:type="dxa"/>
            <w:tcBorders>
              <w:top w:val="single" w:sz="8" w:space="0" w:color="auto"/>
              <w:left w:val="single" w:sz="8" w:space="0" w:color="auto"/>
              <w:bottom w:val="single" w:sz="8" w:space="0" w:color="auto"/>
              <w:right w:val="single" w:sz="8" w:space="0" w:color="auto"/>
            </w:tcBorders>
            <w:shd w:val="clear" w:color="auto" w:fill="C6F1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2023</w:t>
            </w:r>
          </w:p>
        </w:tc>
        <w:tc>
          <w:tcPr>
            <w:tcW w:w="3946" w:type="dxa"/>
            <w:tcBorders>
              <w:top w:val="single" w:sz="8" w:space="0" w:color="auto"/>
              <w:left w:val="single" w:sz="8" w:space="0" w:color="auto"/>
              <w:bottom w:val="single" w:sz="8" w:space="0" w:color="auto"/>
              <w:right w:val="single" w:sz="8" w:space="0" w:color="auto"/>
            </w:tcBorders>
            <w:shd w:val="clear" w:color="auto" w:fill="C6F1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Prehod sodnega sistema na manjše število sodišč je zaključen, sodniki pa so bili </w:t>
            </w:r>
            <w:r>
              <w:rPr>
                <w:rFonts w:ascii="Times New Roman" w:hAnsi="Times New Roman"/>
                <w:noProof/>
                <w:color w:val="006100"/>
                <w:sz w:val="20"/>
                <w:szCs w:val="20"/>
              </w:rPr>
              <w:t>imenovani za specializacijo (med civilnim, družinskim, kazenskim in gospodarskim pravom) v vsaj treh sodnih agendah v vsakem novem sodnem okrožju (Q1/2023). Vzpostavljena je nova mreža prvostopenjskih rednih in upravnih sodišč, rednih pritožbenih sodišč in</w:t>
            </w:r>
            <w:r>
              <w:rPr>
                <w:rFonts w:ascii="Times New Roman" w:hAnsi="Times New Roman"/>
                <w:noProof/>
                <w:color w:val="006100"/>
                <w:sz w:val="20"/>
                <w:szCs w:val="20"/>
              </w:rPr>
              <w:t xml:space="preserve"> vrhovnega upravnega sodišča Slovaške republike (Q1/2023).</w:t>
            </w:r>
          </w:p>
        </w:tc>
      </w:tr>
      <w:tr w:rsidR="009B5602">
        <w:trPr>
          <w:trHeight w:val="1485"/>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3</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15 – Reforma sodstva – Naložba 1: Reorganizacija sodišč – Obnova stavb</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cilj</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Obnovljena površina sodnih zgradb v m²)</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Površina (m²)</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77 500</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2024</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Od splošnega cilja rekonstrukcije 86000 </w:t>
            </w:r>
            <w:r>
              <w:rPr>
                <w:rFonts w:ascii="Times New Roman" w:hAnsi="Times New Roman"/>
                <w:noProof/>
                <w:color w:val="006100"/>
                <w:sz w:val="20"/>
                <w:szCs w:val="20"/>
              </w:rPr>
              <w:t>kvadratnih metrov sodnih zgradb je treba rekonstruirati vsaj 77500 kvadratnih metrov, da se posodobijo in povečajo njihove zmogljivosti zaradi povečanja števila sodnega osebja in sodnikov v združenih sodnih okrožjih. Projektna dokumentacija za rekonstrukci</w:t>
            </w:r>
            <w:r>
              <w:rPr>
                <w:rFonts w:ascii="Times New Roman" w:hAnsi="Times New Roman"/>
                <w:noProof/>
                <w:color w:val="006100"/>
                <w:sz w:val="20"/>
                <w:szCs w:val="20"/>
              </w:rPr>
              <w:t>je se pripravi do Q2/2022.</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r>
      <w:tr w:rsidR="009B5602">
        <w:trPr>
          <w:trHeight w:val="615"/>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4</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15 – Reforma sodstva – Naložba 1: Reorganizacija sodišč – Gradnja/naročanje novih stavb</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cilj</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Površina stavb sodišča, zgrajenih ali kupljenih (v m²)</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Površina (m²)</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80 500</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2024</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Od splošnega cilja gradnje ali nakupa </w:t>
            </w:r>
            <w:r>
              <w:rPr>
                <w:rFonts w:ascii="Times New Roman" w:hAnsi="Times New Roman"/>
                <w:noProof/>
                <w:color w:val="006100"/>
                <w:sz w:val="20"/>
                <w:szCs w:val="20"/>
              </w:rPr>
              <w:t>89216 kvadratnih metrov sodobnih stavb za potrebe največjih sodišč v pravosodnem sistemu (mestnih sodišč, nekaterih pritožbenih sodišč in upravnih sodišč) se vsaj 80500 kvadratnih metrov zgradi ali kupi. Projektna dokumentacija za rekonstrukcije se priprav</w:t>
            </w:r>
            <w:r>
              <w:rPr>
                <w:rFonts w:ascii="Times New Roman" w:hAnsi="Times New Roman"/>
                <w:noProof/>
                <w:color w:val="006100"/>
                <w:sz w:val="20"/>
                <w:szCs w:val="20"/>
              </w:rPr>
              <w:t>i do Q2/2022.</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r>
      <w:tr w:rsidR="009B5602">
        <w:trPr>
          <w:trHeight w:val="2145"/>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5</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15 – Reforma pravosodja – Reforma 2: Boj proti korupciji ter krepitev integritete in neodvisnosti sodstva</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mejnik</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Sveženj zakonov za boj proti korupciji ter krepitev integritete in neodvisnosti pravosodnega sistema</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Začetek veljavnosti Zakona o reformi pravosodja, ustavnega zakona, spremenjenega zakona o državnem tožilstvu, spremenjenega kazenskega zakonika in disciplinskih pravil vrhovne uprave Sodišča Slovaške republike </w:t>
            </w: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 xml:space="preserve"> </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Q3</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2021</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Zakona o upravljanju zamrznjenega premoženja, zakona o reformi pravosodja, ustavnega zakona, spremenjenega zakona o državnem tožilstvu in spremenjenega kazenskega zakonika ter sprejetja disciplinskih pravil za Vrhovno upravno sodišče Sl</w:t>
            </w:r>
            <w:r>
              <w:rPr>
                <w:rFonts w:ascii="Times New Roman" w:hAnsi="Times New Roman"/>
                <w:noProof/>
                <w:color w:val="006100"/>
                <w:sz w:val="20"/>
                <w:szCs w:val="20"/>
              </w:rPr>
              <w:t xml:space="preserve">ovaške republike </w:t>
            </w:r>
          </w:p>
        </w:tc>
      </w:tr>
      <w:tr w:rsidR="009B5602">
        <w:trPr>
          <w:trHeight w:val="1005"/>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6</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15 – Reforma pravosodja – Naložba 2: Podporni instrumenti za reformo mreže sodišč – Poslovni register in centralizirani sistem upravljanja sodstva</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mejnik</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Razvoj in predaja informacijskega sistema – poslovni register</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Popolna elektronska komunikacija poslovnega registra s podjetji in sodišči </w:t>
            </w: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 xml:space="preserve"> </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Q3</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2023</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uporabe sodobnega informacijskega sistema, ki podjetnikom in sodiščem omogoča, da v celoti elektronsko izvajajo dejavnosti poslovnega registra.</w:t>
            </w:r>
          </w:p>
        </w:tc>
      </w:tr>
      <w:tr w:rsidR="009B5602">
        <w:trPr>
          <w:trHeight w:val="2145"/>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7</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15 – </w:t>
            </w:r>
            <w:r>
              <w:rPr>
                <w:rFonts w:ascii="Times New Roman" w:hAnsi="Times New Roman"/>
                <w:noProof/>
                <w:color w:val="006100"/>
                <w:sz w:val="20"/>
                <w:szCs w:val="20"/>
              </w:rPr>
              <w:t>Reforma pravosodja – Naložba 2: Podporni instrumenti za reformo mreže sodišč – Poslovni register in centralizirani sistem upravljanja sodstva</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mejnik</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Razvoj in predaja IS – Centralizirani sistem za upravljanje pravosodja</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Novi sodni spisi se lahko obravnavaj</w:t>
            </w:r>
            <w:r>
              <w:rPr>
                <w:rFonts w:ascii="Times New Roman" w:hAnsi="Times New Roman"/>
                <w:noProof/>
                <w:color w:val="006100"/>
                <w:sz w:val="20"/>
                <w:szCs w:val="20"/>
              </w:rPr>
              <w:t>o digitalno</w:t>
            </w: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 xml:space="preserve"> </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Q1</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2025</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Začetek uporabe sodobnega informacijskega sistema, ki omogoča digitalno upravljanje sodnih spisov. Vzpostavitev centraliziranega sistema pravosodnega upravljanja vključuje migracijo vseh obstoječih podatkov sodišč iz obstoječih </w:t>
            </w:r>
            <w:r>
              <w:rPr>
                <w:rFonts w:ascii="Times New Roman" w:hAnsi="Times New Roman"/>
                <w:noProof/>
                <w:color w:val="006100"/>
                <w:sz w:val="20"/>
                <w:szCs w:val="20"/>
              </w:rPr>
              <w:t>lokalnih podatkovnih zbirk, digitalizacijo vseh novih sodnih zadev, medsebojno povezanost vseh sodišč in povezave z drugimi ustreznimi sistemi javne uprave.</w:t>
            </w:r>
          </w:p>
        </w:tc>
      </w:tr>
      <w:tr w:rsidR="009B5602">
        <w:trPr>
          <w:trHeight w:val="1830"/>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8</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15 – Reforma sodstva – Naložba 2: </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 xml:space="preserve">Cilj </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Posodobitev računalniške opreme sodišča za sodno osebje </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število</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0</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right"/>
              <w:rPr>
                <w:rFonts w:ascii="Times New Roman" w:hAnsi="Times New Roman"/>
                <w:noProof/>
                <w:sz w:val="20"/>
                <w:szCs w:val="20"/>
              </w:rPr>
            </w:pPr>
            <w:r>
              <w:rPr>
                <w:rFonts w:ascii="Times New Roman" w:hAnsi="Times New Roman"/>
                <w:noProof/>
                <w:color w:val="006100"/>
                <w:sz w:val="20"/>
                <w:szCs w:val="20"/>
              </w:rPr>
              <w:t xml:space="preserve"> 6 000</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2026</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Kupi in dostavi se digitalna oprema sodišč, da se poveča učinkovitost njihovega dela, da se opremijo s tehnologijo za učinkovito izvajanje obravnav in dejanj na daljavo. Od </w:t>
            </w:r>
            <w:r>
              <w:rPr>
                <w:rFonts w:ascii="Times New Roman" w:hAnsi="Times New Roman"/>
                <w:noProof/>
                <w:color w:val="006100"/>
                <w:sz w:val="20"/>
                <w:szCs w:val="20"/>
              </w:rPr>
              <w:t xml:space="preserve">splošnega cilja, da se usposobi 6 100 sodnih uslužbencev, bo posodobitev opreme IT (novi notesniki, priključne postaje, monitorji, telefoni) izvedena za vsaj 6 000 sodnih uslužbencev, kot je bilo reorganizirano po reformi mreže sodišč. </w:t>
            </w:r>
          </w:p>
        </w:tc>
      </w:tr>
      <w:tr w:rsidR="009B5602">
        <w:trPr>
          <w:trHeight w:val="1380"/>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9</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15 – Reforma </w:t>
            </w:r>
            <w:r>
              <w:rPr>
                <w:rFonts w:ascii="Times New Roman" w:hAnsi="Times New Roman"/>
                <w:noProof/>
                <w:color w:val="006100"/>
                <w:sz w:val="20"/>
                <w:szCs w:val="20"/>
              </w:rPr>
              <w:t>pravosodja – Naložba 2: Orodja za podporo reformam mreže sodišč – Platforma za analitično podporo</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mejnik</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Vzpostavitev analitične podporne platforme za dostop do sodne prakse na sodiščih</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Analitična podporna platforma je v celoti operativna.</w:t>
            </w: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2026</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Analitična platforma za podporo sodni praksi deluje in je na voljo sodiščem, ki sodnikom omogoča uporabo podatkovne zbirke sodne prakse, da pospešijo preučevanje spisov.</w:t>
            </w:r>
          </w:p>
        </w:tc>
      </w:tr>
    </w:tbl>
    <w:p w:rsidR="009B5602" w:rsidRDefault="009B5602">
      <w:pPr>
        <w:spacing w:before="120" w:after="120" w:line="240" w:lineRule="auto"/>
        <w:jc w:val="both"/>
        <w:rPr>
          <w:rFonts w:ascii="Times New Roman" w:hAnsi="Times New Roman"/>
          <w:noProof/>
          <w:sz w:val="24"/>
          <w:szCs w:val="24"/>
        </w:rPr>
        <w:sectPr w:rsidR="009B5602">
          <w:headerReference w:type="even" r:id="rId192"/>
          <w:headerReference w:type="default" r:id="rId193"/>
          <w:footerReference w:type="even" r:id="rId194"/>
          <w:footerReference w:type="default" r:id="rId195"/>
          <w:headerReference w:type="first" r:id="rId196"/>
          <w:footerReference w:type="first" r:id="rId197"/>
          <w:pgSz w:w="16839" w:h="11907" w:orient="landscape"/>
          <w:pgMar w:top="568" w:right="1134" w:bottom="1418" w:left="1134" w:header="709" w:footer="709" w:gutter="0"/>
          <w:cols w:space="720"/>
          <w:docGrid w:linePitch="360"/>
        </w:sectPr>
      </w:pPr>
    </w:p>
    <w:p w:rsidR="009B5602" w:rsidRDefault="00886830">
      <w:pPr>
        <w:keepNext/>
        <w:tabs>
          <w:tab w:val="left" w:pos="850"/>
        </w:tabs>
        <w:spacing w:before="12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KOMPONENTA 16: Boj proti </w:t>
      </w:r>
      <w:r>
        <w:rPr>
          <w:rFonts w:ascii="Times New Roman" w:hAnsi="Times New Roman"/>
          <w:b/>
          <w:smallCaps/>
          <w:noProof/>
          <w:sz w:val="24"/>
        </w:rPr>
        <w:t>korupciji in pranju denarja, varnost in zaščita prebivalstva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Slovaška je slabo uvrščena po kazalnikih zaznave korupcije in zaupanja v policijo. Upravljanje je razdrobljeno in ima omejene zmogljivosti, kar ovira izvajanje javnih storitev in javne naložbe, f</w:t>
      </w:r>
      <w:r>
        <w:rPr>
          <w:rFonts w:ascii="Times New Roman" w:hAnsi="Times New Roman"/>
          <w:noProof/>
          <w:sz w:val="24"/>
        </w:rPr>
        <w:t xml:space="preserve">inančni kriminal pa ni dovolj obravnavan.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Ključni cilji te komponente 16 slovaškega načrta za okrevanje in odpornost so okrepitev prizadevanj za odkrivanje in pregon korupcije, boj proti okoljskemu kriminalu, okrepitev zmogljivosti za preprečevanje pranja denarja, optimizacija kriznega upravljanja</w:t>
      </w:r>
      <w:r>
        <w:rPr>
          <w:rFonts w:ascii="Times New Roman" w:hAnsi="Times New Roman"/>
          <w:noProof/>
          <w:sz w:val="24"/>
        </w:rPr>
        <w:t xml:space="preserve"> in krepitev upravnih zmogljivosti na različnih ravneh vlade.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Pričakuje se, da noben ukrep v tej komponenti ne bo znatno škodoval okoljskim ciljem v smislu člena 17 Uredbe (EU) 2020/852, ob upoštevanju opisa ukrepov in ukrepov za ublažitev, določenih v na</w:t>
      </w:r>
      <w:r>
        <w:rPr>
          <w:rFonts w:ascii="Times New Roman" w:hAnsi="Times New Roman"/>
          <w:noProof/>
          <w:sz w:val="24"/>
          <w:szCs w:val="24"/>
        </w:rPr>
        <w:t xml:space="preserve">črtu za okrevanje in odpornost v skladu s tehničnimi smernicami za uporabo načela, da se ne škoduje bistveno (2021/C58/01).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S tem prispeva k obravnavi priporočila za posamezno državo št. 4 iz leta 2020, zlasti za zagotovitev učinkovitega nadzora in izvrš</w:t>
      </w:r>
      <w:r>
        <w:rPr>
          <w:rFonts w:ascii="Times New Roman" w:hAnsi="Times New Roman"/>
          <w:noProof/>
          <w:sz w:val="24"/>
        </w:rPr>
        <w:t>evanja okvira za preprečevanje pranja denarja ter zagotavljanje ugodnega poslovnega okolja in kakovostnih javnih storitev. Obravnavano je tudi priporočilo za posamezno državo št. 4 iz leta 2019, tudi kar zadeva okrepljena prizadevanja za odkrivanje in preg</w:t>
      </w:r>
      <w:r>
        <w:rPr>
          <w:rFonts w:ascii="Times New Roman" w:hAnsi="Times New Roman"/>
          <w:noProof/>
          <w:sz w:val="24"/>
        </w:rPr>
        <w:t>on korupcije.</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Reforma 1: Učinkovitejši boj proti korupciji in pranju denarja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Novi trendi v mednarodnem organiziranem kriminalu, vključno z zlorabo pravnih subjektov za namene pranja denarja, pomenijo pritisk na Slovaško, da nadgradi svoj okvir za preprečev</w:t>
      </w:r>
      <w:r>
        <w:rPr>
          <w:rFonts w:ascii="Times New Roman" w:hAnsi="Times New Roman"/>
          <w:noProof/>
          <w:sz w:val="24"/>
        </w:rPr>
        <w:t xml:space="preserve">anje pranja denarja za namene preprečevanja gospodarskega kriminala in boja proti njemu.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Cilj te reforme je okrepiti boj proti pranju denarja in korupciji. Izboljša pravni okvir za zamrznitev sredstev, vključno z ustanovitvijo urada, ki upravlja ta sredst</w:t>
      </w:r>
      <w:r>
        <w:rPr>
          <w:rFonts w:ascii="Times New Roman" w:hAnsi="Times New Roman"/>
          <w:noProof/>
          <w:sz w:val="24"/>
        </w:rPr>
        <w:t xml:space="preserve">va, in pristojnost policije za preverjanje njihovega izvora. Vzpostavi tudi centralni register računov.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se izvede do 31. marca 2022.</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Naložba 1: Orodja in zmogljivosti za boj proti korupciji in pranju denarja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Boj proti korupciji in pranju denarja z</w:t>
      </w:r>
      <w:r>
        <w:rPr>
          <w:rFonts w:ascii="Times New Roman" w:hAnsi="Times New Roman"/>
          <w:noProof/>
          <w:sz w:val="24"/>
        </w:rPr>
        <w:t>ahteva ustrezna orodja, vključno z digitalnimi rešitvami, in zmogljivosti.</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Ta naložba bo zagotovila več orodij in ukrepov za krepitev zmogljivosti v podporo reformi 1. To vključuje digitalne programske rešitve za finančne preiskave in centralni register ra</w:t>
      </w:r>
      <w:r>
        <w:rPr>
          <w:rFonts w:ascii="Times New Roman" w:hAnsi="Times New Roman"/>
          <w:noProof/>
          <w:sz w:val="24"/>
          <w:szCs w:val="24"/>
        </w:rPr>
        <w:t>čunov. Zmogljivosti policije za finančne preiskave se okrepijo z usposabljanjem in opremo ter reorganizacijo, s katero se ustanovi nacionalni center za posebna kazniva dejanja (NCODK) skupaj z regionalnimi uradi in analitičnimi službami nacionalne kriminal</w:t>
      </w:r>
      <w:r>
        <w:rPr>
          <w:rFonts w:ascii="Times New Roman" w:hAnsi="Times New Roman"/>
          <w:noProof/>
          <w:sz w:val="24"/>
          <w:szCs w:val="24"/>
        </w:rPr>
        <w:t>istične agencije (NAKA). Poleg tega se sprejmejo ukrepi za zagotovitev polnega delovanja urada prijavitelja nepravilnosti, da se podpre boj proti korupciji. To vključuje zagotavljanje tehnične opreme.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31. decembra 2023.</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Reforma 2: Poso</w:t>
      </w:r>
      <w:r>
        <w:rPr>
          <w:rFonts w:ascii="Times New Roman" w:hAnsi="Times New Roman"/>
          <w:b/>
          <w:noProof/>
          <w:sz w:val="24"/>
        </w:rPr>
        <w:t>dobitev in krepitev zmogljivosti policije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Strukture in zmogljivosti policije so zastarele in nimajo specializiranih služb, ki bi obravnavale nove oblike kriminala in kriminalne analize. Reforma bo prenovila organizacijo policije, okrepila analitične zmoglj</w:t>
      </w:r>
      <w:r>
        <w:rPr>
          <w:rFonts w:ascii="Times New Roman" w:hAnsi="Times New Roman"/>
          <w:noProof/>
          <w:sz w:val="24"/>
        </w:rPr>
        <w:t xml:space="preserve">ivosti in storitev na področju kriminalistične tehnologije, pa tudi preiskave kaznivih dejanj zoper okolje. Ustanovi kriminalistično službo, enote za analizo kaznivih dejanj in enoto za boj proti okoljski kriminaliteti ter osebje in jo ustrezno opremi.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w:t>
      </w:r>
      <w:r>
        <w:rPr>
          <w:rFonts w:ascii="Times New Roman" w:hAnsi="Times New Roman"/>
          <w:noProof/>
          <w:sz w:val="24"/>
        </w:rPr>
        <w:t>eforma se izvede do 31. decembra 2021.</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Naložba 2: Opremljanje in digitalizacija policije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Nezadostna digitalizacija policije povzroča neučinkovitost na več področjih. Reorganizacija (reforma 2) zahteva preusposabljanje, prenovo in dodatno opremo.</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S to nalož</w:t>
      </w:r>
      <w:r>
        <w:rPr>
          <w:rFonts w:ascii="Times New Roman" w:hAnsi="Times New Roman"/>
          <w:noProof/>
          <w:sz w:val="24"/>
        </w:rPr>
        <w:t>bo se bodo okrepile zmogljivosti policije in digitalizirali postopki, da bi bili učinkovitejši. Usposabljanje in oprema se zagotovita najmanj 310 zaposlenim v enotah, ustanovljenih v okviru reforme 2 te komponente, ki posodablja in krepi zmogljivosti polic</w:t>
      </w:r>
      <w:r>
        <w:rPr>
          <w:rFonts w:ascii="Times New Roman" w:hAnsi="Times New Roman"/>
          <w:noProof/>
          <w:sz w:val="24"/>
        </w:rPr>
        <w:t>ijskih sil. Policijske stavbe s tlorisno površino najmanj 45 000 m² se prenovijo, pri čemer se v povprečju doseže vsaj 30-odstotni prihranek primarne energije, in kupi vsaj 700 čistih vozil. Prizadevanja za digitalizacijo vključujejo vzpostavitev avtomatiz</w:t>
      </w:r>
      <w:r>
        <w:rPr>
          <w:rFonts w:ascii="Times New Roman" w:hAnsi="Times New Roman"/>
          <w:noProof/>
          <w:sz w:val="24"/>
        </w:rPr>
        <w:t>iranega sistema za ugotavljanje kršitev cestnoprometnih predpisov in elektronski postopek za izdajo dovoljenj za prebivanje.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Naložba se izvede do 30. junija 2026. </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Reforma 3: Optimizacija kriznega upravljanja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Številne krize, vključno s pandemijo, so </w:t>
      </w:r>
      <w:r>
        <w:rPr>
          <w:rFonts w:ascii="Times New Roman" w:hAnsi="Times New Roman"/>
          <w:noProof/>
          <w:sz w:val="24"/>
        </w:rPr>
        <w:t>pokazale slabosti v mehanizmih za odzivanje na krize.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S to reformo se optimizira krizno upravljanje in ustrezne zmogljivosti ter učinkovito usklajevanje reševalnih služb. To vključuje jasno opredelitev vlog in dogovorov o sodelovanju služb za ukrepanje ob </w:t>
      </w:r>
      <w:r>
        <w:rPr>
          <w:rFonts w:ascii="Times New Roman" w:hAnsi="Times New Roman"/>
          <w:noProof/>
          <w:sz w:val="24"/>
        </w:rPr>
        <w:t>nesrečah v okviru integriranega reševalnega sistema, vzpostavitev skupnih postopkov za odzivanje na krize in skupni mehanizem za usklajevanje. Določi tudi mrežo integriranih varnostnih centrov (glej naložbo 2 te komponente – opremljanje in digitalizacija p</w:t>
      </w:r>
      <w:r>
        <w:rPr>
          <w:rFonts w:ascii="Times New Roman" w:hAnsi="Times New Roman"/>
          <w:noProof/>
          <w:sz w:val="24"/>
        </w:rPr>
        <w:t>olicije).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se izvede do 31. marca 2023.</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Naložba 3: Posodobitev požarnega in reševalnega sistema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Celovito krizno upravljanje zahteva ustrezno infrastrukturo za njegovo usklajevanje. Zastarela in razdrobljena komunikacijska in informacijska infrastruk</w:t>
      </w:r>
      <w:r>
        <w:rPr>
          <w:rFonts w:ascii="Times New Roman" w:hAnsi="Times New Roman"/>
          <w:noProof/>
          <w:sz w:val="24"/>
        </w:rPr>
        <w:t>tura služb za ukrepanje ob nesrečah upočasnjuje odzivanje na krize. Poleg tega je del infrastrukture za gašenje požarov v nezadovoljivem tehničnem stanju.</w:t>
      </w:r>
    </w:p>
    <w:p w:rsidR="009B5602" w:rsidRDefault="00886830">
      <w:pPr>
        <w:spacing w:before="120" w:after="120" w:line="240" w:lineRule="auto"/>
        <w:jc w:val="both"/>
        <w:rPr>
          <w:rFonts w:ascii="Times New Roman" w:hAnsi="Times New Roman"/>
          <w:b/>
          <w:noProof/>
          <w:sz w:val="24"/>
        </w:rPr>
      </w:pPr>
      <w:r>
        <w:rPr>
          <w:rFonts w:ascii="Times New Roman" w:hAnsi="Times New Roman"/>
          <w:noProof/>
          <w:sz w:val="24"/>
        </w:rPr>
        <w:t>Cilj te naložbe je zagotoviti potrebno fizično in digitalno infrastrukturo za celovito izvajanje refo</w:t>
      </w:r>
      <w:r>
        <w:rPr>
          <w:rFonts w:ascii="Times New Roman" w:hAnsi="Times New Roman"/>
          <w:noProof/>
          <w:sz w:val="24"/>
        </w:rPr>
        <w:t>rme 3 te komponente, tj. optimizacije kriznega upravljanja. V ta namen podpira izgradnjo dveh novih stavbnih centrov za nove integrirane storitvene centre ter interoperabilne informacijske tehnologije za vse reševalne službe. Poleg tega se zgradijo vsaj št</w:t>
      </w:r>
      <w:r>
        <w:rPr>
          <w:rFonts w:ascii="Times New Roman" w:hAnsi="Times New Roman"/>
          <w:noProof/>
          <w:sz w:val="24"/>
        </w:rPr>
        <w:t>iri nove gasilske postaje ter vsaj 3 prenovijo in posodobijo. S prenovo se doseže v povprečju vsaj 30-odstotni prihranek primarne energije.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30. junija 2026.</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Naložba 4: Racionalizacija, optimizacija in krepitev upravne zmogljivosti na r</w:t>
      </w:r>
      <w:r>
        <w:rPr>
          <w:rFonts w:ascii="Times New Roman" w:hAnsi="Times New Roman"/>
          <w:b/>
          <w:noProof/>
          <w:sz w:val="24"/>
        </w:rPr>
        <w:t>azličnih ravneh upravljanja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Javne naložbe zavira pomanjkanje upravnih zmogljivosti pri izvajanju na več ravneh. Znatne naložbe, predvidene v načrtu, pomenijo potrebo po nadaljnjem povečanju zmogljivosti za upravljanje teh naložb. Poleg tega zagotavljanje s</w:t>
      </w:r>
      <w:r>
        <w:rPr>
          <w:rFonts w:ascii="Times New Roman" w:hAnsi="Times New Roman"/>
          <w:noProof/>
          <w:sz w:val="24"/>
        </w:rPr>
        <w:t xml:space="preserve">toritev ovira razdrobljeno upravljanje na občinski ravni.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Ta reforma bo okrepila upravne zmogljivosti na lokalni in nacionalni ravni za izvajanje reform in naložb iz slovaškega načrta za okrevanje in odpornost. V ta namen se ustanovi nacionalni organ za i</w:t>
      </w:r>
      <w:r>
        <w:rPr>
          <w:rFonts w:ascii="Times New Roman" w:hAnsi="Times New Roman"/>
          <w:noProof/>
          <w:sz w:val="24"/>
        </w:rPr>
        <w:t>zvajanje in usklajevanje slovaškega RRP (NIKA). Zakon o mehanizmu za okrevanje in odpornost začne veljati do prvega zahtevka za plačilo in v tem trenutku ne odstopa bistveno od opisa iz končnega slovaškega načrta. Potrditi bi bilo treba, da bo sistem repoz</w:t>
      </w:r>
      <w:r>
        <w:rPr>
          <w:rFonts w:ascii="Times New Roman" w:hAnsi="Times New Roman"/>
          <w:noProof/>
          <w:sz w:val="24"/>
        </w:rPr>
        <w:t>itorijev za beleženje in shranjevanje vseh ustreznih podatkov v zvezi z izvajanjem načrta za okrevanje in odpornost – doseganje mejnikov in ciljev, podatkov o končnih prejemnikih, izvajalcih, podizvajalcih in dejanskih lastnikih – operativen do 31. decembr</w:t>
      </w:r>
      <w:r>
        <w:rPr>
          <w:rFonts w:ascii="Times New Roman" w:hAnsi="Times New Roman"/>
          <w:noProof/>
          <w:sz w:val="24"/>
        </w:rPr>
        <w:t xml:space="preserve">a 2021. Slovaška predloži namensko revizijsko poročilo, ki potrjuje učinkovitost funkcionalnosti sistema arhivov.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Podpora naj bi bila namenjena tudi dejavnostim na področju medijev in komuniciranja. Na lokalni ravni se vzpostavi vsaj 20 skupnih storitveni</w:t>
      </w:r>
      <w:r>
        <w:rPr>
          <w:rFonts w:ascii="Times New Roman" w:hAnsi="Times New Roman"/>
          <w:noProof/>
          <w:sz w:val="24"/>
        </w:rPr>
        <w:t xml:space="preserve">h centrov, da se izboljša učinkovitost izvajanja javnih storitev na lokalni ravni, zlasti v regijah z omejenimi možnostmi. Poleg tega se za izboljšanje znanj in spretnosti javnega osebja vzpostavi izobraževalna platforma, ki se usposablja tako sedanje kot </w:t>
      </w:r>
      <w:r>
        <w:rPr>
          <w:rFonts w:ascii="Times New Roman" w:hAnsi="Times New Roman"/>
          <w:noProof/>
          <w:sz w:val="24"/>
        </w:rPr>
        <w:t>premeščeno ali na novo zaposleno osebje.</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Zakon o mehanizmu za okrevanje in odpornost začne veljati 31. decembra 2021. Revizijsko poročilo, ki potrjuje funkcije sistema repozitorija, se dokonča do 31. decembra 2021. Informacijski sistem za NIKA začne delova</w:t>
      </w:r>
      <w:r>
        <w:rPr>
          <w:rFonts w:ascii="Times New Roman" w:hAnsi="Times New Roman"/>
          <w:noProof/>
          <w:sz w:val="24"/>
          <w:szCs w:val="24"/>
        </w:rPr>
        <w:t>ti do 30. septembra 2022. Do 31. decembra 2024 se ustanovi vsaj 20 skupnih storitvenih centrov. Usposabljanja naj bi se začela 1. januarja 2023 in se zaključijo do 30. junija 2026.</w:t>
      </w:r>
    </w:p>
    <w:p w:rsidR="009B5602" w:rsidRDefault="009B5602">
      <w:pPr>
        <w:spacing w:before="120" w:after="120" w:line="240" w:lineRule="auto"/>
        <w:ind w:left="567"/>
        <w:jc w:val="both"/>
        <w:rPr>
          <w:rFonts w:ascii="Times New Roman" w:hAnsi="Times New Roman"/>
          <w:noProof/>
          <w:sz w:val="24"/>
        </w:rPr>
      </w:pPr>
    </w:p>
    <w:p w:rsidR="009B5602" w:rsidRDefault="009B5602">
      <w:pPr>
        <w:spacing w:before="120" w:after="120" w:line="240" w:lineRule="auto"/>
        <w:jc w:val="both"/>
        <w:rPr>
          <w:rFonts w:ascii="Times New Roman" w:hAnsi="Times New Roman"/>
          <w:noProof/>
          <w:sz w:val="24"/>
        </w:rPr>
        <w:sectPr w:rsidR="009B5602">
          <w:headerReference w:type="even" r:id="rId198"/>
          <w:headerReference w:type="default" r:id="rId199"/>
          <w:footerReference w:type="even" r:id="rId200"/>
          <w:footerReference w:type="default" r:id="rId201"/>
          <w:headerReference w:type="first" r:id="rId202"/>
          <w:footerReference w:type="first" r:id="rId203"/>
          <w:pgSz w:w="11907" w:h="16839"/>
          <w:pgMar w:top="1134" w:right="1418" w:bottom="1134" w:left="1418" w:header="709" w:footer="709" w:gutter="0"/>
          <w:cols w:space="720"/>
          <w:docGrid w:linePitch="360"/>
        </w:sectPr>
      </w:pPr>
    </w:p>
    <w:p w:rsidR="009B5602" w:rsidRDefault="009B5602">
      <w:pPr>
        <w:spacing w:before="120" w:after="120" w:line="240" w:lineRule="auto"/>
        <w:jc w:val="both"/>
        <w:rPr>
          <w:rFonts w:ascii="Times New Roman" w:hAnsi="Times New Roman"/>
          <w:noProof/>
          <w:sz w:val="24"/>
        </w:rPr>
      </w:pPr>
    </w:p>
    <w:p w:rsidR="009B5602" w:rsidRDefault="00886830">
      <w:pPr>
        <w:spacing w:before="120" w:after="120" w:line="240" w:lineRule="auto"/>
        <w:ind w:left="850"/>
        <w:jc w:val="both"/>
        <w:rPr>
          <w:rFonts w:ascii="Times New Roman" w:hAnsi="Times New Roman"/>
          <w:b/>
          <w:bCs/>
          <w:noProof/>
          <w:sz w:val="24"/>
          <w:szCs w:val="24"/>
          <w:u w:val="single"/>
        </w:rPr>
      </w:pPr>
      <w:r>
        <w:rPr>
          <w:rFonts w:ascii="Times New Roman" w:hAnsi="Times New Roman"/>
          <w:b/>
          <w:bCs/>
          <w:noProof/>
          <w:sz w:val="24"/>
          <w:szCs w:val="24"/>
          <w:u w:val="single"/>
        </w:rPr>
        <w:t xml:space="preserve">A.2 </w:t>
      </w:r>
      <w:r>
        <w:rPr>
          <w:noProof/>
        </w:rPr>
        <w:tab/>
      </w:r>
      <w:r>
        <w:rPr>
          <w:rFonts w:ascii="Times New Roman" w:hAnsi="Times New Roman"/>
          <w:b/>
          <w:bCs/>
          <w:noProof/>
          <w:sz w:val="24"/>
          <w:szCs w:val="24"/>
          <w:u w:val="single"/>
        </w:rPr>
        <w:t xml:space="preserve">Mejniki, </w:t>
      </w:r>
      <w:r>
        <w:rPr>
          <w:rFonts w:ascii="Times New Roman" w:hAnsi="Times New Roman"/>
          <w:b/>
          <w:bCs/>
          <w:noProof/>
          <w:sz w:val="24"/>
          <w:szCs w:val="24"/>
          <w:u w:val="single"/>
        </w:rPr>
        <w:t>cilji, kazalniki in časovni razpored za spremljanje in izvajanje nepovratne finančne podpore</w:t>
      </w:r>
    </w:p>
    <w:p w:rsidR="009B5602" w:rsidRDefault="009B5602">
      <w:pPr>
        <w:spacing w:before="120" w:after="120" w:line="240" w:lineRule="auto"/>
        <w:ind w:left="850"/>
        <w:jc w:val="both"/>
        <w:rPr>
          <w:rFonts w:ascii="Times New Roman" w:hAnsi="Times New Roman"/>
          <w:b/>
          <w:bCs/>
          <w:noProof/>
          <w:sz w:val="24"/>
          <w:szCs w:val="24"/>
          <w:u w:val="single"/>
        </w:rPr>
      </w:pPr>
    </w:p>
    <w:tbl>
      <w:tblPr>
        <w:tblW w:w="14560" w:type="dxa"/>
        <w:tblLayout w:type="fixed"/>
        <w:tblLook w:val="04A0" w:firstRow="1" w:lastRow="0" w:firstColumn="1" w:lastColumn="0" w:noHBand="0" w:noVBand="1"/>
      </w:tblPr>
      <w:tblGrid>
        <w:gridCol w:w="817"/>
        <w:gridCol w:w="1423"/>
        <w:gridCol w:w="1120"/>
        <w:gridCol w:w="1001"/>
        <w:gridCol w:w="1239"/>
        <w:gridCol w:w="1120"/>
        <w:gridCol w:w="1326"/>
        <w:gridCol w:w="993"/>
        <w:gridCol w:w="1275"/>
        <w:gridCol w:w="851"/>
        <w:gridCol w:w="3395"/>
      </w:tblGrid>
      <w:tr w:rsidR="009B5602">
        <w:trPr>
          <w:trHeight w:val="900"/>
        </w:trPr>
        <w:tc>
          <w:tcPr>
            <w:tcW w:w="817"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Zap. št.</w:t>
            </w:r>
          </w:p>
          <w:p w:rsidR="009B5602" w:rsidRDefault="00886830">
            <w:pPr>
              <w:rPr>
                <w:rFonts w:ascii="Times New Roman" w:hAnsi="Times New Roman"/>
                <w:noProof/>
                <w:sz w:val="20"/>
                <w:szCs w:val="20"/>
              </w:rPr>
            </w:pPr>
            <w:r>
              <w:rPr>
                <w:rFonts w:ascii="Times New Roman" w:hAnsi="Times New Roman"/>
                <w:noProof/>
                <w:sz w:val="20"/>
                <w:szCs w:val="20"/>
              </w:rPr>
              <w:t xml:space="preserve"> </w:t>
            </w:r>
          </w:p>
        </w:tc>
        <w:tc>
          <w:tcPr>
            <w:tcW w:w="1423"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Povezani ukrep (reforma ali naložba)</w:t>
            </w:r>
          </w:p>
          <w:p w:rsidR="009B5602" w:rsidRDefault="00886830">
            <w:pPr>
              <w:rPr>
                <w:rFonts w:ascii="Times New Roman" w:hAnsi="Times New Roman"/>
                <w:noProof/>
                <w:sz w:val="20"/>
                <w:szCs w:val="20"/>
              </w:rPr>
            </w:pPr>
            <w:r>
              <w:rPr>
                <w:rFonts w:ascii="Times New Roman" w:hAnsi="Times New Roman"/>
                <w:noProof/>
                <w:sz w:val="20"/>
                <w:szCs w:val="20"/>
              </w:rPr>
              <w:t xml:space="preserve"> </w:t>
            </w:r>
          </w:p>
        </w:tc>
        <w:tc>
          <w:tcPr>
            <w:tcW w:w="1120"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Mejnik/cilj</w:t>
            </w:r>
          </w:p>
          <w:p w:rsidR="009B5602" w:rsidRDefault="00886830">
            <w:pPr>
              <w:rPr>
                <w:rFonts w:ascii="Times New Roman" w:hAnsi="Times New Roman"/>
                <w:noProof/>
                <w:sz w:val="20"/>
                <w:szCs w:val="20"/>
              </w:rPr>
            </w:pPr>
            <w:r>
              <w:rPr>
                <w:rFonts w:ascii="Times New Roman" w:hAnsi="Times New Roman"/>
                <w:noProof/>
                <w:sz w:val="20"/>
                <w:szCs w:val="20"/>
              </w:rPr>
              <w:t xml:space="preserve"> </w:t>
            </w:r>
          </w:p>
        </w:tc>
        <w:tc>
          <w:tcPr>
            <w:tcW w:w="1001"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Ime</w:t>
            </w:r>
          </w:p>
          <w:p w:rsidR="009B5602" w:rsidRDefault="00886830">
            <w:pPr>
              <w:rPr>
                <w:rFonts w:ascii="Times New Roman" w:hAnsi="Times New Roman"/>
                <w:noProof/>
                <w:sz w:val="20"/>
                <w:szCs w:val="20"/>
              </w:rPr>
            </w:pPr>
            <w:r>
              <w:rPr>
                <w:rFonts w:ascii="Times New Roman" w:hAnsi="Times New Roman"/>
                <w:noProof/>
                <w:sz w:val="20"/>
                <w:szCs w:val="20"/>
              </w:rPr>
              <w:t xml:space="preserve"> </w:t>
            </w:r>
          </w:p>
        </w:tc>
        <w:tc>
          <w:tcPr>
            <w:tcW w:w="1239"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Kvalitativni kazalniki</w:t>
            </w:r>
            <w:r>
              <w:rPr>
                <w:rFonts w:ascii="Times New Roman" w:hAnsi="Times New Roman"/>
                <w:noProof/>
                <w:sz w:val="20"/>
                <w:szCs w:val="20"/>
              </w:rPr>
              <w:t xml:space="preserve">  </w:t>
            </w:r>
            <w:r>
              <w:rPr>
                <w:rFonts w:ascii="Times New Roman" w:hAnsi="Times New Roman"/>
                <w:b/>
                <w:bCs/>
                <w:noProof/>
                <w:sz w:val="20"/>
                <w:szCs w:val="20"/>
              </w:rPr>
              <w:t xml:space="preserve"> (za mejnike)</w:t>
            </w:r>
          </w:p>
          <w:p w:rsidR="009B5602" w:rsidRDefault="00886830">
            <w:pPr>
              <w:rPr>
                <w:rFonts w:ascii="Times New Roman" w:hAnsi="Times New Roman"/>
                <w:noProof/>
                <w:sz w:val="20"/>
                <w:szCs w:val="20"/>
              </w:rPr>
            </w:pPr>
            <w:r>
              <w:rPr>
                <w:rFonts w:ascii="Times New Roman" w:hAnsi="Times New Roman"/>
                <w:noProof/>
                <w:sz w:val="20"/>
                <w:szCs w:val="20"/>
              </w:rPr>
              <w:t xml:space="preserve"> </w:t>
            </w:r>
          </w:p>
        </w:tc>
        <w:tc>
          <w:tcPr>
            <w:tcW w:w="3439"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Kvantitativni kazalniki</w:t>
            </w:r>
            <w:r>
              <w:rPr>
                <w:rFonts w:ascii="Times New Roman" w:hAnsi="Times New Roman"/>
                <w:noProof/>
                <w:sz w:val="20"/>
                <w:szCs w:val="20"/>
              </w:rPr>
              <w:t xml:space="preserve">  </w:t>
            </w:r>
            <w:r>
              <w:rPr>
                <w:rFonts w:ascii="Times New Roman" w:hAnsi="Times New Roman"/>
                <w:b/>
                <w:bCs/>
                <w:noProof/>
                <w:sz w:val="20"/>
                <w:szCs w:val="20"/>
              </w:rPr>
              <w:t xml:space="preserve"> (za cilje)</w:t>
            </w:r>
          </w:p>
        </w:tc>
        <w:tc>
          <w:tcPr>
            <w:tcW w:w="2126" w:type="dxa"/>
            <w:gridSpan w:val="2"/>
            <w:tcBorders>
              <w:top w:val="single" w:sz="8" w:space="0" w:color="auto"/>
              <w:left w:val="nil"/>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 xml:space="preserve">Okvirni časovni razpored za dokončanje </w:t>
            </w:r>
          </w:p>
        </w:tc>
        <w:tc>
          <w:tcPr>
            <w:tcW w:w="3395" w:type="dxa"/>
            <w:vMerge w:val="restart"/>
            <w:tcBorders>
              <w:top w:val="single" w:sz="8" w:space="0" w:color="auto"/>
              <w:left w:val="nil"/>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Opis in jasna opredelitev vsakega mejnika in cilja</w:t>
            </w:r>
          </w:p>
          <w:p w:rsidR="009B5602" w:rsidRDefault="00886830">
            <w:pPr>
              <w:rPr>
                <w:rFonts w:ascii="Times New Roman" w:hAnsi="Times New Roman"/>
                <w:noProof/>
                <w:sz w:val="20"/>
                <w:szCs w:val="20"/>
              </w:rPr>
            </w:pPr>
            <w:r>
              <w:rPr>
                <w:rFonts w:ascii="Times New Roman" w:hAnsi="Times New Roman"/>
                <w:noProof/>
                <w:sz w:val="20"/>
                <w:szCs w:val="20"/>
              </w:rPr>
              <w:t xml:space="preserve"> </w:t>
            </w:r>
          </w:p>
        </w:tc>
      </w:tr>
      <w:tr w:rsidR="009B5602">
        <w:trPr>
          <w:trHeight w:val="540"/>
        </w:trPr>
        <w:tc>
          <w:tcPr>
            <w:tcW w:w="817" w:type="dxa"/>
            <w:vMerge/>
            <w:tcBorders>
              <w:left w:val="single" w:sz="8" w:space="0" w:color="auto"/>
              <w:bottom w:val="single" w:sz="8" w:space="0" w:color="auto"/>
              <w:right w:val="single" w:sz="8" w:space="0" w:color="auto"/>
            </w:tcBorders>
            <w:shd w:val="clear" w:color="auto" w:fill="BDD7EE"/>
            <w:vAlign w:val="center"/>
          </w:tcPr>
          <w:p w:rsidR="009B5602" w:rsidRDefault="009B5602">
            <w:pPr>
              <w:rPr>
                <w:rFonts w:ascii="Times New Roman" w:hAnsi="Times New Roman"/>
                <w:noProof/>
                <w:sz w:val="20"/>
                <w:szCs w:val="20"/>
              </w:rPr>
            </w:pPr>
          </w:p>
        </w:tc>
        <w:tc>
          <w:tcPr>
            <w:tcW w:w="1423" w:type="dxa"/>
            <w:vMerge/>
            <w:tcBorders>
              <w:left w:val="single" w:sz="8" w:space="0" w:color="auto"/>
              <w:bottom w:val="single" w:sz="8" w:space="0" w:color="auto"/>
              <w:right w:val="single" w:sz="8" w:space="0" w:color="auto"/>
            </w:tcBorders>
            <w:shd w:val="clear" w:color="auto" w:fill="BDD7EE"/>
            <w:vAlign w:val="center"/>
          </w:tcPr>
          <w:p w:rsidR="009B5602" w:rsidRDefault="009B5602">
            <w:pPr>
              <w:rPr>
                <w:rFonts w:ascii="Times New Roman" w:hAnsi="Times New Roman"/>
                <w:noProof/>
                <w:sz w:val="20"/>
                <w:szCs w:val="20"/>
              </w:rPr>
            </w:pPr>
          </w:p>
        </w:tc>
        <w:tc>
          <w:tcPr>
            <w:tcW w:w="1120" w:type="dxa"/>
            <w:vMerge/>
            <w:tcBorders>
              <w:left w:val="single" w:sz="8" w:space="0" w:color="auto"/>
              <w:bottom w:val="single" w:sz="8" w:space="0" w:color="auto"/>
              <w:right w:val="single" w:sz="8" w:space="0" w:color="auto"/>
            </w:tcBorders>
            <w:shd w:val="clear" w:color="auto" w:fill="BDD7EE"/>
            <w:vAlign w:val="center"/>
          </w:tcPr>
          <w:p w:rsidR="009B5602" w:rsidRDefault="009B5602">
            <w:pPr>
              <w:rPr>
                <w:rFonts w:ascii="Times New Roman" w:hAnsi="Times New Roman"/>
                <w:noProof/>
                <w:sz w:val="20"/>
                <w:szCs w:val="20"/>
              </w:rPr>
            </w:pPr>
          </w:p>
        </w:tc>
        <w:tc>
          <w:tcPr>
            <w:tcW w:w="1001" w:type="dxa"/>
            <w:vMerge/>
            <w:tcBorders>
              <w:left w:val="single" w:sz="8" w:space="0" w:color="auto"/>
              <w:bottom w:val="single" w:sz="8" w:space="0" w:color="auto"/>
              <w:right w:val="single" w:sz="8" w:space="0" w:color="auto"/>
            </w:tcBorders>
            <w:shd w:val="clear" w:color="auto" w:fill="BDD7EE"/>
            <w:vAlign w:val="center"/>
          </w:tcPr>
          <w:p w:rsidR="009B5602" w:rsidRDefault="009B5602">
            <w:pPr>
              <w:rPr>
                <w:rFonts w:ascii="Times New Roman" w:hAnsi="Times New Roman"/>
                <w:noProof/>
                <w:sz w:val="20"/>
                <w:szCs w:val="20"/>
              </w:rPr>
            </w:pPr>
          </w:p>
        </w:tc>
        <w:tc>
          <w:tcPr>
            <w:tcW w:w="1239" w:type="dxa"/>
            <w:vMerge/>
            <w:tcBorders>
              <w:left w:val="single" w:sz="8" w:space="0" w:color="auto"/>
              <w:bottom w:val="single" w:sz="8" w:space="0" w:color="auto"/>
              <w:right w:val="single" w:sz="8" w:space="0" w:color="auto"/>
            </w:tcBorders>
            <w:shd w:val="clear" w:color="auto" w:fill="BDD7EE"/>
            <w:vAlign w:val="center"/>
          </w:tcPr>
          <w:p w:rsidR="009B5602" w:rsidRDefault="009B5602">
            <w:pPr>
              <w:rPr>
                <w:rFonts w:ascii="Times New Roman" w:hAnsi="Times New Roman"/>
                <w:noProof/>
                <w:sz w:val="20"/>
                <w:szCs w:val="20"/>
              </w:rPr>
            </w:pPr>
          </w:p>
        </w:tc>
        <w:tc>
          <w:tcPr>
            <w:tcW w:w="1120" w:type="dxa"/>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Merska enota</w:t>
            </w:r>
          </w:p>
        </w:tc>
        <w:tc>
          <w:tcPr>
            <w:tcW w:w="1326" w:type="dxa"/>
            <w:tcBorders>
              <w:top w:val="nil"/>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Ozadje</w:t>
            </w:r>
          </w:p>
        </w:tc>
        <w:tc>
          <w:tcPr>
            <w:tcW w:w="993" w:type="dxa"/>
            <w:tcBorders>
              <w:top w:val="nil"/>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cilj</w:t>
            </w:r>
          </w:p>
        </w:tc>
        <w:tc>
          <w:tcPr>
            <w:tcW w:w="1275" w:type="dxa"/>
            <w:tcBorders>
              <w:top w:val="nil"/>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Četrtletje</w:t>
            </w:r>
          </w:p>
        </w:tc>
        <w:tc>
          <w:tcPr>
            <w:tcW w:w="851" w:type="dxa"/>
            <w:tcBorders>
              <w:top w:val="nil"/>
              <w:left w:val="nil"/>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Leto</w:t>
            </w:r>
          </w:p>
        </w:tc>
        <w:tc>
          <w:tcPr>
            <w:tcW w:w="3395" w:type="dxa"/>
            <w:vMerge/>
            <w:tcBorders>
              <w:left w:val="single" w:sz="8" w:space="0" w:color="auto"/>
              <w:bottom w:val="single" w:sz="8" w:space="0" w:color="auto"/>
              <w:right w:val="single" w:sz="8" w:space="0" w:color="auto"/>
            </w:tcBorders>
            <w:shd w:val="clear" w:color="auto" w:fill="BDD7EE"/>
            <w:vAlign w:val="center"/>
          </w:tcPr>
          <w:p w:rsidR="009B5602" w:rsidRDefault="009B5602">
            <w:pPr>
              <w:rPr>
                <w:rFonts w:ascii="Times New Roman" w:hAnsi="Times New Roman"/>
                <w:noProof/>
                <w:sz w:val="20"/>
                <w:szCs w:val="20"/>
              </w:rPr>
            </w:pPr>
          </w:p>
        </w:tc>
      </w:tr>
      <w:tr w:rsidR="009B5602">
        <w:trPr>
          <w:trHeight w:val="111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16 – Boj proti korupciji in pranju denarja – Reforma 1: Učinkovitejši boj proti korupciji in preprečevanje pranja denarja</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mejnik</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Reforme za racionalizacijo in izboljšanje finančnih preiskav </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Začetek veljavnosti zakona 312/2020 o zamrznitvi sredstev in akta o vzpostavitvi centralnega registra računov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Q1</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zakonodaje, ki določa okvir za začetek delovanja centralnega registra računov. Pristojnost policije za preverja</w:t>
            </w:r>
            <w:r>
              <w:rPr>
                <w:rFonts w:ascii="Times New Roman" w:hAnsi="Times New Roman"/>
                <w:noProof/>
                <w:color w:val="006100"/>
                <w:sz w:val="20"/>
                <w:szCs w:val="20"/>
              </w:rPr>
              <w:t>nje premoženja v primeru neskladja med zakonitim in rabljenim premoženjem se bo razširila. Urad za upravljanje zaseženega premoženja deluje in možnosti za zamrznitev sredstev so razširjene.</w:t>
            </w:r>
          </w:p>
        </w:tc>
      </w:tr>
      <w:tr w:rsidR="009B5602">
        <w:trPr>
          <w:trHeight w:val="112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16 – Boj proti korupciji in pranju denarja – Naložba 1: Orodja </w:t>
            </w:r>
            <w:r>
              <w:rPr>
                <w:rFonts w:ascii="Times New Roman" w:hAnsi="Times New Roman"/>
                <w:noProof/>
                <w:color w:val="006100"/>
                <w:sz w:val="20"/>
                <w:szCs w:val="20"/>
              </w:rPr>
              <w:t>in zmogljivosti za boj proti korupciji in pranju denarja</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mejnik</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Zagotavljanje potrebne infrastrukture za podporo boju proti pranju denarja in korupciji </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Infrastruktura, povezana s preprečevanjem pranja denarja in prijavitelji nepravilnosti, je v celoti o</w:t>
            </w:r>
            <w:r>
              <w:rPr>
                <w:rFonts w:ascii="Times New Roman" w:hAnsi="Times New Roman"/>
                <w:noProof/>
                <w:color w:val="006100"/>
                <w:sz w:val="20"/>
                <w:szCs w:val="20"/>
              </w:rPr>
              <w:t>perativna.</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2023</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Dokončanje naslednjih korakov: </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 xml:space="preserve">– nakup programskega orodja „go AML“ do Q4/2022 in njegovo izvajanje do Q3/2023; </w:t>
            </w:r>
          </w:p>
          <w:p w:rsidR="009B5602" w:rsidRDefault="00886830">
            <w:pPr>
              <w:jc w:val="both"/>
              <w:rPr>
                <w:rFonts w:ascii="Times New Roman" w:hAnsi="Times New Roman"/>
                <w:noProof/>
                <w:sz w:val="20"/>
                <w:szCs w:val="20"/>
              </w:rPr>
            </w:pPr>
            <w:r>
              <w:rPr>
                <w:rFonts w:ascii="Times New Roman" w:hAnsi="Times New Roman"/>
                <w:noProof/>
                <w:color w:val="006100"/>
                <w:sz w:val="20"/>
                <w:szCs w:val="20"/>
              </w:rPr>
              <w:t>– začetek testne različice Centralnega registra računov z vsemi v vnaprej določenimi funkcijami Zakona z dostopom do pod</w:t>
            </w:r>
            <w:r>
              <w:rPr>
                <w:rFonts w:ascii="Times New Roman" w:hAnsi="Times New Roman"/>
                <w:noProof/>
                <w:color w:val="006100"/>
                <w:sz w:val="20"/>
                <w:szCs w:val="20"/>
              </w:rPr>
              <w:t xml:space="preserve">atkov do Q2/2022 in poznejši začetek izvajanja končne različice v Q4/2022; </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operacionalizacija in popolna tehnična oprema urada za zaščito prijaviteljev nepravilnosti do Q3/2022; </w:t>
            </w:r>
          </w:p>
          <w:p w:rsidR="009B5602" w:rsidRDefault="00886830">
            <w:pPr>
              <w:rPr>
                <w:rFonts w:ascii="Times New Roman" w:hAnsi="Times New Roman"/>
                <w:noProof/>
                <w:sz w:val="20"/>
                <w:szCs w:val="20"/>
              </w:rPr>
            </w:pPr>
            <w:r>
              <w:rPr>
                <w:rFonts w:ascii="Times New Roman" w:hAnsi="Times New Roman"/>
                <w:noProof/>
                <w:color w:val="006100"/>
                <w:sz w:val="20"/>
                <w:szCs w:val="20"/>
              </w:rPr>
              <w:t>– vzpostavitev sistema LISA (sistem za zbiranje policijskih podatkov v okv</w:t>
            </w:r>
            <w:r>
              <w:rPr>
                <w:rFonts w:ascii="Times New Roman" w:hAnsi="Times New Roman"/>
                <w:noProof/>
                <w:color w:val="006100"/>
                <w:sz w:val="20"/>
                <w:szCs w:val="20"/>
              </w:rPr>
              <w:t>iru centralnega informacijskega sistema – enotna platforma za storitve finančnih preiskav – NAKA, NCODK, FSJ) do Q4/2023;</w:t>
            </w:r>
          </w:p>
          <w:p w:rsidR="009B5602" w:rsidRDefault="00886830">
            <w:pPr>
              <w:rPr>
                <w:rFonts w:ascii="Times New Roman" w:hAnsi="Times New Roman"/>
                <w:noProof/>
                <w:sz w:val="20"/>
                <w:szCs w:val="20"/>
              </w:rPr>
            </w:pPr>
            <w:r>
              <w:rPr>
                <w:rFonts w:ascii="Times New Roman" w:hAnsi="Times New Roman"/>
                <w:noProof/>
                <w:color w:val="006100"/>
                <w:sz w:val="20"/>
                <w:szCs w:val="20"/>
              </w:rPr>
              <w:t>– prilagoditev prostorov in opreme IKT enot NCODK in NAKA za finančne preiskave in preverjanje izvora sredstev po regionalni ravni (mo</w:t>
            </w:r>
            <w:r>
              <w:rPr>
                <w:rFonts w:ascii="Times New Roman" w:hAnsi="Times New Roman"/>
                <w:noProof/>
                <w:color w:val="006100"/>
                <w:sz w:val="20"/>
                <w:szCs w:val="20"/>
              </w:rPr>
              <w:t>del 1 +4) do Q4/2023.</w:t>
            </w:r>
          </w:p>
        </w:tc>
      </w:tr>
      <w:tr w:rsidR="009B5602">
        <w:trPr>
          <w:trHeight w:val="124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3</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16 – Boj proti korupciji in pranju denarja – Naložba 1: Orodja in zmogljivosti za boj proti korupciji in pranju denarja</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cilj</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Preusposabljanje policistov v finančnih preiskavah in analitičnih dejavnostih</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število</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240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2023</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Ustanovitev analitičnega centra NAKA in regionalnih analitičnih in finančnih preiskovalnih uradov NAKA ter vzpostavitev regionalnih analitičnih in finančnih preiskovalnih uradov nacionalnega centra za posebna kazniva dejanja (NCODK) v prvem četrtletju leta</w:t>
            </w:r>
            <w:r>
              <w:rPr>
                <w:rFonts w:ascii="Times New Roman" w:hAnsi="Times New Roman"/>
                <w:noProof/>
                <w:color w:val="006100"/>
                <w:sz w:val="20"/>
                <w:szCs w:val="20"/>
              </w:rPr>
              <w:t xml:space="preserve"> 2022.</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Od splošnega cilja usposabljanja 266 uslužbencev se je vsaj 240 policistov udeležilo usposabljanj, delavnic in seminarjev, v katerih so sodelovali tuji in nacionalni predavatelji, ter sodelovanje pri usposabljanju s CEPOL in Europolom.</w:t>
            </w:r>
          </w:p>
        </w:tc>
      </w:tr>
      <w:tr w:rsidR="009B5602">
        <w:trPr>
          <w:trHeight w:val="73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4</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16 – Boj</w:t>
            </w:r>
            <w:r>
              <w:rPr>
                <w:rFonts w:ascii="Times New Roman" w:hAnsi="Times New Roman"/>
                <w:noProof/>
                <w:color w:val="006100"/>
                <w:sz w:val="20"/>
                <w:szCs w:val="20"/>
              </w:rPr>
              <w:t xml:space="preserve"> proti korupciji in pranju denarja – Reforma 2: Posodobitev in krepitev zmogljivosti policije</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mejnik</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Izvajanje organizacijskih sprememb policije za povečanje učinkovitosti odkrivanja, preiskovanja in odkrivanja korupcije</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Organizacijska sprememba policije j</w:t>
            </w:r>
            <w:r>
              <w:rPr>
                <w:rFonts w:ascii="Times New Roman" w:hAnsi="Times New Roman"/>
                <w:noProof/>
                <w:color w:val="006100"/>
                <w:sz w:val="20"/>
                <w:szCs w:val="20"/>
              </w:rPr>
              <w:t>e učinkovita.</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2021</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Organizacijske spremembe, katerih cilj je ustanovitev enote za odkrivanje in preiskovanje okoljske kriminalitete (središče in regije), razširitev analitičnih zmogljivosti policije na regionalno raven, ustanovitev nove enote za</w:t>
            </w:r>
            <w:r>
              <w:rPr>
                <w:rFonts w:ascii="Times New Roman" w:hAnsi="Times New Roman"/>
                <w:noProof/>
                <w:color w:val="006100"/>
                <w:sz w:val="20"/>
                <w:szCs w:val="20"/>
              </w:rPr>
              <w:t xml:space="preserve"> storitve na področju kriminalistične tehnologije (središče in regije). </w:t>
            </w:r>
          </w:p>
        </w:tc>
      </w:tr>
      <w:tr w:rsidR="009B5602">
        <w:trPr>
          <w:trHeight w:val="10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5</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16 – Boj proti korupciji in pranju denarja – Naložba 2: Opremljanje in digitalizacija policije – Usposabljanje in oprema</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cilj</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Izvajata se usposabljanje in oprema, povezana z </w:t>
            </w:r>
            <w:r>
              <w:rPr>
                <w:rFonts w:ascii="Times New Roman" w:hAnsi="Times New Roman"/>
                <w:noProof/>
                <w:color w:val="006100"/>
                <w:sz w:val="20"/>
                <w:szCs w:val="20"/>
              </w:rPr>
              <w:t>reformo policije.</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Število usposobljenega osebja</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310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2024</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Usposabljanje najmanj 310 policistov (okoljski kriminal 200, analize kaznivih dejanj 60, storitve kriminalne tehnologije 50) v 4. četrtletju leta 2022. Zagotoviti usposabljanje vsaj 300 polici</w:t>
            </w:r>
            <w:r>
              <w:rPr>
                <w:rFonts w:ascii="Times New Roman" w:hAnsi="Times New Roman"/>
                <w:noProof/>
                <w:color w:val="006100"/>
                <w:sz w:val="20"/>
                <w:szCs w:val="20"/>
              </w:rPr>
              <w:t>stov za izboljšanje kakovosti komunikacije z žrtvami kaznivih dejanj za policiste v Q4/2022.</w:t>
            </w:r>
          </w:p>
        </w:tc>
      </w:tr>
      <w:tr w:rsidR="009B5602">
        <w:trPr>
          <w:trHeight w:val="10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6</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16 – Boj proti korupciji in pranju denarja – Naložba 2: Opremljanje in digitalizacija policije – Obnova voznega parka</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cilj</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Nakup novih vozil (10 % voznega </w:t>
            </w:r>
            <w:r>
              <w:rPr>
                <w:rFonts w:ascii="Times New Roman" w:hAnsi="Times New Roman"/>
                <w:noProof/>
                <w:color w:val="006100"/>
                <w:sz w:val="20"/>
                <w:szCs w:val="20"/>
              </w:rPr>
              <w:t>parka) električnih in hibridnih vozil</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število</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both"/>
              <w:rPr>
                <w:rFonts w:ascii="Times New Roman" w:hAnsi="Times New Roman"/>
                <w:noProof/>
                <w:sz w:val="20"/>
                <w:szCs w:val="20"/>
              </w:rPr>
            </w:pPr>
            <w:r>
              <w:rPr>
                <w:rFonts w:ascii="Times New Roman" w:hAnsi="Times New Roman"/>
                <w:noProof/>
                <w:color w:val="006100"/>
                <w:sz w:val="20"/>
                <w:szCs w:val="20"/>
              </w:rPr>
              <w:t>700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2022</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Od splošnega cilja, da se 705 vozil policijskega voznega parka obnovi z električnimi in hibridnimi vozili (326 vozil do Q2/2022 in 379 vozil do Q4/2022), se zamenja vsaj 700 policijskih vozil.</w:t>
            </w:r>
          </w:p>
        </w:tc>
      </w:tr>
      <w:tr w:rsidR="009B5602">
        <w:trPr>
          <w:trHeight w:val="105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7</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16 – Boj proti korupciji in pranju denarja – Naložba 2: Opremljanje in digitalizacija policije – Obnova stavb</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mejnik</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Obseg prenovljene tlorisne površine policijskih stavb za zmanjšanje energetske intenzivnosti stavb </w:t>
            </w:r>
          </w:p>
          <w:p w:rsidR="009B5602" w:rsidRDefault="00886830">
            <w:pPr>
              <w:rPr>
                <w:rFonts w:ascii="Times New Roman" w:hAnsi="Times New Roman"/>
                <w:noProof/>
                <w:sz w:val="20"/>
                <w:szCs w:val="20"/>
              </w:rPr>
            </w:pPr>
            <w:r>
              <w:rPr>
                <w:rFonts w:ascii="Times New Roman" w:hAnsi="Times New Roman"/>
                <w:noProof/>
                <w:color w:val="006100"/>
                <w:sz w:val="20"/>
                <w:szCs w:val="20"/>
              </w:rPr>
              <w:t>(v m²)</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število</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45 000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2024</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Od </w:t>
            </w:r>
            <w:r>
              <w:rPr>
                <w:rFonts w:ascii="Times New Roman" w:hAnsi="Times New Roman"/>
                <w:noProof/>
                <w:color w:val="006100"/>
                <w:sz w:val="20"/>
                <w:szCs w:val="20"/>
              </w:rPr>
              <w:t xml:space="preserve">splošnega cilja prenove 49 965 kvadratnih metrov tlorisne površine stavbe je treba prenoviti vsaj 45 000 kvadratnih metrov v policijskih stavbah, da se zmanjša njihova energetska intenzivnost. Vsaj pet stavb bo obnovljenih do Q4/2023. Tehnično, materialno </w:t>
            </w:r>
            <w:r>
              <w:rPr>
                <w:rFonts w:ascii="Times New Roman" w:hAnsi="Times New Roman"/>
                <w:noProof/>
                <w:color w:val="006100"/>
                <w:sz w:val="20"/>
                <w:szCs w:val="20"/>
              </w:rPr>
              <w:t>in prostorsko zagotavljanje enot za analizo kaznivih dejanj, storitev kriminalistične tehnologije in enot za okoljsko kriminaliteto v skladu z materialnim inventarjem Q4/2024.</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r>
      <w:tr w:rsidR="009B5602">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8</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16 – Boj proti korupciji in pranju denarja – Naložba 2: Opremljanje in </w:t>
            </w:r>
            <w:r>
              <w:rPr>
                <w:rFonts w:ascii="Times New Roman" w:hAnsi="Times New Roman"/>
                <w:noProof/>
                <w:color w:val="006100"/>
                <w:sz w:val="20"/>
                <w:szCs w:val="20"/>
              </w:rPr>
              <w:t>digitalizacija policije – Novi informacijski sistem za registracijo tujih rezidentov (IS ECU)</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Elektronizacija postopkov za izdajo dovoljenj za prebivanje za poenostavitev postopkov za javnost</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delovanja novega sistema</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2024</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po</w:t>
            </w:r>
            <w:r>
              <w:rPr>
                <w:rFonts w:ascii="Times New Roman" w:hAnsi="Times New Roman"/>
                <w:noProof/>
                <w:color w:val="006100"/>
                <w:sz w:val="20"/>
                <w:szCs w:val="20"/>
              </w:rPr>
              <w:t>lnega delovanja novega informacijskega sistema za tujce z naslednjimi ključnimi funkcijami: vložitev prošnje za prebivanje in podaljšanje, registracija stalnega prebivališča, informatizacija vloge za dokument, moduli za obveščanje in informatizacija komuni</w:t>
            </w:r>
            <w:r>
              <w:rPr>
                <w:rFonts w:ascii="Times New Roman" w:hAnsi="Times New Roman"/>
                <w:noProof/>
                <w:color w:val="006100"/>
                <w:sz w:val="20"/>
                <w:szCs w:val="20"/>
              </w:rPr>
              <w:t>kacije med postopkom.</w:t>
            </w:r>
          </w:p>
        </w:tc>
      </w:tr>
      <w:tr w:rsidR="009B5602">
        <w:trPr>
          <w:trHeight w:val="61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9</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16 – Boj proti korupciji in pranju denarja – Naložba 2: Opremljanje in digitalizacija policije – Avtomatiziran sistem za odkrivanje cestnoprometnih prekrškov</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Avtomatizacija sistema za odkrivanje prometnih prekrškov v polnem </w:t>
            </w:r>
            <w:r>
              <w:rPr>
                <w:rFonts w:ascii="Times New Roman" w:hAnsi="Times New Roman"/>
                <w:noProof/>
                <w:color w:val="006100"/>
                <w:sz w:val="20"/>
                <w:szCs w:val="20"/>
              </w:rPr>
              <w:t>obratovanju</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Vzpostavitev polnega delovanja 3 modulov</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2026</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Avtomatizacija evidentiranja kršitev cestnoprometnih predpisov. Polno delovanje sistema z moduli: (1) evidentiranje in ugotavljanje kršitev cestnoprometnih predpisov, (2) spremembe obstoječ</w:t>
            </w:r>
            <w:r>
              <w:rPr>
                <w:rFonts w:ascii="Times New Roman" w:hAnsi="Times New Roman"/>
                <w:noProof/>
                <w:color w:val="006100"/>
                <w:sz w:val="20"/>
                <w:szCs w:val="20"/>
              </w:rPr>
              <w:t>ega sistema za samodejno sprejemanje odločitev ter (3) statistika, poročanje in analiza.</w:t>
            </w:r>
          </w:p>
        </w:tc>
      </w:tr>
      <w:tr w:rsidR="009B5602">
        <w:trPr>
          <w:trHeight w:val="54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10</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16 – Boj proti korupciji in pranju denarja – Reforma 3: Optimizacija kriznega upravljanja</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mejnik</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Začetek veljavnosti optimiziranega kriznega upravljanja</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Začetek </w:t>
            </w:r>
            <w:r>
              <w:rPr>
                <w:rFonts w:ascii="Times New Roman" w:hAnsi="Times New Roman"/>
                <w:noProof/>
                <w:color w:val="006100"/>
                <w:sz w:val="20"/>
                <w:szCs w:val="20"/>
              </w:rPr>
              <w:t>veljavnosti spremenjenega zakona št. 129/2002 o integriranem reševalnem sistemu</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Q1</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2023</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Koncept optimizacije kriznega upravljanja jasno opredeljuje odnose med službami za ukrepanje ob nesrečah v okviru integriranega reševalnega sistema, določa skupne</w:t>
            </w:r>
            <w:r>
              <w:rPr>
                <w:rFonts w:ascii="Times New Roman" w:hAnsi="Times New Roman"/>
                <w:noProof/>
                <w:color w:val="006100"/>
                <w:sz w:val="20"/>
                <w:szCs w:val="20"/>
              </w:rPr>
              <w:t xml:space="preserve"> postopke za obvladovanje kriznih razmer, zagotavlja skupno usklajevanje med komponentami ob upoštevanju strateške in operativne ravni kriznega upravljanja ter predlaga mrežo integriranih varnostnih centrov. Zakonodaja začne veljati do prvega četrtletja 20</w:t>
            </w:r>
            <w:r>
              <w:rPr>
                <w:rFonts w:ascii="Times New Roman" w:hAnsi="Times New Roman"/>
                <w:noProof/>
                <w:color w:val="006100"/>
                <w:sz w:val="20"/>
                <w:szCs w:val="20"/>
              </w:rPr>
              <w:t>23.</w:t>
            </w:r>
          </w:p>
        </w:tc>
      </w:tr>
      <w:tr w:rsidR="009B5602">
        <w:trPr>
          <w:trHeight w:val="75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11</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16 – Boj proti korupciji in pranju denarja – Naložba 3: Posodobitev požarnega in reševalnega sistema – Vzpostavitev mreže integriranih varnostnih centrov</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Izgradnja in operacionalizacija integriranih varnostnih centrov</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število</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2026</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Zgrajena in operativna bosta vsaj 2 integrirana varnostna centra, s čimer se bo izboljšalo operativno upravljanje reševalnih služb integriranega reševalnega sistema, vključno z informacijsko podporo z vzpostavitvijo integriranih varnostnih centrov.</w:t>
            </w:r>
          </w:p>
        </w:tc>
      </w:tr>
      <w:tr w:rsidR="009B5602">
        <w:trPr>
          <w:trHeight w:val="141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12</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16 </w:t>
            </w:r>
            <w:r>
              <w:rPr>
                <w:rFonts w:ascii="Times New Roman" w:hAnsi="Times New Roman"/>
                <w:noProof/>
                <w:color w:val="006100"/>
                <w:sz w:val="20"/>
                <w:szCs w:val="20"/>
              </w:rPr>
              <w:t>– Boj proti korupciji in pranju denarja – Naložba 3: Posodobitev požarnega in reševalnega sistema – Prenova gasilskih stavb</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cilj</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Posodobitev gasilskih postaj</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sz w:val="20"/>
                <w:szCs w:val="20"/>
              </w:rPr>
            </w:pP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število</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7</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2026</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Dokončanje gradbenih del za vsaj 4 nove gasilske postaje in rekonstrukcija vs</w:t>
            </w:r>
            <w:r>
              <w:rPr>
                <w:rFonts w:ascii="Times New Roman" w:hAnsi="Times New Roman"/>
                <w:noProof/>
                <w:color w:val="006100"/>
                <w:sz w:val="20"/>
                <w:szCs w:val="20"/>
              </w:rPr>
              <w:t xml:space="preserve">aj 3 obstoječih gasilskih postaj.  </w:t>
            </w:r>
          </w:p>
        </w:tc>
      </w:tr>
      <w:tr w:rsidR="009B5602">
        <w:trPr>
          <w:trHeight w:val="109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13</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16 – Boj proti korupciji in pranju denarja – Naložba 4: Krepitev upravne zmogljivosti na različnih ravneh upravljanja – Ustanovitev nacionalnega organa za izvajanje in usklajevanje</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0000"/>
                <w:sz w:val="20"/>
                <w:szCs w:val="20"/>
              </w:rPr>
            </w:pPr>
            <w:r>
              <w:rPr>
                <w:rFonts w:ascii="Times New Roman" w:hAnsi="Times New Roman"/>
                <w:noProof/>
                <w:color w:val="006100"/>
                <w:sz w:val="20"/>
                <w:szCs w:val="20"/>
              </w:rPr>
              <w:t>mejnik</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Zmanjšanje tveganja pri </w:t>
            </w:r>
            <w:r>
              <w:rPr>
                <w:rFonts w:ascii="Times New Roman" w:hAnsi="Times New Roman"/>
                <w:noProof/>
                <w:color w:val="006100"/>
                <w:sz w:val="20"/>
                <w:szCs w:val="20"/>
              </w:rPr>
              <w:t>izvajanju z ustanovitvijo usklajevalnega, finančnega in izvajalskega organa (NIKA) za instrument za okrevanje in odpornost</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Ustanovitev in krepitev zmogljivosti organa RRP</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0000"/>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Q3</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2022</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Nika bo ustanovljena do tretjega četrtletja 2021. To bo usklajevalni,</w:t>
            </w:r>
            <w:r>
              <w:rPr>
                <w:rFonts w:ascii="Times New Roman" w:hAnsi="Times New Roman"/>
                <w:noProof/>
                <w:color w:val="006100"/>
                <w:sz w:val="20"/>
                <w:szCs w:val="20"/>
              </w:rPr>
              <w:t xml:space="preserve"> finančni in izvajalski organ za instrument za okrevanje in odpornost. Naslednji koraki vključujejo: Krepitev zmogljivosti NIKA in revizija vlade do 4. četrtletja 2021. Nov informacijski sistem za namene NIKA je vzpostavljen do vprašanja št. Q3/2022.</w:t>
            </w:r>
          </w:p>
          <w:p w:rsidR="009B5602" w:rsidRDefault="009B5602">
            <w:pPr>
              <w:rPr>
                <w:rFonts w:ascii="Times New Roman" w:hAnsi="Times New Roman"/>
                <w:noProof/>
                <w:color w:val="006100"/>
                <w:sz w:val="20"/>
                <w:szCs w:val="20"/>
              </w:rPr>
            </w:pPr>
          </w:p>
        </w:tc>
      </w:tr>
      <w:tr w:rsidR="009B5602">
        <w:trPr>
          <w:trHeight w:val="109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14</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16 – Boj proti korupciji in pranju denarja – Naložba 4: Krepitev upravne zmogljivosti na različnih ravneh upravljanja – Ustanovitev nacionalnega organa za izvajanje in usklajevanje</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0000"/>
                <w:sz w:val="20"/>
                <w:szCs w:val="20"/>
              </w:rPr>
            </w:pPr>
            <w:r>
              <w:rPr>
                <w:rFonts w:ascii="Times New Roman" w:hAnsi="Times New Roman"/>
                <w:noProof/>
                <w:color w:val="006100"/>
                <w:sz w:val="20"/>
                <w:szCs w:val="20"/>
              </w:rPr>
              <w:t>mejnik</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Revizija in vzorčenje; kontrole: Pravna podlaga</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Začetek veljavnosti </w:t>
            </w:r>
            <w:r>
              <w:rPr>
                <w:rFonts w:ascii="Times New Roman" w:hAnsi="Times New Roman"/>
                <w:noProof/>
                <w:color w:val="006100"/>
                <w:sz w:val="20"/>
                <w:szCs w:val="20"/>
              </w:rPr>
              <w:t>Zakona o mehanizmu za okrevanje in odpornost</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0000"/>
                <w:sz w:val="20"/>
                <w:szCs w:val="20"/>
              </w:rPr>
            </w:pPr>
            <w:r>
              <w:rPr>
                <w:rFonts w:ascii="Times New Roman" w:hAnsi="Times New Roman"/>
                <w:noProof/>
                <w:color w:val="0061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jc w:val="center"/>
              <w:rPr>
                <w:rFonts w:ascii="Times New Roman" w:hAnsi="Times New Roman"/>
                <w:noProof/>
                <w:color w:val="006100"/>
                <w:sz w:val="20"/>
                <w:szCs w:val="20"/>
              </w:rPr>
            </w:pP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2021</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Parlamentarna odobritev in zakonit začetek veljavnosti Zakona o mehanizmu za okrevanje in odpornost morata biti končana pred prvim zahtevkom za plačilo.</w:t>
            </w:r>
            <w:r>
              <w:rPr>
                <w:rFonts w:ascii="Times New Roman" w:hAnsi="Times New Roman"/>
                <w:i/>
                <w:iCs/>
                <w:noProof/>
                <w:color w:val="006100"/>
                <w:sz w:val="20"/>
                <w:szCs w:val="20"/>
              </w:rPr>
              <w:t xml:space="preserve"> </w:t>
            </w:r>
          </w:p>
        </w:tc>
      </w:tr>
      <w:tr w:rsidR="009B5602">
        <w:trPr>
          <w:trHeight w:val="4833"/>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15</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16 – Boj proti korupciji in pranju </w:t>
            </w:r>
            <w:r>
              <w:rPr>
                <w:rFonts w:ascii="Times New Roman" w:hAnsi="Times New Roman"/>
                <w:noProof/>
                <w:color w:val="006100"/>
                <w:sz w:val="20"/>
                <w:szCs w:val="20"/>
              </w:rPr>
              <w:t>denarja – Naložba 4: Krepitev upravne zmogljivosti na različnih ravneh upravljanja – Ustanovitev nacionalnega organa za izvajanje in usklajevanje</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0000"/>
                <w:sz w:val="20"/>
                <w:szCs w:val="20"/>
              </w:rPr>
            </w:pPr>
            <w:r>
              <w:rPr>
                <w:rFonts w:ascii="Times New Roman" w:hAnsi="Times New Roman"/>
                <w:noProof/>
                <w:color w:val="006100"/>
                <w:sz w:val="20"/>
                <w:szCs w:val="20"/>
              </w:rPr>
              <w:t>mejnik</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Sistem repozitorijev RRP: informacije za spremljanje izvajanja RRP</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9B5602">
            <w:pPr>
              <w:rPr>
                <w:rFonts w:ascii="Times New Roman" w:hAnsi="Times New Roman"/>
                <w:noProof/>
                <w:color w:val="006100"/>
                <w:sz w:val="20"/>
                <w:szCs w:val="20"/>
              </w:rPr>
            </w:pPr>
          </w:p>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Revizijsko poročilo, ki potrjuje fu</w:t>
            </w:r>
            <w:r>
              <w:rPr>
                <w:rFonts w:ascii="Times New Roman" w:hAnsi="Times New Roman"/>
                <w:noProof/>
                <w:color w:val="006100"/>
                <w:sz w:val="20"/>
                <w:szCs w:val="20"/>
              </w:rPr>
              <w:t xml:space="preserve">nkcije sistema repozitorijev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color w:val="000000"/>
                <w:sz w:val="20"/>
                <w:szCs w:val="20"/>
              </w:rPr>
            </w:pPr>
            <w:r>
              <w:rPr>
                <w:rFonts w:ascii="Times New Roman" w:hAnsi="Times New Roman"/>
                <w:noProof/>
                <w:color w:val="0061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2021</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 xml:space="preserve">Vzpostavljen in operativen je sistem arhivov, ki je lahko v obliki Excelovega lista, za spremljanje izvajanja načrta za okrevanje in odpornost. </w:t>
            </w:r>
          </w:p>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Sistem vključuje najmanj naslednje funkcije:</w:t>
            </w:r>
          </w:p>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(a) zbiranje podatkov</w:t>
            </w:r>
            <w:r>
              <w:rPr>
                <w:rFonts w:ascii="Times New Roman" w:hAnsi="Times New Roman"/>
                <w:noProof/>
                <w:color w:val="006100"/>
                <w:sz w:val="20"/>
                <w:szCs w:val="20"/>
              </w:rPr>
              <w:t xml:space="preserve"> ter spremljanje doseganja mejnikov in ciljnih vrednosti;</w:t>
            </w:r>
          </w:p>
          <w:p w:rsidR="009B5602" w:rsidRDefault="00886830">
            <w:pPr>
              <w:jc w:val="center"/>
              <w:rPr>
                <w:rFonts w:ascii="Times New Roman" w:hAnsi="Times New Roman"/>
                <w:noProof/>
                <w:color w:val="006100"/>
                <w:sz w:val="20"/>
                <w:szCs w:val="20"/>
              </w:rPr>
            </w:pPr>
            <w:r>
              <w:rPr>
                <w:rFonts w:ascii="Times New Roman" w:hAnsi="Times New Roman"/>
                <w:noProof/>
                <w:color w:val="006100"/>
                <w:sz w:val="20"/>
                <w:szCs w:val="20"/>
              </w:rPr>
              <w:t xml:space="preserve">(b) zbira, shranjuje in zagotavlja dostop do podatkov, ki se zahtevajo v skladu s členom 22(2)(d)(i) do (iii) uredbe o RRF.  </w:t>
            </w:r>
          </w:p>
          <w:p w:rsidR="009B5602" w:rsidRDefault="009B5602">
            <w:pPr>
              <w:jc w:val="center"/>
              <w:rPr>
                <w:rFonts w:ascii="Times New Roman" w:hAnsi="Times New Roman"/>
                <w:noProof/>
                <w:color w:val="006100"/>
                <w:sz w:val="20"/>
                <w:szCs w:val="20"/>
              </w:rPr>
            </w:pPr>
          </w:p>
          <w:p w:rsidR="009B5602" w:rsidRDefault="00886830">
            <w:pPr>
              <w:rPr>
                <w:rFonts w:ascii="Times New Roman" w:hAnsi="Times New Roman"/>
                <w:noProof/>
                <w:color w:val="006100"/>
                <w:sz w:val="20"/>
                <w:szCs w:val="20"/>
              </w:rPr>
            </w:pPr>
            <w:r>
              <w:rPr>
                <w:rFonts w:ascii="Times New Roman" w:hAnsi="Times New Roman"/>
                <w:noProof/>
                <w:color w:val="006100"/>
                <w:sz w:val="20"/>
                <w:szCs w:val="20"/>
              </w:rPr>
              <w:t xml:space="preserve"> </w:t>
            </w:r>
          </w:p>
        </w:tc>
      </w:tr>
      <w:tr w:rsidR="009B5602">
        <w:trPr>
          <w:trHeight w:val="109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16</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16 – Boj proti korupciji in pranju denarja – Naložba 4: Krepitev </w:t>
            </w:r>
            <w:r>
              <w:rPr>
                <w:rFonts w:ascii="Times New Roman" w:hAnsi="Times New Roman"/>
                <w:noProof/>
                <w:color w:val="006100"/>
                <w:sz w:val="20"/>
                <w:szCs w:val="20"/>
              </w:rPr>
              <w:t>upravne zmogljivosti na različnih ravneh upravljanja – Vzpostavitev skupnih storitvenih centrov</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 xml:space="preserve">Cilj </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Vzpostavitev skupnih storitvenih centrov.</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2024</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Od splošnega cilja, da se do Q4/2024 ustanovi 22 skupnih storitvenih centrov v regijah, ki najb</w:t>
            </w:r>
            <w:r>
              <w:rPr>
                <w:rFonts w:ascii="Times New Roman" w:hAnsi="Times New Roman"/>
                <w:noProof/>
                <w:color w:val="006100"/>
                <w:sz w:val="20"/>
                <w:szCs w:val="20"/>
              </w:rPr>
              <w:t>olj zaostajajo v razvoju, se ustanovi vsaj 20 skupnih storitvenih centrov. Ti skupni storitveni centri pomagajo združiti zmogljivosti na lokalni ravni pri zagotavljanju osnovnih javnih (socialnih) storitev.</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r>
      <w:tr w:rsidR="009B5602">
        <w:trPr>
          <w:trHeight w:val="142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17</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16 – Boj proti korupciji in pranju </w:t>
            </w:r>
            <w:r>
              <w:rPr>
                <w:rFonts w:ascii="Times New Roman" w:hAnsi="Times New Roman"/>
                <w:noProof/>
                <w:color w:val="006100"/>
                <w:sz w:val="20"/>
                <w:szCs w:val="20"/>
              </w:rPr>
              <w:t>denarja – Naložba 4: Krepitev upravne zmogljivosti na različnih ravneh upravljanja – Vzpostavitev platforme za specializirano usposabljanje</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cilj</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Avtomatizirano specialistično usposabljanje za vse nove zaposlene za prvi stik</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100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single" w:sz="8" w:space="0" w:color="auto"/>
              <w:left w:val="nil"/>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color w:val="006100"/>
                <w:sz w:val="20"/>
                <w:szCs w:val="20"/>
              </w:rPr>
              <w:t>2026</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color w:val="006100"/>
                <w:sz w:val="20"/>
                <w:szCs w:val="20"/>
              </w:rPr>
              <w:t>Vse na novo z</w:t>
            </w:r>
            <w:r>
              <w:rPr>
                <w:rFonts w:ascii="Times New Roman" w:hAnsi="Times New Roman"/>
                <w:noProof/>
                <w:color w:val="006100"/>
                <w:sz w:val="20"/>
                <w:szCs w:val="20"/>
              </w:rPr>
              <w:t>aposleno in premeščeno osebje, zaposleno na prvi stopnji, bo deležno usposabljanja, da se izboljša zagotavljanje javnih storitev. To vključuje več korakov: Vzpostavitev učne platforme in vsebine do Q2/2022. Začetek usposabljanja pilotov do Q4/2022. Vso ose</w:t>
            </w:r>
            <w:r>
              <w:rPr>
                <w:rFonts w:ascii="Times New Roman" w:hAnsi="Times New Roman"/>
                <w:noProof/>
                <w:color w:val="006100"/>
                <w:sz w:val="20"/>
                <w:szCs w:val="20"/>
              </w:rPr>
              <w:t>bje prvih kontaktnih točk se udeleži ustreznega usposabljanja v Q2/2026.</w:t>
            </w:r>
          </w:p>
        </w:tc>
      </w:tr>
    </w:tbl>
    <w:p w:rsidR="009B5602" w:rsidRDefault="009B5602">
      <w:pPr>
        <w:spacing w:before="120" w:after="120" w:line="240" w:lineRule="auto"/>
        <w:ind w:left="850"/>
        <w:jc w:val="both"/>
        <w:rPr>
          <w:rFonts w:ascii="Times New Roman" w:hAnsi="Times New Roman"/>
          <w:b/>
          <w:bCs/>
          <w:noProof/>
          <w:sz w:val="24"/>
          <w:szCs w:val="24"/>
          <w:u w:val="single"/>
        </w:rPr>
      </w:pPr>
    </w:p>
    <w:p w:rsidR="009B5602" w:rsidRDefault="009B5602">
      <w:pPr>
        <w:spacing w:before="120" w:after="120" w:line="240" w:lineRule="auto"/>
        <w:ind w:left="850"/>
        <w:jc w:val="both"/>
        <w:rPr>
          <w:rFonts w:ascii="Times New Roman" w:hAnsi="Times New Roman"/>
          <w:b/>
          <w:bCs/>
          <w:noProof/>
          <w:sz w:val="24"/>
          <w:szCs w:val="24"/>
          <w:u w:val="single"/>
        </w:rPr>
      </w:pPr>
    </w:p>
    <w:p w:rsidR="009B5602" w:rsidRDefault="009B5602">
      <w:pPr>
        <w:spacing w:before="120" w:after="120" w:line="240" w:lineRule="auto"/>
        <w:ind w:left="850"/>
        <w:jc w:val="both"/>
        <w:rPr>
          <w:rFonts w:ascii="Times New Roman" w:hAnsi="Times New Roman"/>
          <w:i/>
          <w:iCs/>
          <w:noProof/>
          <w:color w:val="4F81BD"/>
          <w:sz w:val="24"/>
        </w:rPr>
      </w:pPr>
    </w:p>
    <w:p w:rsidR="009B5602" w:rsidRPr="00886830" w:rsidRDefault="009B5602">
      <w:pPr>
        <w:spacing w:before="120" w:after="120" w:line="240" w:lineRule="auto"/>
        <w:jc w:val="both"/>
        <w:rPr>
          <w:rFonts w:ascii="Times New Roman" w:hAnsi="Times New Roman"/>
          <w:noProof/>
          <w:sz w:val="24"/>
        </w:rPr>
        <w:sectPr w:rsidR="009B5602" w:rsidRPr="00886830">
          <w:headerReference w:type="even" r:id="rId204"/>
          <w:headerReference w:type="default" r:id="rId205"/>
          <w:footerReference w:type="even" r:id="rId206"/>
          <w:footerReference w:type="default" r:id="rId207"/>
          <w:headerReference w:type="first" r:id="rId208"/>
          <w:footerReference w:type="first" r:id="rId209"/>
          <w:pgSz w:w="16839" w:h="11907" w:orient="landscape"/>
          <w:pgMar w:top="851" w:right="1134" w:bottom="1418" w:left="1134" w:header="709" w:footer="709" w:gutter="0"/>
          <w:cols w:space="720"/>
          <w:docGrid w:linePitch="360"/>
        </w:sectPr>
      </w:pPr>
    </w:p>
    <w:p w:rsidR="009B5602" w:rsidRDefault="00886830">
      <w:pPr>
        <w:keepNext/>
        <w:tabs>
          <w:tab w:val="left" w:pos="1276"/>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KOMPONENTA 17: DIGITALNA SLOVAŠKA (STORITVE E-UPRAVE ZA MOBILNE NAPRAVE, KIBERNETSKA VARNOST, HITRI INTERNET ZA VSE, DIGITALNO GOSPODARSTVO)  </w:t>
      </w:r>
    </w:p>
    <w:p w:rsidR="009B5602" w:rsidRDefault="009B5602">
      <w:pPr>
        <w:spacing w:before="120" w:after="120" w:line="240" w:lineRule="auto"/>
        <w:jc w:val="both"/>
        <w:rPr>
          <w:rFonts w:ascii="Times New Roman" w:hAnsi="Times New Roman"/>
          <w:b/>
          <w:noProof/>
          <w:sz w:val="24"/>
          <w:u w:val="single"/>
        </w:rPr>
      </w:pP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Cilj te komponente slovaškega načrta za okrevanje in odpornost je doseči znaten napredek Slovaške v smeri digita</w:t>
      </w:r>
      <w:r>
        <w:rPr>
          <w:rFonts w:ascii="Times New Roman" w:hAnsi="Times New Roman"/>
          <w:noProof/>
          <w:sz w:val="24"/>
          <w:szCs w:val="24"/>
        </w:rPr>
        <w:t>lno pripravljene družbe in gospodarstva. Ta cilj se doseže z ukrepi za digitalizacijo javne uprave in zagotavljanja javnih storitev, izboljšanje kibernetske varnosti s standardiziranimi pristopi za preprečevanje in reševanje incidentov v vseh subjektih jav</w:t>
      </w:r>
      <w:r>
        <w:rPr>
          <w:rFonts w:ascii="Times New Roman" w:hAnsi="Times New Roman"/>
          <w:noProof/>
          <w:sz w:val="24"/>
          <w:szCs w:val="24"/>
        </w:rPr>
        <w:t>ne uprave, krovno strategijo za digitalna znanja in spretnosti ter podporo večdržavnim projektom in naložbam EU v raziskave in uporabo vrhunskih digitalnih tehnologij. Poleg tega komponenta predstavlja ukrepe za digitalno povezljivost, ki jih nameravajo or</w:t>
      </w:r>
      <w:r>
        <w:rPr>
          <w:rFonts w:ascii="Times New Roman" w:hAnsi="Times New Roman"/>
          <w:noProof/>
          <w:sz w:val="24"/>
          <w:szCs w:val="24"/>
        </w:rPr>
        <w:t xml:space="preserve">gani financirati iz skladov kohezijske politike.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Pričakuje se, da noben ukrep v tej komponenti ne bo znatno škodoval okoljskim ciljem v smislu člena 17 Uredbe (EU) 2020/852, ob upoštevanju opisa ukrepov in ukrepov za ublažitev, določenih v načrtu za okrev</w:t>
      </w:r>
      <w:r>
        <w:rPr>
          <w:rFonts w:ascii="Times New Roman" w:hAnsi="Times New Roman"/>
          <w:noProof/>
          <w:sz w:val="24"/>
          <w:szCs w:val="24"/>
        </w:rPr>
        <w:t xml:space="preserve">anje in odpornost v skladu s tehničnimi smernicami za uporabo načela, da se ne škoduje bistveno (2021/C58/01).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Ukrepi v tej komponenti prispevajo k obravnavi priporočil za posamezne države, naslovljenih na Slovaško, zlasti v zvezi z digitalnimi spretnost</w:t>
      </w:r>
      <w:r>
        <w:rPr>
          <w:rFonts w:ascii="Times New Roman" w:hAnsi="Times New Roman"/>
          <w:noProof/>
          <w:sz w:val="24"/>
        </w:rPr>
        <w:t xml:space="preserve">mi in znanji (priporočilo za posamezno državo št. 2 iz leta 2020), digitalno preobrazbo (priporočilo za posamezno državo št. 3 iz leta 2020), poslovnim okoljem in kakovostjo javnih storitev (priporočilo za posamezno državo št. 4 iz leta 2020), raziskavami </w:t>
      </w:r>
      <w:r>
        <w:rPr>
          <w:rFonts w:ascii="Times New Roman" w:hAnsi="Times New Roman"/>
          <w:noProof/>
          <w:sz w:val="24"/>
        </w:rPr>
        <w:t>in inovacijami (priporočilo za posamezno državo št. 3 iz leta 2019) ter konkurenčnostjo MSP (priporočilo za posamezno državo št. 3 iz leta 2019).</w:t>
      </w:r>
    </w:p>
    <w:p w:rsidR="009B5602" w:rsidRDefault="009B5602">
      <w:pPr>
        <w:spacing w:before="120" w:after="120" w:line="240" w:lineRule="auto"/>
        <w:jc w:val="both"/>
        <w:rPr>
          <w:rFonts w:ascii="Times New Roman" w:hAnsi="Times New Roman"/>
          <w:noProof/>
          <w:sz w:val="24"/>
        </w:rPr>
      </w:pPr>
    </w:p>
    <w:p w:rsidR="009B5602" w:rsidRDefault="00886830">
      <w:pPr>
        <w:spacing w:before="120" w:after="120" w:line="240" w:lineRule="auto"/>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Opis reform in naložb za nepovratno finančno podporo</w:t>
      </w:r>
    </w:p>
    <w:p w:rsidR="009B5602" w:rsidRDefault="009B5602">
      <w:pPr>
        <w:spacing w:before="120" w:after="120" w:line="240" w:lineRule="auto"/>
        <w:jc w:val="both"/>
        <w:rPr>
          <w:rFonts w:ascii="Times New Roman" w:hAnsi="Times New Roman"/>
          <w:noProof/>
          <w:sz w:val="24"/>
        </w:rPr>
      </w:pP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Reforma 1: Oblikovanje rešitev e-uprave za prednos</w:t>
      </w:r>
      <w:r>
        <w:rPr>
          <w:rFonts w:ascii="Times New Roman" w:hAnsi="Times New Roman"/>
          <w:b/>
          <w:noProof/>
          <w:sz w:val="24"/>
        </w:rPr>
        <w:t xml:space="preserve">tne življenjske razmere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Na podlagi te reforme bo Ministrstvo za naložbe, regionalni razvoj in informatiko pripravilo in sprejelo naložbeni načrt za prednostne „življenjske razmere“ državljanov in podjetij. Cilj je državljanom in podjetjem omogočiti, da takšne življenjske razmere </w:t>
      </w:r>
      <w:r>
        <w:rPr>
          <w:rFonts w:ascii="Times New Roman" w:hAnsi="Times New Roman"/>
          <w:noProof/>
          <w:sz w:val="24"/>
        </w:rPr>
        <w:t xml:space="preserve">na enem mestu rešijo na upravni ravni hitro in enostavno.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V naložbenem načrtu je opredeljenih 16 prednostnih življenjskih situacij, opisano trenutno in prihodnje stanje procesov ter navedeni naložbeni ukrepi, ki jih je treba izvesti v upravnih subjektih i</w:t>
      </w:r>
      <w:r>
        <w:rPr>
          <w:rFonts w:ascii="Times New Roman" w:hAnsi="Times New Roman"/>
          <w:noProof/>
          <w:sz w:val="24"/>
        </w:rPr>
        <w:t xml:space="preserve">n njihovih informacijskih sistemih. Prednostne življenjske razmere se izberejo v skladu s seznamom življenjskih razmer, ki se spremljajo z referenčnim merilom eGov, in ob upoštevanju življenjskih razmer iz Priloge II k uredbi o enotnem digitalnem portalu.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bo privedla do uvedbe svežnja zakonodajnih sprememb za uvedbo novih digitalnih javnih storitev na enotnem oblikovanju.</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se izvede do 31. decembra 2023.</w:t>
      </w:r>
    </w:p>
    <w:p w:rsidR="009B5602" w:rsidRDefault="00886830">
      <w:pPr>
        <w:spacing w:before="120" w:after="120" w:line="240" w:lineRule="auto"/>
        <w:jc w:val="both"/>
        <w:rPr>
          <w:rFonts w:ascii="Times New Roman" w:eastAsia="Times New Roman" w:hAnsi="Times New Roman" w:cs="Calibri"/>
          <w:b/>
          <w:noProof/>
          <w:sz w:val="24"/>
        </w:rPr>
      </w:pPr>
      <w:r>
        <w:rPr>
          <w:rFonts w:ascii="Times New Roman" w:hAnsi="Times New Roman"/>
          <w:b/>
          <w:noProof/>
          <w:sz w:val="24"/>
        </w:rPr>
        <w:t>Reforma 2: Centralno upravljanje virov IT</w:t>
      </w:r>
    </w:p>
    <w:p w:rsidR="009B5602" w:rsidRDefault="00886830">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V okviru te reforme se vzpostavi osrednja plat</w:t>
      </w:r>
      <w:r>
        <w:rPr>
          <w:rFonts w:ascii="Times New Roman" w:hAnsi="Times New Roman"/>
          <w:noProof/>
          <w:sz w:val="24"/>
        </w:rPr>
        <w:t>forma za javna naročila za nakup in uporabo virov IT. Ta sredstva se nato dajo na voljo za razvoj informacijskih sistemov v javni upravi z glavnim ciljem skrajšanja časa in stroškov takšnega razvoja.</w:t>
      </w:r>
    </w:p>
    <w:p w:rsidR="009B5602" w:rsidRDefault="00886830">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Sredstva IT se nabavljajo centralno prek okvirne pogodbe</w:t>
      </w:r>
      <w:r>
        <w:rPr>
          <w:rFonts w:ascii="Times New Roman" w:hAnsi="Times New Roman"/>
          <w:noProof/>
          <w:sz w:val="24"/>
        </w:rPr>
        <w:t xml:space="preserve">, subjekti javne uprave pa imajo pravico, da jih črpajo prek osrednje platforme, tj. digitalnega trga. Zmanjšanje stroškov se doseže z učinkovitejšim nakupom in dodeljevanjem zmogljivosti IT. </w:t>
      </w:r>
    </w:p>
    <w:p w:rsidR="009B5602" w:rsidRDefault="00886830">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 xml:space="preserve">Platforma se uvede v dveh korakih: </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 xml:space="preserve">Prvič, za vire IT se oblikuje katalog na podlagi jasnih pogojev za upravičenost, pod katerimi se viri lahko zabeležijo v katalog. Upoštevajo se varnost sistemov, zahteve referenčne arhitekture ter kakovost storitev in blaga. </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Drugič, nabavo teh sredstev za</w:t>
      </w:r>
      <w:r>
        <w:rPr>
          <w:rFonts w:ascii="Times New Roman" w:hAnsi="Times New Roman"/>
          <w:noProof/>
          <w:sz w:val="24"/>
        </w:rPr>
        <w:t>ključi MIRRI, da se dajo na voljo uporabnikom v potrebni kakovosti in količini.</w:t>
      </w:r>
    </w:p>
    <w:p w:rsidR="009B5602" w:rsidRDefault="00886830">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Platforma zagotavlja funkcijo ocenjevanja vrednosti naložb v informacijsko tehnologijo s spremljanjem stroškov, vpisov, transakcij in donosov.</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se izvede do 31. decembra</w:t>
      </w:r>
      <w:r>
        <w:rPr>
          <w:rFonts w:ascii="Times New Roman" w:hAnsi="Times New Roman"/>
          <w:noProof/>
          <w:sz w:val="24"/>
        </w:rPr>
        <w:t xml:space="preserve"> 2023.</w:t>
      </w:r>
    </w:p>
    <w:p w:rsidR="009B5602" w:rsidRDefault="00886830">
      <w:pPr>
        <w:spacing w:before="120" w:after="120" w:line="240" w:lineRule="auto"/>
        <w:jc w:val="both"/>
        <w:rPr>
          <w:rFonts w:ascii="Times New Roman" w:eastAsia="Times New Roman" w:hAnsi="Times New Roman" w:cs="Calibri"/>
          <w:b/>
          <w:noProof/>
          <w:sz w:val="24"/>
        </w:rPr>
      </w:pPr>
      <w:r>
        <w:rPr>
          <w:rFonts w:ascii="Times New Roman" w:hAnsi="Times New Roman"/>
          <w:b/>
          <w:noProof/>
          <w:sz w:val="24"/>
        </w:rPr>
        <w:t>Naložba 1: Boljše storitve za državljane in podjetja</w:t>
      </w:r>
    </w:p>
    <w:p w:rsidR="009B5602" w:rsidRDefault="00886830">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V neposredni povezavi z reformo 1 te komponente (oblikovanje rešitev e-uprave za prednostne življenjske razmere) ta naložba vključuje uporabo celostnih rešitev e-uprave za 16 prednostnih življenjs</w:t>
      </w:r>
      <w:r>
        <w:rPr>
          <w:rFonts w:ascii="Times New Roman" w:hAnsi="Times New Roman"/>
          <w:noProof/>
          <w:sz w:val="24"/>
        </w:rPr>
        <w:t>kih razmer. Rešitve se razvijejo z uporabo skupne platforme orodij IT, potrebnih za vzpostavitev in zagotavljanje razumljivih in uporabniku prijaznih digitalnih storitev, ki zajemajo celovitost postopka v zvezi z življenjskimi razmerami.</w:t>
      </w:r>
      <w:r>
        <w:rPr>
          <w:noProof/>
          <w:color w:val="006100"/>
          <w:sz w:val="15"/>
          <w:szCs w:val="15"/>
        </w:rPr>
        <w:t xml:space="preserve"> </w:t>
      </w:r>
    </w:p>
    <w:p w:rsidR="009B5602" w:rsidRDefault="00886830">
      <w:pPr>
        <w:spacing w:before="120" w:after="120" w:line="240" w:lineRule="auto"/>
        <w:jc w:val="both"/>
        <w:rPr>
          <w:rFonts w:ascii="Times New Roman" w:eastAsia="Times New Roman" w:hAnsi="Times New Roman"/>
          <w:noProof/>
          <w:sz w:val="24"/>
        </w:rPr>
      </w:pPr>
      <w:r>
        <w:rPr>
          <w:rFonts w:ascii="Times New Roman" w:hAnsi="Times New Roman"/>
          <w:noProof/>
          <w:sz w:val="24"/>
        </w:rPr>
        <w:t>Naložbe so v obli</w:t>
      </w:r>
      <w:r>
        <w:rPr>
          <w:rFonts w:ascii="Times New Roman" w:hAnsi="Times New Roman"/>
          <w:noProof/>
          <w:sz w:val="24"/>
        </w:rPr>
        <w:t>ki projektov, ki temeljijo na povpraševanju in zagotavljajo celovito upravno rešitev za življenjske razmere z največjimi koristmi. Rešitve vključujejo enotne funkcije iskanja, enotno točko za izvajanje storitev, mobilno različico, enotno zasnovo in jasno n</w:t>
      </w:r>
      <w:r>
        <w:rPr>
          <w:rFonts w:ascii="Times New Roman" w:hAnsi="Times New Roman"/>
          <w:noProof/>
          <w:sz w:val="24"/>
        </w:rPr>
        <w:t>avigacijo, nemoten prehod skozi življenjske razmere, pregled stanja zahtevkov in obvestil o statusu ter spletna plačila. Projekt vključuje tudi vključitev rešitev v osrednji portal javne uprave, preoblikovanje temeljnih upravnih postopkov, nadgradnjo siste</w:t>
      </w:r>
      <w:r>
        <w:rPr>
          <w:rFonts w:ascii="Times New Roman" w:hAnsi="Times New Roman"/>
          <w:noProof/>
          <w:sz w:val="24"/>
        </w:rPr>
        <w:t xml:space="preserve">mov dnevnega reda in povezavo z osrednjo vmesno programsko opremo ter osrednjo zaledje.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30. junija 2026.</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Naložba 2: Digitalna preobrazba opravljanja javnih storitev</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Ta naložba bo skrajšala trajanje dokončanja javnih storitev z optimiz</w:t>
      </w:r>
      <w:r>
        <w:rPr>
          <w:rFonts w:ascii="Times New Roman" w:hAnsi="Times New Roman"/>
          <w:noProof/>
          <w:sz w:val="24"/>
        </w:rPr>
        <w:t>acijo in avtomatizacijo upravnih postopkov. Naložba bo preoblikovala 42 oddelkov javne uprave z uvedbo popolnoma funkcionalne digitalizirane različice.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Naložbe so v obliki projektov, ki temeljijo na povpraševanju, za preoblikovanje postopkov uprav z največ</w:t>
      </w:r>
      <w:r>
        <w:rPr>
          <w:rFonts w:ascii="Times New Roman" w:hAnsi="Times New Roman"/>
          <w:noProof/>
          <w:sz w:val="24"/>
        </w:rPr>
        <w:t>jim potencialom za izboljšanje kakovosti ali prihranke. Prihranki se dosežejo z zmanjšanjem operativnih stroškov, postopkovnih napak, rokov za dokončanje ali zahtev glede človeških virov. Izboljšanje kakovosti postopkov in zmanjšanje stroškov se po potrebi</w:t>
      </w:r>
      <w:r>
        <w:rPr>
          <w:rFonts w:ascii="Times New Roman" w:hAnsi="Times New Roman"/>
          <w:noProof/>
          <w:sz w:val="24"/>
        </w:rPr>
        <w:t xml:space="preserve"> doseže z optimizacijo ustrezne zakonodaje ali spremembo organizacije dejavnosti in postopkov.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30. junija 2026.</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Reforma 3: Upravljanje digitalne preobrazbe gospodarstva in družbe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S to reformo se z vključitvijo pristojnih organov na ra</w:t>
      </w:r>
      <w:r>
        <w:rPr>
          <w:rFonts w:ascii="Times New Roman" w:hAnsi="Times New Roman"/>
          <w:noProof/>
          <w:sz w:val="24"/>
        </w:rPr>
        <w:t>zličnih ravneh uvede nova struktura upravljanja za reforme in naložbe v digitalno gospodarstvo. Na politični ravni vladni svet za digitalizacijo javne uprave in enotni digitalni trg kot svetovalni, usklajevalni in pobudni organ vlade v zvezi z vprašanji, p</w:t>
      </w:r>
      <w:r>
        <w:rPr>
          <w:rFonts w:ascii="Times New Roman" w:hAnsi="Times New Roman"/>
          <w:noProof/>
          <w:sz w:val="24"/>
        </w:rPr>
        <w:t>ovezanimi z digitalizacijo, spremlja izvajanje in uresničevanje reform in projektov na področju digitalnega gospodarstva. Oddelek za digitalno agendo MIRRI si na delovni ravni prizadeva zagotoviti izvajanje reform in naložb ter doseganje določenih mejnikov</w:t>
      </w:r>
      <w:r>
        <w:rPr>
          <w:rFonts w:ascii="Times New Roman" w:hAnsi="Times New Roman"/>
          <w:noProof/>
          <w:sz w:val="24"/>
        </w:rPr>
        <w:t xml:space="preserve"> in ciljev. Na ravni ocenjevanja analitična enota MIRRI zagotovi tematsko skladnost ukrepov s prednostnimi nalogami strateških politik/dokumentov (RIS3, SACI, Strategija digitalne preobrazbe Slovaške 2030). Na ravni posvetovanja Delovna skupina za digitaln</w:t>
      </w:r>
      <w:r>
        <w:rPr>
          <w:rFonts w:ascii="Times New Roman" w:hAnsi="Times New Roman"/>
          <w:noProof/>
          <w:sz w:val="24"/>
        </w:rPr>
        <w:t xml:space="preserve">o preobrazbo Slovaške pomaga oddelku za digitalno agendo MIRRI pri izvajanju reform in naložb v digitalno gospodarstvo.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V okviru te reforme bo MIRRI sprejel nov strateški dokument – akcijski načrt za digitalno preobrazbo Slovaške za obdobje 2023–2026.</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w:t>
      </w:r>
      <w:r>
        <w:rPr>
          <w:rFonts w:ascii="Times New Roman" w:hAnsi="Times New Roman"/>
          <w:noProof/>
          <w:sz w:val="24"/>
        </w:rPr>
        <w:t>orma se izvede do 30. junija 2026.</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Naložba 3: Sodelovanje v večdržavnih evropskih projektih, povezanih z digitalnim gospodarstvom</w:t>
      </w:r>
    </w:p>
    <w:p w:rsidR="009B5602" w:rsidRDefault="00886830">
      <w:pPr>
        <w:spacing w:before="120" w:after="120" w:line="240" w:lineRule="auto"/>
        <w:jc w:val="both"/>
        <w:rPr>
          <w:rFonts w:ascii="Times New Roman" w:hAnsi="Times New Roman"/>
          <w:bCs/>
          <w:noProof/>
          <w:sz w:val="24"/>
        </w:rPr>
      </w:pPr>
      <w:r>
        <w:rPr>
          <w:rFonts w:ascii="Times New Roman" w:hAnsi="Times New Roman"/>
          <w:noProof/>
          <w:sz w:val="24"/>
        </w:rPr>
        <w:t>Ta naložba podpira sodelovanje Slovaške v evropskih večdržavnih projektih.</w:t>
      </w:r>
      <w:r>
        <w:rPr>
          <w:rFonts w:ascii="Times New Roman" w:hAnsi="Times New Roman"/>
          <w:bCs/>
          <w:noProof/>
          <w:sz w:val="24"/>
        </w:rPr>
        <w:t xml:space="preserve"> Predhodni seznam pobud je bil pripravljen na podlagi posvetovanj s strokovnjaki, predpogojev in pripravljenosti projektov.  Slovaška namerava pridobiti financiranje za nekatere od teh projektov iz drugih virov, zlasti iz neposredno upravljanih programov E</w:t>
      </w:r>
      <w:r>
        <w:rPr>
          <w:rFonts w:ascii="Times New Roman" w:hAnsi="Times New Roman"/>
          <w:bCs/>
          <w:noProof/>
          <w:sz w:val="24"/>
        </w:rPr>
        <w:t xml:space="preserve">U (digitalna Evropa, instrument za povezovanje Evrope, Obzorje Evropa).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vodi v naslednje projekte:</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 xml:space="preserve">vzpostavitev mreže evropskih vozlišč za digitalne inovacije (EDIH) in vozlišč za digitalne inovacije (DIH) za podporo digitalizaciji slovaških MSP; </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 xml:space="preserve">zagon superračunalnika za nacionalni center za superračunalništvo; </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sodelovanje v dveh drugih večdržavnih evropskih projektih, ki ju je treba opredeliti na podlagi vnaprej pripravljenega seznama večdržavnih projektov, ki jih predlaga Evropska komisija.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Za</w:t>
      </w:r>
      <w:r>
        <w:rPr>
          <w:rFonts w:ascii="Times New Roman" w:hAnsi="Times New Roman"/>
          <w:noProof/>
          <w:sz w:val="24"/>
        </w:rPr>
        <w:t>dnji mejnik naložbe se zaključi do 31. decembra 2024. Podpora tem projektom se nadaljuje tudi po tem roku, in sicer v okviru izvajanja RRP.</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Naložba 4: Podpora projektom, namenjenim razvoju in uporabi vrhunskih digitalnih tehnologij</w:t>
      </w:r>
    </w:p>
    <w:p w:rsidR="009B5602" w:rsidRDefault="00886830">
      <w:pPr>
        <w:spacing w:before="120" w:after="120" w:line="240" w:lineRule="auto"/>
        <w:jc w:val="both"/>
        <w:rPr>
          <w:rFonts w:ascii="Times New Roman" w:eastAsia="Arial Narrow" w:hAnsi="Times New Roman" w:cs="Arial Narrow"/>
          <w:noProof/>
          <w:sz w:val="24"/>
        </w:rPr>
      </w:pPr>
      <w:r>
        <w:rPr>
          <w:rFonts w:ascii="Times New Roman" w:hAnsi="Times New Roman"/>
          <w:noProof/>
          <w:sz w:val="24"/>
        </w:rPr>
        <w:t>Cilj te naložbe je oblik</w:t>
      </w:r>
      <w:r>
        <w:rPr>
          <w:rFonts w:ascii="Times New Roman" w:hAnsi="Times New Roman"/>
          <w:noProof/>
          <w:sz w:val="24"/>
        </w:rPr>
        <w:t>ovati shemo podpore za raziskave, razvoj in uporabo naprednih digitalnih tehnologij s strani podjetij, vključno z MSP, raziskovalnimi inštituti in subjekti javne uprave. Podpora se dodeli uspešnim slovaškim projektom v okviru neposredno upravljanih program</w:t>
      </w:r>
      <w:r>
        <w:rPr>
          <w:rFonts w:ascii="Times New Roman" w:hAnsi="Times New Roman"/>
          <w:noProof/>
          <w:sz w:val="24"/>
        </w:rPr>
        <w:t>ov, izbranim projektom IPCEI ali projektom, ki pridobijo pečat odličnosti, v skladu z veljavnimi pravili o financiranju s sredstvi EU. Poleg tega se lahko podpora dodeli tudi projektom, izbranim na nacionalni ravni. Poleg raziskovalnih, razvojnih in uporab</w:t>
      </w:r>
      <w:r>
        <w:rPr>
          <w:rFonts w:ascii="Times New Roman" w:hAnsi="Times New Roman"/>
          <w:noProof/>
          <w:sz w:val="24"/>
        </w:rPr>
        <w:t>niških projektov se lahko podpora dodeli tudi tehnološkim ustanovam, strokovnim centrom, zasebnim podjetjem in platformam v skladu s pravili o državni pomoči.</w:t>
      </w:r>
    </w:p>
    <w:p w:rsidR="009B5602" w:rsidRDefault="00886830">
      <w:pPr>
        <w:spacing w:before="120" w:after="120" w:line="240" w:lineRule="auto"/>
        <w:jc w:val="both"/>
        <w:rPr>
          <w:rFonts w:ascii="Times New Roman" w:eastAsia="Arial Narrow" w:hAnsi="Times New Roman" w:cs="Arial Narrow"/>
          <w:noProof/>
          <w:sz w:val="24"/>
        </w:rPr>
      </w:pPr>
      <w:r>
        <w:rPr>
          <w:rFonts w:ascii="Times New Roman" w:hAnsi="Times New Roman"/>
          <w:noProof/>
          <w:sz w:val="24"/>
        </w:rPr>
        <w:t xml:space="preserve">Naložbe so osredotočene na: </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 xml:space="preserve">podporo raziskovalnim, razvojnim in inovacijskim projektom s </w:t>
      </w:r>
      <w:r>
        <w:rPr>
          <w:rFonts w:ascii="Times New Roman" w:hAnsi="Times New Roman"/>
          <w:noProof/>
          <w:sz w:val="24"/>
        </w:rPr>
        <w:t>stopnjami tehnološke pripravljenosti 5 do 8,</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podporo za vzpostavitev testne in eksperimentalne infrastrukture,</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podporo sodelovanju v inovativnih projektih na evropski in mednarodni ravni,</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podporo platformam in strokovnim centrom pri njihovih dejavnostih oz</w:t>
      </w:r>
      <w:r>
        <w:rPr>
          <w:rFonts w:ascii="Times New Roman" w:hAnsi="Times New Roman"/>
          <w:noProof/>
          <w:sz w:val="24"/>
        </w:rPr>
        <w:t>aveščanja in usposabljanja, namenjenih digitalnim spretnostim in kompetencam.</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30. junija 2026.</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 xml:space="preserve">Naložba 5: Hitra nepovratna sredstva – hekatoni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Cilj je oblikovati orodje za spodbujanje inovativnih rešitev za prožno in hitro reševanje s</w:t>
      </w:r>
      <w:r>
        <w:rPr>
          <w:rFonts w:ascii="Times New Roman" w:hAnsi="Times New Roman"/>
          <w:noProof/>
          <w:sz w:val="24"/>
        </w:rPr>
        <w:t>edanjih družbenih izzivov. To se doseže z organiziranjem hekatonov, ki vključuje zagonska podjetja, druga podjetja, raziskovalne ustanove, univerze in njihove študente ter druge strokovnjake.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uporabi za organizacijo 20 hekatonov v petih letih. S</w:t>
      </w:r>
      <w:r>
        <w:rPr>
          <w:rFonts w:ascii="Times New Roman" w:hAnsi="Times New Roman"/>
          <w:noProof/>
          <w:sz w:val="24"/>
        </w:rPr>
        <w:t>troški vključujejo sredstva za zmagovalne ekipe, ki svoje rešitve ponudijo javni upravi ali širši javnosti.</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Organizator v sodelovanju s sodelujočimi organi javne uprave opredeli vrsto tem in težav, ki jih morajo obravnavati hekatoni.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Naložba se izvede do </w:t>
      </w:r>
      <w:r>
        <w:rPr>
          <w:rFonts w:ascii="Times New Roman" w:hAnsi="Times New Roman"/>
          <w:noProof/>
          <w:sz w:val="24"/>
        </w:rPr>
        <w:t>30. junija 2026.</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Reforma 4: Standardizacija tehničnih in postopkovnih rešitev kibernetske varnosti (ITVS – Informacijske tehnologije za javno upravo)</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Sedanje zahteve glede kibernetske varnosti v javni upravi se razlikujejo glede njihove priprave, kakovosti</w:t>
      </w:r>
      <w:r>
        <w:rPr>
          <w:rFonts w:ascii="Times New Roman" w:hAnsi="Times New Roman"/>
          <w:noProof/>
          <w:sz w:val="24"/>
        </w:rPr>
        <w:t xml:space="preserve"> in jasnosti. Individualizirane rešitve za kibernetsko varnost povzročajo višje skupne stroške in dvoumnosti za številne ponudnike storitev. Poleg tega so veljavne metodološke smernice za kibernetsko varnost zastarele in ne ustrezajo svojemu namenu v hitro</w:t>
      </w:r>
      <w:r>
        <w:rPr>
          <w:rFonts w:ascii="Times New Roman" w:hAnsi="Times New Roman"/>
          <w:noProof/>
          <w:sz w:val="24"/>
        </w:rPr>
        <w:t xml:space="preserve"> spreminjajočem se okolju kibernetskih groženj. Cilj te reforme je posodobiti veljavne zahteve glede kibernetske varnosti in povečati standardizacijo rešitev za vse subjekte javne uprave.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zlasti vodi k razvoju enotnega metodološkega okvira za kibe</w:t>
      </w:r>
      <w:r>
        <w:rPr>
          <w:rFonts w:ascii="Times New Roman" w:hAnsi="Times New Roman"/>
          <w:noProof/>
          <w:sz w:val="24"/>
        </w:rPr>
        <w:t>rnetsko varnost; oblikovanje postopkovnih priročnikov za ocenjevanje kibernetske varnosti; vzpostavitev osrednje strokovne podpore za izvajanje ukrepov na področju kibernetske varnosti; opredelitev kategorij organizacij za namene kibernetske varnosti; opre</w:t>
      </w:r>
      <w:r>
        <w:rPr>
          <w:rFonts w:ascii="Times New Roman" w:hAnsi="Times New Roman"/>
          <w:noProof/>
          <w:sz w:val="24"/>
        </w:rPr>
        <w:t>delitev osnovnih zahtev za kibernetsko varnost v javni upravi.</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Nacionalni koncept za informatizacijo javne uprave (NKIVS) določa okvir standardizacije za zahteve glede kibernetske varnosti.</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se izvede do 31. decembra 2025.</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Reforma 5: Izboljšanje usp</w:t>
      </w:r>
      <w:r>
        <w:rPr>
          <w:rFonts w:ascii="Times New Roman" w:hAnsi="Times New Roman"/>
          <w:b/>
          <w:noProof/>
          <w:sz w:val="24"/>
        </w:rPr>
        <w:t>osabljanja, znanj in spretnosti na področju kibernetske varnosti (ITVS – Informacijske tehnologije za javno upravo)</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Splošna raven znanj in spretnosti na področju kibernetske varnosti v javni upravi ni zadostna. Cilj te reforme je uvesti sistematično vseživ</w:t>
      </w:r>
      <w:r>
        <w:rPr>
          <w:rFonts w:ascii="Times New Roman" w:hAnsi="Times New Roman"/>
          <w:noProof/>
          <w:sz w:val="24"/>
        </w:rPr>
        <w:t xml:space="preserve">ljenjsko učenje na področju kibernetske varnosti strokovnjakov za informacijsko tehnologijo v javni upravi.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Reforma:  </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 xml:space="preserve">vzpostavlja program ozaveščanja o kibernetski varnosti in usposabljanje za osebje javne uprave, vključno z dopolnilnim usposabljanjem </w:t>
      </w:r>
      <w:r>
        <w:rPr>
          <w:rFonts w:ascii="Times New Roman" w:hAnsi="Times New Roman"/>
          <w:noProof/>
          <w:sz w:val="24"/>
        </w:rPr>
        <w:t>strokovnjakov za kibernetsko varnost (kot vseživljenjsko učenje);</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ustanavlja vsaj 3 strokovne centre na področju kibernetske varnosti na univerzah, da bi imeli vlogo v izobraževanju in zagotavljanju strokovnega znanja javnemu in zasebnemu sektorju;</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podpira</w:t>
      </w:r>
      <w:r>
        <w:rPr>
          <w:rFonts w:ascii="Times New Roman" w:hAnsi="Times New Roman"/>
          <w:noProof/>
          <w:sz w:val="24"/>
        </w:rPr>
        <w:t xml:space="preserve"> mednarodno sodelovanje z ustreznimi mednarodnimi centri odličnosti na področju kibernetskih in hibridnih groženj;</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razvija metodologijo za vzpostavitev enot za kibernetsko varnost v subjektih javne uprave.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se izvede do 30. junija 2026.</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Naložba 6: K</w:t>
      </w:r>
      <w:r>
        <w:rPr>
          <w:rFonts w:ascii="Times New Roman" w:hAnsi="Times New Roman"/>
          <w:b/>
          <w:noProof/>
          <w:sz w:val="24"/>
        </w:rPr>
        <w:t>repitev preventivnih ukrepov, povečanje hitrosti odkrivanja in reševanja incidentov (ITVS – Informacijske tehnologije za javno upravo)</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Cilj tega ukrepa je razviti sistem zgodnjega odzivanja na področju kibernetske varnosti javne uprave. Spremlja projekte v okviru operativnega programa Integrirana infrastruktura.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Natančneje, naložba:</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vključuje nove tehnične in tehnološke rešitve sistema z</w:t>
      </w:r>
      <w:r>
        <w:rPr>
          <w:rFonts w:ascii="Times New Roman" w:hAnsi="Times New Roman"/>
          <w:noProof/>
          <w:sz w:val="24"/>
        </w:rPr>
        <w:t>godnjega odzivanja v infrastrukturo za obvladovanje kibernetskih incidentov;</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 xml:space="preserve">razvija okvir za redne poglobljene varnostne revizije, ocene ranljivosti in preskuse prodora v splošno strukturo kibernetske varnosti; </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 xml:space="preserve">dviguje raven opreme za tehnološko varnost </w:t>
      </w:r>
      <w:r>
        <w:rPr>
          <w:rFonts w:ascii="Times New Roman" w:hAnsi="Times New Roman"/>
          <w:noProof/>
          <w:sz w:val="24"/>
        </w:rPr>
        <w:t>naprav kritične infrastrukture;</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razvija kataloga groženj in metodologije za upravljanje kibernetske varnosti;</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 xml:space="preserve">razvija centraliziran pristop za izvajanje varnostnih popravkov.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V okviru preprečevanja se okrepi splošna raven kakovosti fizične in postopkovne </w:t>
      </w:r>
      <w:r>
        <w:rPr>
          <w:rFonts w:ascii="Times New Roman" w:hAnsi="Times New Roman"/>
          <w:noProof/>
          <w:sz w:val="24"/>
        </w:rPr>
        <w:t>varnosti kritične infrastrukture javne uprave. To se doseže z izboljšanjem varnosti procesov, obnovo in dokončanjem 72 zavarovanih prostorov za informacijske sisteme kritične infrastrukture.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Naložba se izvede do 30. junija 2026.</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Reforma 6: Strateški pristo</w:t>
      </w:r>
      <w:r>
        <w:rPr>
          <w:rFonts w:ascii="Times New Roman" w:hAnsi="Times New Roman"/>
          <w:b/>
          <w:noProof/>
          <w:sz w:val="24"/>
        </w:rPr>
        <w:t xml:space="preserve">p k izobraževanju o digitalnih znanjih in spretnostih v sodelovanju s predstavniki ključnih deležnikov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S to reformo se oblikuje usklajena nacionalna strategija za razvoj digitalnih znanj in spretnosti z vseživljenjskim učenjem, ki zajema ljudi v produktiv</w:t>
      </w:r>
      <w:r>
        <w:rPr>
          <w:rFonts w:ascii="Times New Roman" w:hAnsi="Times New Roman"/>
          <w:noProof/>
          <w:sz w:val="24"/>
        </w:rPr>
        <w:t xml:space="preserve">ni in postproduktivni dobi. Strategijo pripravi MIRRI v sodelovanju s pristojnimi ministrstvi in predstavniki ključnih zainteresiranih strani.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Strategija vključuje analizo stanja na področju digitalnih znanj in spretnosti na Slovaškem, opredelitev obstoje</w:t>
      </w:r>
      <w:r>
        <w:rPr>
          <w:rFonts w:ascii="Times New Roman" w:hAnsi="Times New Roman"/>
          <w:noProof/>
          <w:sz w:val="24"/>
        </w:rPr>
        <w:t xml:space="preserve">čih ovir za njihov razvoj, učno vizijo za naslednje obdobje ter priporočila za ukrepe, s katerimi naj bi javni organi izboljšali razmere in izpolnili cilje. Strategija predlaga tudi dolgoročno trajnostno financiranje in podporni sistem za digitalna znanja </w:t>
      </w:r>
      <w:r>
        <w:rPr>
          <w:rFonts w:ascii="Times New Roman" w:hAnsi="Times New Roman"/>
          <w:noProof/>
          <w:sz w:val="24"/>
        </w:rPr>
        <w:t>in spretnosti, hkrati pa si prizadeva ustvariti privlačno okolje za preprečevanje bega možganov ter privabljanje tujih strokovnjakov in raziskovalcev.</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se zaključi do 31. decembra 2022.</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Naložba 7: Izboljšanje digitalnih znanj in spretnosti starejših</w:t>
      </w:r>
      <w:r>
        <w:rPr>
          <w:rFonts w:ascii="Times New Roman" w:hAnsi="Times New Roman"/>
          <w:b/>
          <w:noProof/>
          <w:sz w:val="24"/>
        </w:rPr>
        <w:t xml:space="preserve"> ter zagotavljanje tablic za starejše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Delež ljudi v starosti 65–74 let z vsaj osnovnimi digitalnimi spretnostmi je le 11 % v primerjavi s povprečjem EU, ki znaša 24 %. Usposabljanje na področju digitalnih znanj in spretnosti na Slovaškem je močno odvisno o</w:t>
      </w:r>
      <w:r>
        <w:rPr>
          <w:rFonts w:ascii="Times New Roman" w:hAnsi="Times New Roman"/>
          <w:noProof/>
          <w:sz w:val="24"/>
        </w:rPr>
        <w:t>d programov učenja na delovnem mestu in/ali programov, ki jih financira delodajalec. Zato imajo ljudje v postproduktivni dobi in prikrajšani ljudje na splošno bolj omejen dostop do razvoja digitalnih znanj in spretnosti. Ta vrzel v znanjih in spretnostih j</w:t>
      </w:r>
      <w:r>
        <w:rPr>
          <w:rFonts w:ascii="Times New Roman" w:hAnsi="Times New Roman"/>
          <w:noProof/>
          <w:sz w:val="24"/>
        </w:rPr>
        <w:t>e bila zlasti problematična v obdobju COVID–19. Cilj te naložbe je obravnavati to vprašanje s ciljno usmerjenim programom usposabljanja na področju digitalnih znanj in spretnosti ter zagotavljanjem digitalne opreme vsaj 172 800 starejšim in prikrajšanim os</w:t>
      </w:r>
      <w:r>
        <w:rPr>
          <w:rFonts w:ascii="Times New Roman" w:hAnsi="Times New Roman"/>
          <w:noProof/>
          <w:sz w:val="24"/>
        </w:rPr>
        <w:t xml:space="preserve">ebam.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Naložbo sestavljajo:</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pilotni projekt za 1 000 oseb za oceno posebnih potreb in fiziološke ustreznosti tehnološke opreme (tablic ali alternativ) za starejše in prikrajšane osebe;</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usposabljanja za starejše in prikrajšane osebe v obliki osebnega in e-u</w:t>
      </w:r>
      <w:r>
        <w:rPr>
          <w:rFonts w:ascii="Times New Roman" w:hAnsi="Times New Roman"/>
          <w:noProof/>
          <w:sz w:val="24"/>
        </w:rPr>
        <w:t>čenja;</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razvoj specializiranih aplikacij z elementi dostopnosti;</w:t>
      </w:r>
    </w:p>
    <w:p w:rsidR="009B5602" w:rsidRDefault="00886830">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hAnsi="Times New Roman"/>
          <w:noProof/>
          <w:sz w:val="24"/>
        </w:rPr>
        <w:t xml:space="preserve">zagotavljanje subvencionirane tehnološke opreme (tablic ali alternativ) skupaj z boni za zagotavljanje dostopa do interneta.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Naložba se izvede do 30. junija 2026.</w:t>
      </w:r>
    </w:p>
    <w:p w:rsidR="009B5602" w:rsidRDefault="009B5602">
      <w:pPr>
        <w:spacing w:before="120" w:after="120" w:line="240" w:lineRule="auto"/>
        <w:ind w:left="1276"/>
        <w:jc w:val="both"/>
        <w:rPr>
          <w:rFonts w:ascii="Times New Roman" w:eastAsia="Times New Roman" w:hAnsi="Times New Roman"/>
          <w:b/>
          <w:bCs/>
          <w:noProof/>
          <w:sz w:val="24"/>
          <w:szCs w:val="24"/>
        </w:rPr>
      </w:pPr>
    </w:p>
    <w:p w:rsidR="009B5602" w:rsidRPr="00886830" w:rsidRDefault="009B5602">
      <w:pPr>
        <w:spacing w:before="120" w:after="120" w:line="240" w:lineRule="auto"/>
        <w:ind w:left="850"/>
        <w:rPr>
          <w:rFonts w:ascii="Times New Roman" w:hAnsi="Times New Roman"/>
          <w:noProof/>
          <w:sz w:val="24"/>
          <w:lang w:val="es-ES"/>
        </w:rPr>
        <w:sectPr w:rsidR="009B5602" w:rsidRPr="00886830">
          <w:headerReference w:type="even" r:id="rId210"/>
          <w:headerReference w:type="default" r:id="rId211"/>
          <w:footerReference w:type="even" r:id="rId212"/>
          <w:footerReference w:type="default" r:id="rId213"/>
          <w:headerReference w:type="first" r:id="rId214"/>
          <w:footerReference w:type="first" r:id="rId215"/>
          <w:pgSz w:w="11907" w:h="16839"/>
          <w:pgMar w:top="1134" w:right="1418" w:bottom="1134" w:left="1418" w:header="709" w:footer="709" w:gutter="0"/>
          <w:cols w:space="720"/>
          <w:docGrid w:linePitch="360"/>
        </w:sectPr>
      </w:pPr>
    </w:p>
    <w:p w:rsidR="009B5602" w:rsidRDefault="009B5602">
      <w:pPr>
        <w:spacing w:before="120" w:after="120" w:line="240" w:lineRule="auto"/>
        <w:jc w:val="both"/>
        <w:rPr>
          <w:rFonts w:ascii="Times New Roman" w:hAnsi="Times New Roman"/>
          <w:b/>
          <w:noProof/>
          <w:sz w:val="24"/>
          <w:u w:val="single"/>
        </w:rPr>
      </w:pPr>
    </w:p>
    <w:p w:rsidR="009B5602" w:rsidRDefault="00886830">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Mejniki, cilji, kazalniki in časovni razpored za spremljanje in izvajanje nepovratne finančne podpore</w:t>
      </w:r>
    </w:p>
    <w:p w:rsidR="009B5602" w:rsidRPr="00886830" w:rsidRDefault="009B5602">
      <w:pPr>
        <w:spacing w:before="120" w:after="120" w:line="240" w:lineRule="auto"/>
        <w:rPr>
          <w:rFonts w:ascii="Times New Roman" w:hAnsi="Times New Roman"/>
          <w:noProof/>
          <w:sz w:val="24"/>
        </w:rPr>
      </w:pPr>
    </w:p>
    <w:tbl>
      <w:tblPr>
        <w:tblW w:w="15735" w:type="dxa"/>
        <w:tblInd w:w="-459" w:type="dxa"/>
        <w:tblLook w:val="04A0" w:firstRow="1" w:lastRow="0" w:firstColumn="1" w:lastColumn="0" w:noHBand="0" w:noVBand="1"/>
      </w:tblPr>
      <w:tblGrid>
        <w:gridCol w:w="689"/>
        <w:gridCol w:w="1461"/>
        <w:gridCol w:w="1443"/>
        <w:gridCol w:w="1794"/>
        <w:gridCol w:w="1614"/>
        <w:gridCol w:w="1219"/>
        <w:gridCol w:w="1139"/>
        <w:gridCol w:w="866"/>
        <w:gridCol w:w="1038"/>
        <w:gridCol w:w="1042"/>
        <w:gridCol w:w="3430"/>
      </w:tblGrid>
      <w:tr w:rsidR="009B5602">
        <w:trPr>
          <w:trHeight w:val="900"/>
        </w:trPr>
        <w:tc>
          <w:tcPr>
            <w:tcW w:w="689" w:type="dxa"/>
            <w:vMerge w:val="restart"/>
            <w:tcBorders>
              <w:top w:val="single" w:sz="4" w:space="0" w:color="auto"/>
              <w:left w:val="single" w:sz="4" w:space="0" w:color="auto"/>
              <w:right w:val="single" w:sz="4" w:space="0" w:color="auto"/>
            </w:tcBorders>
            <w:shd w:val="clear" w:color="auto" w:fill="BDD7EE"/>
            <w:vAlign w:val="center"/>
            <w:hideMark/>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Zap. št.</w:t>
            </w:r>
          </w:p>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 </w:t>
            </w:r>
          </w:p>
        </w:tc>
        <w:tc>
          <w:tcPr>
            <w:tcW w:w="1461"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Povezani ukrep (reforma ali naložba)</w:t>
            </w:r>
          </w:p>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 </w:t>
            </w:r>
          </w:p>
        </w:tc>
        <w:tc>
          <w:tcPr>
            <w:tcW w:w="1443"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Mejnik/cilj</w:t>
            </w:r>
          </w:p>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 </w:t>
            </w:r>
          </w:p>
        </w:tc>
        <w:tc>
          <w:tcPr>
            <w:tcW w:w="1547"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Ime</w:t>
            </w:r>
          </w:p>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 </w:t>
            </w:r>
          </w:p>
        </w:tc>
        <w:tc>
          <w:tcPr>
            <w:tcW w:w="1625"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Kvalitativni kazalniki (za mejnike)</w:t>
            </w:r>
          </w:p>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 </w:t>
            </w:r>
          </w:p>
        </w:tc>
        <w:tc>
          <w:tcPr>
            <w:tcW w:w="3043" w:type="dxa"/>
            <w:gridSpan w:val="3"/>
            <w:tcBorders>
              <w:top w:val="single" w:sz="4" w:space="0" w:color="auto"/>
              <w:left w:val="nil"/>
              <w:bottom w:val="single" w:sz="4" w:space="0" w:color="auto"/>
              <w:right w:val="single" w:sz="4" w:space="0" w:color="000000"/>
            </w:tcBorders>
            <w:shd w:val="clear" w:color="auto" w:fill="BDD7EE"/>
            <w:vAlign w:val="center"/>
            <w:hideMark/>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Kvantitati</w:t>
            </w:r>
            <w:r>
              <w:rPr>
                <w:rFonts w:ascii="Times New Roman" w:hAnsi="Times New Roman"/>
                <w:b/>
                <w:noProof/>
                <w:sz w:val="20"/>
                <w:szCs w:val="20"/>
              </w:rPr>
              <w:t>vni kazalniki (za cilje)</w:t>
            </w:r>
          </w:p>
        </w:tc>
        <w:tc>
          <w:tcPr>
            <w:tcW w:w="1958" w:type="dxa"/>
            <w:gridSpan w:val="2"/>
            <w:tcBorders>
              <w:top w:val="single" w:sz="4" w:space="0" w:color="auto"/>
              <w:left w:val="nil"/>
              <w:bottom w:val="single" w:sz="4" w:space="0" w:color="auto"/>
              <w:right w:val="single" w:sz="4" w:space="0" w:color="000000"/>
            </w:tcBorders>
            <w:shd w:val="clear" w:color="auto" w:fill="BDD7EE"/>
            <w:vAlign w:val="center"/>
            <w:hideMark/>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 xml:space="preserve">Okvirni časovni razpored za dokončanje </w:t>
            </w:r>
          </w:p>
        </w:tc>
        <w:tc>
          <w:tcPr>
            <w:tcW w:w="3969" w:type="dxa"/>
            <w:vMerge w:val="restart"/>
            <w:tcBorders>
              <w:top w:val="single" w:sz="4" w:space="0" w:color="auto"/>
              <w:left w:val="nil"/>
              <w:right w:val="single" w:sz="4" w:space="0" w:color="auto"/>
            </w:tcBorders>
            <w:shd w:val="clear" w:color="auto" w:fill="BDD7EE"/>
            <w:vAlign w:val="center"/>
            <w:hideMark/>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Opis in jasna opredelitev vsakega mejnika in cilja</w:t>
            </w:r>
          </w:p>
          <w:p w:rsidR="009B5602" w:rsidRDefault="00886830">
            <w:pPr>
              <w:spacing w:after="0"/>
              <w:rPr>
                <w:rFonts w:ascii="Times New Roman" w:eastAsia="Times New Roman" w:hAnsi="Times New Roman"/>
                <w:b/>
                <w:noProof/>
                <w:sz w:val="20"/>
                <w:szCs w:val="20"/>
              </w:rPr>
            </w:pPr>
            <w:r>
              <w:rPr>
                <w:rFonts w:ascii="Times New Roman" w:hAnsi="Times New Roman"/>
                <w:noProof/>
                <w:sz w:val="20"/>
                <w:szCs w:val="20"/>
              </w:rPr>
              <w:t> </w:t>
            </w:r>
          </w:p>
        </w:tc>
      </w:tr>
      <w:tr w:rsidR="009B5602">
        <w:trPr>
          <w:trHeight w:val="987"/>
        </w:trPr>
        <w:tc>
          <w:tcPr>
            <w:tcW w:w="689" w:type="dxa"/>
            <w:vMerge/>
            <w:tcBorders>
              <w:left w:val="single" w:sz="4" w:space="0" w:color="auto"/>
              <w:bottom w:val="single" w:sz="4" w:space="0" w:color="auto"/>
              <w:right w:val="single" w:sz="4" w:space="0" w:color="auto"/>
            </w:tcBorders>
            <w:shd w:val="clear" w:color="auto" w:fill="BDD7EE"/>
            <w:vAlign w:val="center"/>
            <w:hideMark/>
          </w:tcPr>
          <w:p w:rsidR="009B5602" w:rsidRDefault="009B5602">
            <w:pPr>
              <w:spacing w:after="0"/>
              <w:rPr>
                <w:rFonts w:ascii="Times New Roman" w:eastAsia="Times New Roman" w:hAnsi="Times New Roman"/>
                <w:b/>
                <w:noProof/>
                <w:sz w:val="20"/>
                <w:szCs w:val="20"/>
              </w:rPr>
            </w:pPr>
          </w:p>
        </w:tc>
        <w:tc>
          <w:tcPr>
            <w:tcW w:w="1461" w:type="dxa"/>
            <w:vMerge/>
            <w:tcBorders>
              <w:left w:val="nil"/>
              <w:bottom w:val="single" w:sz="4" w:space="0" w:color="auto"/>
              <w:right w:val="single" w:sz="4" w:space="0" w:color="auto"/>
            </w:tcBorders>
            <w:shd w:val="clear" w:color="auto" w:fill="BDD7EE"/>
            <w:vAlign w:val="center"/>
            <w:hideMark/>
          </w:tcPr>
          <w:p w:rsidR="009B5602" w:rsidRDefault="009B5602">
            <w:pPr>
              <w:spacing w:after="0"/>
              <w:rPr>
                <w:rFonts w:ascii="Times New Roman" w:eastAsia="Times New Roman" w:hAnsi="Times New Roman"/>
                <w:b/>
                <w:noProof/>
                <w:sz w:val="20"/>
                <w:szCs w:val="20"/>
              </w:rPr>
            </w:pPr>
          </w:p>
        </w:tc>
        <w:tc>
          <w:tcPr>
            <w:tcW w:w="1443" w:type="dxa"/>
            <w:vMerge/>
            <w:tcBorders>
              <w:left w:val="nil"/>
              <w:bottom w:val="single" w:sz="4" w:space="0" w:color="auto"/>
              <w:right w:val="single" w:sz="4" w:space="0" w:color="auto"/>
            </w:tcBorders>
            <w:shd w:val="clear" w:color="auto" w:fill="BDD7EE"/>
            <w:vAlign w:val="center"/>
            <w:hideMark/>
          </w:tcPr>
          <w:p w:rsidR="009B5602" w:rsidRDefault="009B5602">
            <w:pPr>
              <w:spacing w:after="0"/>
              <w:rPr>
                <w:rFonts w:ascii="Times New Roman" w:eastAsia="Times New Roman" w:hAnsi="Times New Roman"/>
                <w:b/>
                <w:noProof/>
                <w:sz w:val="20"/>
                <w:szCs w:val="20"/>
              </w:rPr>
            </w:pPr>
          </w:p>
        </w:tc>
        <w:tc>
          <w:tcPr>
            <w:tcW w:w="1547" w:type="dxa"/>
            <w:vMerge/>
            <w:tcBorders>
              <w:left w:val="nil"/>
              <w:bottom w:val="single" w:sz="4" w:space="0" w:color="auto"/>
              <w:right w:val="single" w:sz="4" w:space="0" w:color="auto"/>
            </w:tcBorders>
            <w:shd w:val="clear" w:color="auto" w:fill="BDD7EE"/>
            <w:vAlign w:val="center"/>
            <w:hideMark/>
          </w:tcPr>
          <w:p w:rsidR="009B5602" w:rsidRDefault="009B5602">
            <w:pPr>
              <w:spacing w:after="0"/>
              <w:rPr>
                <w:rFonts w:ascii="Times New Roman" w:eastAsia="Times New Roman" w:hAnsi="Times New Roman"/>
                <w:b/>
                <w:noProof/>
                <w:sz w:val="20"/>
                <w:szCs w:val="20"/>
              </w:rPr>
            </w:pPr>
          </w:p>
        </w:tc>
        <w:tc>
          <w:tcPr>
            <w:tcW w:w="1625" w:type="dxa"/>
            <w:vMerge/>
            <w:tcBorders>
              <w:left w:val="nil"/>
              <w:bottom w:val="single" w:sz="4" w:space="0" w:color="auto"/>
              <w:right w:val="single" w:sz="4" w:space="0" w:color="auto"/>
            </w:tcBorders>
            <w:shd w:val="clear" w:color="auto" w:fill="BDD7EE"/>
            <w:vAlign w:val="center"/>
            <w:hideMark/>
          </w:tcPr>
          <w:p w:rsidR="009B5602" w:rsidRDefault="009B5602">
            <w:pPr>
              <w:spacing w:after="0"/>
              <w:rPr>
                <w:rFonts w:ascii="Times New Roman" w:eastAsia="Times New Roman" w:hAnsi="Times New Roman"/>
                <w:b/>
                <w:noProof/>
                <w:sz w:val="20"/>
                <w:szCs w:val="20"/>
              </w:rPr>
            </w:pPr>
          </w:p>
        </w:tc>
        <w:tc>
          <w:tcPr>
            <w:tcW w:w="1219"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Enota merjenja</w:t>
            </w:r>
          </w:p>
        </w:tc>
        <w:tc>
          <w:tcPr>
            <w:tcW w:w="1008"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Izhodiščna raven</w:t>
            </w:r>
          </w:p>
        </w:tc>
        <w:tc>
          <w:tcPr>
            <w:tcW w:w="816"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Ciljna raven</w:t>
            </w:r>
          </w:p>
        </w:tc>
        <w:tc>
          <w:tcPr>
            <w:tcW w:w="916"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Četrtletje</w:t>
            </w:r>
          </w:p>
        </w:tc>
        <w:tc>
          <w:tcPr>
            <w:tcW w:w="1042" w:type="dxa"/>
            <w:tcBorders>
              <w:top w:val="nil"/>
              <w:left w:val="nil"/>
              <w:bottom w:val="single" w:sz="4" w:space="0" w:color="auto"/>
              <w:right w:val="single" w:sz="4" w:space="0" w:color="auto"/>
            </w:tcBorders>
            <w:shd w:val="clear" w:color="auto" w:fill="BDD7EE"/>
            <w:vAlign w:val="center"/>
            <w:hideMark/>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Leto</w:t>
            </w:r>
          </w:p>
        </w:tc>
        <w:tc>
          <w:tcPr>
            <w:tcW w:w="3969" w:type="dxa"/>
            <w:vMerge/>
            <w:tcBorders>
              <w:left w:val="nil"/>
              <w:bottom w:val="single" w:sz="4" w:space="0" w:color="auto"/>
              <w:right w:val="single" w:sz="4" w:space="0" w:color="auto"/>
            </w:tcBorders>
            <w:shd w:val="clear" w:color="auto" w:fill="BDD7EE"/>
            <w:vAlign w:val="center"/>
            <w:hideMark/>
          </w:tcPr>
          <w:p w:rsidR="009B5602" w:rsidRDefault="009B5602">
            <w:pPr>
              <w:spacing w:after="0"/>
              <w:rPr>
                <w:rFonts w:ascii="Times New Roman" w:eastAsia="Times New Roman" w:hAnsi="Times New Roman"/>
                <w:noProof/>
                <w:sz w:val="20"/>
                <w:szCs w:val="20"/>
              </w:rPr>
            </w:pPr>
          </w:p>
        </w:tc>
      </w:tr>
      <w:tr w:rsidR="009B5602">
        <w:trPr>
          <w:trHeight w:val="961"/>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17 – Digitalna Slovaška – Reforma 1: Oblikovanje rešitev e-uprave </w:t>
            </w:r>
            <w:r>
              <w:rPr>
                <w:rFonts w:ascii="Times New Roman" w:hAnsi="Times New Roman"/>
                <w:noProof/>
                <w:color w:val="006100"/>
                <w:sz w:val="20"/>
                <w:szCs w:val="20"/>
              </w:rPr>
              <w:t>za prednostne življenjske razmere</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Naložbeni načrt za prednostne življenjske razmere</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Objava prednostnega seznama, ki ga je odobril MIRRI</w:t>
            </w:r>
          </w:p>
        </w:tc>
        <w:tc>
          <w:tcPr>
            <w:tcW w:w="121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sz w:val="20"/>
                <w:szCs w:val="20"/>
              </w:rPr>
              <w:t>Objava seznama prednostnih elektronskih storitev, ki jih je odobril SR MIRRI, na podlagi referenčne</w:t>
            </w:r>
            <w:r>
              <w:rPr>
                <w:rFonts w:ascii="Times New Roman" w:hAnsi="Times New Roman"/>
                <w:noProof/>
                <w:sz w:val="20"/>
                <w:szCs w:val="20"/>
              </w:rPr>
              <w:t xml:space="preserve"> vrednosti eGOV in ob upoštevanju Priloge II k uredbi o enotnem digitalnem portalu,</w:t>
            </w:r>
            <w:r>
              <w:rPr>
                <w:rFonts w:ascii="Times New Roman" w:hAnsi="Times New Roman"/>
                <w:noProof/>
                <w:color w:val="006100"/>
                <w:sz w:val="20"/>
                <w:szCs w:val="20"/>
              </w:rPr>
              <w:t xml:space="preserve"> </w:t>
            </w:r>
          </w:p>
        </w:tc>
      </w:tr>
      <w:tr w:rsidR="009B5602">
        <w:trPr>
          <w:trHeight w:val="1154"/>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Digitalna Slovaška – Reforma 1: Oblikovanje rešitev e-uprave za prednostne življenjske razmere</w:t>
            </w:r>
          </w:p>
        </w:tc>
        <w:tc>
          <w:tcPr>
            <w:tcW w:w="1443"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Načrt prednostnih življenjskih razmer</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Objava časovnega načrta</w:t>
            </w:r>
          </w:p>
        </w:tc>
        <w:tc>
          <w:tcPr>
            <w:tcW w:w="1219"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rPr>
                <w:rFonts w:ascii="Times New Roman" w:eastAsia="Times New Roman" w:hAnsi="Times New Roman"/>
                <w:noProof/>
                <w:color w:val="006100"/>
                <w:sz w:val="20"/>
                <w:szCs w:val="20"/>
              </w:rPr>
            </w:pPr>
          </w:p>
        </w:tc>
        <w:tc>
          <w:tcPr>
            <w:tcW w:w="1008"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rPr>
                <w:rFonts w:ascii="Times New Roman" w:eastAsia="Times New Roman" w:hAnsi="Times New Roman"/>
                <w:noProof/>
                <w:color w:val="006100"/>
                <w:sz w:val="20"/>
                <w:szCs w:val="20"/>
              </w:rPr>
            </w:pPr>
          </w:p>
        </w:tc>
        <w:tc>
          <w:tcPr>
            <w:tcW w:w="816"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rPr>
                <w:rFonts w:ascii="Times New Roman" w:eastAsia="Times New Roman" w:hAnsi="Times New Roman"/>
                <w:noProof/>
                <w:color w:val="006100"/>
                <w:sz w:val="20"/>
                <w:szCs w:val="20"/>
              </w:rPr>
            </w:pPr>
          </w:p>
        </w:tc>
        <w:tc>
          <w:tcPr>
            <w:tcW w:w="916"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2023</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Analiza zasnove storitev in opredelitev pomanjkljivosti (časovni načrt) za njihovo izboljšanje prek vseh zadevnih javnih institucij</w:t>
            </w:r>
          </w:p>
          <w:p w:rsidR="009B5602" w:rsidRDefault="009B5602">
            <w:pPr>
              <w:spacing w:after="0"/>
              <w:rPr>
                <w:rFonts w:ascii="Times New Roman" w:eastAsia="Times New Roman" w:hAnsi="Times New Roman"/>
                <w:noProof/>
                <w:color w:val="006100"/>
                <w:sz w:val="20"/>
                <w:szCs w:val="20"/>
              </w:rPr>
            </w:pPr>
          </w:p>
        </w:tc>
      </w:tr>
      <w:tr w:rsidR="009B5602">
        <w:trPr>
          <w:trHeight w:val="225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3</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Digitalna Slovaška – Reforma 2: Centralno upravljanje virov IT</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Osrednja platforma za uporabo </w:t>
            </w:r>
            <w:r>
              <w:rPr>
                <w:rFonts w:ascii="Times New Roman" w:hAnsi="Times New Roman"/>
                <w:noProof/>
                <w:color w:val="006100"/>
                <w:sz w:val="20"/>
                <w:szCs w:val="20"/>
              </w:rPr>
              <w:t>informacijskih virov (digitalni trg)</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Vzpostavitev platforme</w:t>
            </w:r>
          </w:p>
        </w:tc>
        <w:tc>
          <w:tcPr>
            <w:tcW w:w="121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2023</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Začetek uporabe platforme orodij in politik za nov način nakupa in uporabe blaga informacijske tehnologije, strokovnega znanja, uporabe storitev v oblaku in odprtokodne kode. Storitv</w:t>
            </w:r>
            <w:r>
              <w:rPr>
                <w:rFonts w:ascii="Times New Roman" w:hAnsi="Times New Roman"/>
                <w:noProof/>
                <w:color w:val="006100"/>
                <w:sz w:val="20"/>
                <w:szCs w:val="20"/>
              </w:rPr>
              <w:t>e se naročajo centralno (okvirna pogodba), uporabniki storitev pa imajo možnost, da se po potrebi dinamično opirajo na osrednjo platformo.</w:t>
            </w:r>
          </w:p>
        </w:tc>
      </w:tr>
      <w:tr w:rsidR="009B5602">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4</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Digitalna Slovaška – Naložba 1: Boljše storitve za državljane in podjetja</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Število razvitih in uvedenih </w:t>
            </w:r>
            <w:r>
              <w:rPr>
                <w:rFonts w:ascii="Times New Roman" w:hAnsi="Times New Roman"/>
                <w:noProof/>
                <w:color w:val="006100"/>
                <w:sz w:val="20"/>
                <w:szCs w:val="20"/>
              </w:rPr>
              <w:t>rešitev e–uprave</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9B5602">
            <w:pPr>
              <w:spacing w:after="0"/>
              <w:rPr>
                <w:rFonts w:ascii="Times New Roman" w:eastAsia="Times New Roman" w:hAnsi="Times New Roman"/>
                <w:noProof/>
                <w:color w:val="006100"/>
                <w:sz w:val="20"/>
                <w:szCs w:val="20"/>
              </w:rPr>
            </w:pPr>
          </w:p>
        </w:tc>
        <w:tc>
          <w:tcPr>
            <w:tcW w:w="121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Q1</w:t>
            </w:r>
          </w:p>
        </w:tc>
        <w:tc>
          <w:tcPr>
            <w:tcW w:w="104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Uvajanje digitalnih rešitev za dve izbrani življenjski situaciji z naslednjimi značilnostmi: enoten dostop do iskanja storitev; enotna točka za dostavo storitev; po potrebi mobilna različica; enotno oblikovanje; čista </w:t>
            </w:r>
            <w:r>
              <w:rPr>
                <w:rFonts w:ascii="Times New Roman" w:hAnsi="Times New Roman"/>
                <w:noProof/>
                <w:color w:val="006100"/>
                <w:sz w:val="20"/>
                <w:szCs w:val="20"/>
              </w:rPr>
              <w:t xml:space="preserve">navigacija; nemoten prehod skozi življenjske razmere; pregled statusa zahtevka; obvestila o statusu; in spletna plačila. Projekt vključuje vključitev rešitev v osrednji portal javne uprave, preoblikovanje poslovnih procesov v celovito, nadgradnjo sistemov </w:t>
            </w:r>
            <w:r>
              <w:rPr>
                <w:rFonts w:ascii="Times New Roman" w:hAnsi="Times New Roman"/>
                <w:noProof/>
                <w:color w:val="006100"/>
                <w:sz w:val="20"/>
                <w:szCs w:val="20"/>
              </w:rPr>
              <w:t>dnevnega reda ter povezavo z osrednjo vmesno programsko opremo in osrednjimi podpornimi sistemi. Izvajanje dveh najpogosteje uporabljenih življenjskih razmer.</w:t>
            </w:r>
          </w:p>
        </w:tc>
      </w:tr>
      <w:tr w:rsidR="009B5602">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5</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Digitalna Slovaška – Naložba 1: Boljše storitve za državljane in podjetja</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Število </w:t>
            </w:r>
            <w:r>
              <w:rPr>
                <w:rFonts w:ascii="Times New Roman" w:hAnsi="Times New Roman"/>
                <w:noProof/>
                <w:color w:val="006100"/>
                <w:sz w:val="20"/>
                <w:szCs w:val="20"/>
              </w:rPr>
              <w:t>razvitih in uvedenih rešitev e–uprave</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w:t>
            </w: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16</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2026 </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Polno izvajanje digitalnih rešitev v 16 izbranih življenjskih situacijah z naslednjimi značilnostmi: enoten dostop do iskanja storitev; enotna točka za dostavo storitev; po potrebi mobilna razli</w:t>
            </w:r>
            <w:r>
              <w:rPr>
                <w:rFonts w:ascii="Times New Roman" w:hAnsi="Times New Roman"/>
                <w:noProof/>
                <w:color w:val="006100"/>
                <w:sz w:val="20"/>
                <w:szCs w:val="20"/>
              </w:rPr>
              <w:t xml:space="preserve">čica; enotno oblikovanje; čista navigacija; nemoten prehod skozi življenjske razmere; pregled statusa zahtevka; obvestila o statusu; in spletna plačila. Projekt vključuje vključitev rešitev v osrednji portal javne uprave, preoblikovanje poslovnih procesov </w:t>
            </w:r>
            <w:r>
              <w:rPr>
                <w:rFonts w:ascii="Times New Roman" w:hAnsi="Times New Roman"/>
                <w:noProof/>
                <w:color w:val="006100"/>
                <w:sz w:val="20"/>
                <w:szCs w:val="20"/>
              </w:rPr>
              <w:t>v celovito, nadgradnjo sistemov dnevnega reda ter povezavo z osrednjo vmesno programsko opremo in osrednjimi podpornimi sistemi.</w:t>
            </w:r>
          </w:p>
        </w:tc>
      </w:tr>
      <w:tr w:rsidR="009B5602">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6</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Digitalna Slovaška – Naložba 1: Boljše storitve za državljane in podjetja</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Platforma za razvoj in zagotavljanje </w:t>
            </w:r>
            <w:r>
              <w:rPr>
                <w:rFonts w:ascii="Times New Roman" w:hAnsi="Times New Roman"/>
                <w:noProof/>
                <w:color w:val="006100"/>
                <w:sz w:val="20"/>
                <w:szCs w:val="20"/>
              </w:rPr>
              <w:t>prednostnih življenjskih razmer</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Polno izvajanje platforme</w:t>
            </w:r>
          </w:p>
        </w:tc>
        <w:tc>
          <w:tcPr>
            <w:tcW w:w="121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2024 </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Posodobitev čelne, zaledne in vmesne programske platforme (skupni moduli) po načelih komponent, ki jih je mogoče konfigurirati z nizkimi kodami in se centralno upravljajo za vse ponud</w:t>
            </w:r>
            <w:r>
              <w:rPr>
                <w:rFonts w:ascii="Times New Roman" w:hAnsi="Times New Roman"/>
                <w:noProof/>
                <w:color w:val="006100"/>
                <w:sz w:val="20"/>
                <w:szCs w:val="20"/>
              </w:rPr>
              <w:t xml:space="preserve">nike javnih storitev. Platforma je predpogoj za uvedbo rešitev e–uprave za življenjske razmere. </w:t>
            </w:r>
          </w:p>
          <w:p w:rsidR="009B5602" w:rsidRDefault="009B5602">
            <w:pPr>
              <w:spacing w:after="0"/>
              <w:rPr>
                <w:rFonts w:ascii="Times New Roman" w:eastAsia="Times New Roman" w:hAnsi="Times New Roman"/>
                <w:noProof/>
                <w:color w:val="006100"/>
                <w:sz w:val="20"/>
                <w:szCs w:val="20"/>
              </w:rPr>
            </w:pPr>
          </w:p>
        </w:tc>
      </w:tr>
      <w:tr w:rsidR="009B5602">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7</w:t>
            </w:r>
          </w:p>
        </w:tc>
        <w:tc>
          <w:tcPr>
            <w:tcW w:w="1461"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Digitalna Slovaška – Naložba 2: Digitalna preobrazba opravljanja javnih storitev</w:t>
            </w:r>
          </w:p>
        </w:tc>
        <w:tc>
          <w:tcPr>
            <w:tcW w:w="1443"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547"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Digitalna preobrazba oddelkov za javno upravo</w:t>
            </w:r>
          </w:p>
        </w:tc>
        <w:tc>
          <w:tcPr>
            <w:tcW w:w="1625" w:type="dxa"/>
            <w:tcBorders>
              <w:top w:val="nil"/>
              <w:left w:val="nil"/>
              <w:bottom w:val="single" w:sz="4" w:space="0" w:color="auto"/>
              <w:right w:val="single" w:sz="4" w:space="0" w:color="auto"/>
            </w:tcBorders>
            <w:shd w:val="clear" w:color="auto" w:fill="C6EFCE"/>
            <w:vAlign w:val="center"/>
          </w:tcPr>
          <w:p w:rsidR="009B5602" w:rsidRDefault="009B5602">
            <w:pPr>
              <w:spacing w:after="0"/>
              <w:rPr>
                <w:rFonts w:ascii="Times New Roman" w:eastAsia="Times New Roman" w:hAnsi="Times New Roman"/>
                <w:noProof/>
                <w:color w:val="006100"/>
                <w:sz w:val="20"/>
                <w:szCs w:val="20"/>
              </w:rPr>
            </w:pPr>
          </w:p>
        </w:tc>
        <w:tc>
          <w:tcPr>
            <w:tcW w:w="1219"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08"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8</w:t>
            </w:r>
          </w:p>
        </w:tc>
        <w:tc>
          <w:tcPr>
            <w:tcW w:w="916"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3969"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Osem postopkov in oddelkov v javni upravi se optimizira in avtomatizira. Naložbe so namenjene izboljšanju kakovosti javnih storitev ali učinkovitosti (z zmanjšanjem operativnih stroškov, postopkovnih napak, rokov za dokončanje ali zahtev glede človešk</w:t>
            </w:r>
            <w:r>
              <w:rPr>
                <w:rFonts w:ascii="Times New Roman" w:hAnsi="Times New Roman"/>
                <w:noProof/>
                <w:color w:val="006100"/>
                <w:sz w:val="20"/>
                <w:szCs w:val="20"/>
              </w:rPr>
              <w:t xml:space="preserve">ih virov). To se po potrebi doseže s spremembo zakonodaje ali s spremembo organizacije postopkov. </w:t>
            </w:r>
            <w:r>
              <w:rPr>
                <w:rFonts w:ascii="Times New Roman" w:hAnsi="Times New Roman"/>
                <w:noProof/>
                <w:sz w:val="20"/>
                <w:szCs w:val="20"/>
              </w:rPr>
              <w:t>Oddelki javne uprave so registrirani v centralnem metainformacijskem sistemu javne uprave v skladu z Zakonom št. 575/2001 zb. o organizaciji vladnih dejavnost</w:t>
            </w:r>
            <w:r>
              <w:rPr>
                <w:rFonts w:ascii="Times New Roman" w:hAnsi="Times New Roman"/>
                <w:noProof/>
                <w:sz w:val="20"/>
                <w:szCs w:val="20"/>
              </w:rPr>
              <w:t>i in organizaciji centralne državne uprave.</w:t>
            </w:r>
          </w:p>
        </w:tc>
      </w:tr>
      <w:tr w:rsidR="009B5602">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8</w:t>
            </w:r>
          </w:p>
        </w:tc>
        <w:tc>
          <w:tcPr>
            <w:tcW w:w="1461"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Digitalna Slovaška – Naložba 2: Digitalna preobrazba opravljanja javnih storitev</w:t>
            </w:r>
          </w:p>
        </w:tc>
        <w:tc>
          <w:tcPr>
            <w:tcW w:w="1443"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547"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Digitalna preobrazba oddelkov za javno upravo </w:t>
            </w:r>
          </w:p>
        </w:tc>
        <w:tc>
          <w:tcPr>
            <w:tcW w:w="1625"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08"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8</w:t>
            </w:r>
          </w:p>
        </w:tc>
        <w:tc>
          <w:tcPr>
            <w:tcW w:w="816"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42</w:t>
            </w:r>
          </w:p>
        </w:tc>
        <w:tc>
          <w:tcPr>
            <w:tcW w:w="916"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2026 </w:t>
            </w:r>
          </w:p>
        </w:tc>
        <w:tc>
          <w:tcPr>
            <w:tcW w:w="3969"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42 postopkov in oddelkov javne uprave se optimizira in avtomatizira. Naložbe so namenjene izboljšanju kakovosti javnih storitev ali učinkovitosti (z zmanjšanjem operativnih stroškov, postopkovnih napak, rokov za dokončanje ali zahtev glede človeških virov)</w:t>
            </w:r>
            <w:r>
              <w:rPr>
                <w:rFonts w:ascii="Times New Roman" w:hAnsi="Times New Roman"/>
                <w:noProof/>
                <w:color w:val="006100"/>
                <w:sz w:val="20"/>
                <w:szCs w:val="20"/>
              </w:rPr>
              <w:t xml:space="preserve">. To se po potrebi doseže s spremembo zakonodaje ali s spremembo organizacije postopkov. </w:t>
            </w:r>
            <w:r>
              <w:rPr>
                <w:rFonts w:ascii="Times New Roman" w:hAnsi="Times New Roman"/>
                <w:noProof/>
                <w:sz w:val="20"/>
                <w:szCs w:val="20"/>
              </w:rPr>
              <w:t>Oddelki javne uprave so registrirani v centralnem metainformacijskem sistemu javne uprave v skladu z Zakonom št. 575/2001 zb. o organizaciji vladnih dejavnosti in orga</w:t>
            </w:r>
            <w:r>
              <w:rPr>
                <w:rFonts w:ascii="Times New Roman" w:hAnsi="Times New Roman"/>
                <w:noProof/>
                <w:sz w:val="20"/>
                <w:szCs w:val="20"/>
              </w:rPr>
              <w:t>nizaciji centralne državne uprave.</w:t>
            </w:r>
          </w:p>
          <w:p w:rsidR="009B5602" w:rsidRDefault="009B5602">
            <w:pPr>
              <w:spacing w:after="0"/>
              <w:rPr>
                <w:rFonts w:ascii="Times New Roman" w:eastAsia="Times New Roman" w:hAnsi="Times New Roman"/>
                <w:noProof/>
                <w:color w:val="006100"/>
                <w:sz w:val="20"/>
                <w:szCs w:val="20"/>
              </w:rPr>
            </w:pPr>
          </w:p>
        </w:tc>
      </w:tr>
      <w:tr w:rsidR="009B5602">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9</w:t>
            </w:r>
          </w:p>
        </w:tc>
        <w:tc>
          <w:tcPr>
            <w:tcW w:w="1461"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Digitalna Slovaška – Reforma 3: Upravljanje digitalne preobrazbe gospodarstva in družbe</w:t>
            </w:r>
          </w:p>
        </w:tc>
        <w:tc>
          <w:tcPr>
            <w:tcW w:w="1443"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547"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Akcijski načrt za digitalno preobrazbo Slovaške za leta 2023–2026</w:t>
            </w:r>
          </w:p>
        </w:tc>
        <w:tc>
          <w:tcPr>
            <w:tcW w:w="1625"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Razvoj in sprejetje s strani MIRRI </w:t>
            </w:r>
          </w:p>
        </w:tc>
        <w:tc>
          <w:tcPr>
            <w:tcW w:w="1219"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MIRRI sprejel nov strateški dokument – akcijski načrt za digitalno preobrazbo Slovaške za obdobje 2023–2026. V akcijskem načrtu so predstavljeni ukrepi za izboljšanje digitalne uspešnosti Slovaške na podlagi strategije za digitalno preobrazbo za Slovaško d</w:t>
            </w:r>
            <w:r>
              <w:rPr>
                <w:rFonts w:ascii="Times New Roman" w:hAnsi="Times New Roman"/>
                <w:noProof/>
                <w:color w:val="006100"/>
                <w:sz w:val="20"/>
                <w:szCs w:val="20"/>
              </w:rPr>
              <w:t xml:space="preserve">o leta 2030 in na podlagi sedanjega časovnega načrta za obdobje 2019–2022. </w:t>
            </w:r>
          </w:p>
        </w:tc>
      </w:tr>
      <w:tr w:rsidR="009B5602">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10</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Digitalna Slovaška – Naložba 3: Sodelovanje v večdržavnih evropskih projektih, povezanih z digitalnim gospodarstvom</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Število vozlišč za digitalne inovacije/evropskih vozlišč za digitalne inovacije </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5</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Q3</w:t>
            </w:r>
          </w:p>
        </w:tc>
        <w:tc>
          <w:tcPr>
            <w:tcW w:w="104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Ta cilj se doseže z:</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 Vzpostavitev mreže štirih evropskih vozlišč za digitalne inovacije na Slovaškem, ki podjetjem zagotavljajo storitve v podporo uva</w:t>
            </w:r>
            <w:r>
              <w:rPr>
                <w:rFonts w:ascii="Times New Roman" w:hAnsi="Times New Roman"/>
                <w:noProof/>
                <w:color w:val="006100"/>
                <w:sz w:val="20"/>
                <w:szCs w:val="20"/>
              </w:rPr>
              <w:t xml:space="preserve">janju novih tehnologij in inovacij. Sodelujejo v vseevropski mreži EDIZ. Kandidati za ustanovitev štirih EDIH so bili predlagani septembra 2020. </w:t>
            </w:r>
          </w:p>
          <w:p w:rsidR="009B5602" w:rsidRDefault="009B5602">
            <w:pPr>
              <w:spacing w:after="0"/>
              <w:rPr>
                <w:rFonts w:ascii="Times New Roman" w:eastAsia="Times New Roman" w:hAnsi="Times New Roman"/>
                <w:noProof/>
                <w:color w:val="006100"/>
                <w:sz w:val="20"/>
                <w:szCs w:val="20"/>
              </w:rPr>
            </w:pP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2.Poleg 4 EDIZ se na podlagi ene od dveh možnosti ustanovi še vsaj en center:</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(a) EDIH brez finančne podpore </w:t>
            </w:r>
            <w:r>
              <w:rPr>
                <w:rFonts w:ascii="Times New Roman" w:hAnsi="Times New Roman"/>
                <w:noProof/>
                <w:color w:val="006100"/>
                <w:sz w:val="20"/>
                <w:szCs w:val="20"/>
              </w:rPr>
              <w:t xml:space="preserve">iz programa za digitalno Evropo, ki bo prejel pečat odličnosti na natečaju Evropske komisije; ali </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(b) lokalno vozlišče za digitalne inovacije, ki bo izbrano v okviru nacionalne sheme in bo dopolnjevalo mrežo obstoječih EDIZ. </w:t>
            </w:r>
          </w:p>
        </w:tc>
      </w:tr>
      <w:tr w:rsidR="009B5602">
        <w:trPr>
          <w:trHeight w:val="10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11</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Digitalna Slovaška –</w:t>
            </w:r>
            <w:r>
              <w:rPr>
                <w:rFonts w:ascii="Times New Roman" w:hAnsi="Times New Roman"/>
                <w:noProof/>
                <w:color w:val="006100"/>
                <w:sz w:val="20"/>
                <w:szCs w:val="20"/>
              </w:rPr>
              <w:t xml:space="preserve"> Naložba 3: Sodelovanje v večdržavnih evropskih projektih, povezanih z digitalnim gospodarstvom</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Razvoj in izgradnja superračunalnika za nacionalni superračunalniški center</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Zagon superračunalnika in predložitev potrdila o primopredaji</w:t>
            </w:r>
          </w:p>
        </w:tc>
        <w:tc>
          <w:tcPr>
            <w:tcW w:w="1219" w:type="dxa"/>
            <w:tcBorders>
              <w:top w:val="nil"/>
              <w:left w:val="nil"/>
              <w:bottom w:val="single" w:sz="4" w:space="0" w:color="auto"/>
              <w:right w:val="single" w:sz="4" w:space="0" w:color="auto"/>
            </w:tcBorders>
            <w:shd w:val="clear" w:color="auto" w:fill="C6EFCE"/>
            <w:noWrap/>
            <w:vAlign w:val="center"/>
            <w:hideMark/>
          </w:tcPr>
          <w:p w:rsidR="009B5602" w:rsidRDefault="009B5602">
            <w:pPr>
              <w:spacing w:after="0"/>
              <w:rPr>
                <w:rFonts w:ascii="Times New Roman" w:eastAsia="Times New Roman" w:hAnsi="Times New Roman"/>
                <w:noProof/>
                <w:color w:val="006100"/>
                <w:sz w:val="20"/>
                <w:szCs w:val="20"/>
              </w:rPr>
            </w:pP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9B5602">
            <w:pPr>
              <w:spacing w:after="0"/>
              <w:rPr>
                <w:rFonts w:ascii="Times New Roman" w:eastAsia="Times New Roman" w:hAnsi="Times New Roman"/>
                <w:noProof/>
                <w:color w:val="006100"/>
                <w:sz w:val="20"/>
                <w:szCs w:val="20"/>
              </w:rPr>
            </w:pP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9B5602">
            <w:pPr>
              <w:spacing w:after="0"/>
              <w:rPr>
                <w:rFonts w:ascii="Times New Roman" w:eastAsia="Times New Roman" w:hAnsi="Times New Roman"/>
                <w:noProof/>
                <w:color w:val="006100"/>
                <w:sz w:val="20"/>
                <w:szCs w:val="20"/>
              </w:rPr>
            </w:pP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Začetek obratovanja in začetek uporabe računalniške infrastrukture na podlagi funkcionalnih preskusov in protokola predaje. </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Z naložbo se financira gradnja superračunalnika z uporabo arhitekture, ki vključuje integrirano centralno procesno enoto in GPU na </w:t>
            </w:r>
            <w:r>
              <w:rPr>
                <w:rFonts w:ascii="Times New Roman" w:hAnsi="Times New Roman"/>
                <w:noProof/>
                <w:color w:val="006100"/>
                <w:sz w:val="20"/>
                <w:szCs w:val="20"/>
              </w:rPr>
              <w:t>enem čipu, z željo, da se na 10 najvišjih svetovnih seznamih „zelenih 500“ uvrstijo visoko energetsko učinkoviti superračunalniki. Podrobnosti o arhitekturi se določijo v študiji izvedljivosti.</w:t>
            </w:r>
          </w:p>
        </w:tc>
      </w:tr>
      <w:tr w:rsidR="009B5602">
        <w:trPr>
          <w:trHeight w:val="288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12</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17 – Digitalna Slovaška – Naložba 3: Sodelovanje v </w:t>
            </w:r>
            <w:r>
              <w:rPr>
                <w:rFonts w:ascii="Times New Roman" w:hAnsi="Times New Roman"/>
                <w:noProof/>
                <w:color w:val="006100"/>
                <w:sz w:val="20"/>
                <w:szCs w:val="20"/>
              </w:rPr>
              <w:t>večdržavnih evropskih projektih, povezanih z digitalnim gospodarstvom</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Sodelovanje v večdržavnih digitalnih projektih iz vnaprej določenega sklopa </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Podpora za udeležbo v dveh večdržavnih digitalnih projektih iz naslednjega sklopa,</w:t>
            </w:r>
            <w:r>
              <w:rPr>
                <w:rFonts w:ascii="Times New Roman" w:hAnsi="Times New Roman"/>
                <w:noProof/>
                <w:color w:val="006100"/>
                <w:sz w:val="20"/>
                <w:szCs w:val="20"/>
              </w:rPr>
              <w:t xml:space="preserve"> ki ga je predlagala Evropska komisija:   Varnostni operativni centri, MediaInvest, evropska infrastruktura za storitve blokovne verige, EuroQCI, koridorji 5G, skupna evropska podatkovna infrastruktura, procesorji in polprevodniški čipi, povezana javna upr</w:t>
            </w:r>
            <w:r>
              <w:rPr>
                <w:rFonts w:ascii="Times New Roman" w:hAnsi="Times New Roman"/>
                <w:noProof/>
                <w:color w:val="006100"/>
                <w:sz w:val="20"/>
                <w:szCs w:val="20"/>
              </w:rPr>
              <w:t>ava, evropski genom, digitalna znanja in spretnosti.</w:t>
            </w:r>
          </w:p>
        </w:tc>
      </w:tr>
      <w:tr w:rsidR="009B5602">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13</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Digitalna Slovaška – Naložba 4: Podpora projektom, namenjenim razvoju in uporabi vrhunskih digitalnih tehnologij</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Oblikovanje podporne sheme za razvoj in uporabo vrhunskih digitalnih </w:t>
            </w:r>
            <w:r>
              <w:rPr>
                <w:rFonts w:ascii="Times New Roman" w:hAnsi="Times New Roman"/>
                <w:noProof/>
                <w:color w:val="006100"/>
                <w:sz w:val="20"/>
                <w:szCs w:val="20"/>
              </w:rPr>
              <w:t>tehnologij</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Uvedba programa podpore</w:t>
            </w:r>
          </w:p>
        </w:tc>
        <w:tc>
          <w:tcPr>
            <w:tcW w:w="121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Izvedbena enota MIRRI vzpostavi in objavi shemo podpore za raziskave in razvoj digitalnih rešitev za mala in srednja podjetja, velika podjetja, zasebne raziskovalne in razvojne institucije, javne raziskovaln</w:t>
            </w:r>
            <w:r>
              <w:rPr>
                <w:rFonts w:ascii="Times New Roman" w:hAnsi="Times New Roman"/>
                <w:noProof/>
                <w:color w:val="006100"/>
                <w:sz w:val="20"/>
                <w:szCs w:val="20"/>
              </w:rPr>
              <w:t xml:space="preserve">e in razvojne institucije, vključno z akademskimi krogi in slovaško akademijo znanosti, nevladnimi in neprofitnimi organizacijami, mediji, javnimi ustanovami, vključno z občinami, in drugimi upravičenimi prosilci. </w:t>
            </w:r>
          </w:p>
          <w:p w:rsidR="009B5602" w:rsidRDefault="009B5602">
            <w:pPr>
              <w:spacing w:after="0"/>
              <w:rPr>
                <w:rFonts w:ascii="Times New Roman" w:eastAsia="Times New Roman" w:hAnsi="Times New Roman"/>
                <w:noProof/>
                <w:color w:val="006100"/>
                <w:sz w:val="20"/>
                <w:szCs w:val="20"/>
              </w:rPr>
            </w:pP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Shema se uporablja tudi kot mehanizem so</w:t>
            </w:r>
            <w:r>
              <w:rPr>
                <w:rFonts w:ascii="Times New Roman" w:hAnsi="Times New Roman"/>
                <w:noProof/>
                <w:color w:val="006100"/>
                <w:sz w:val="20"/>
                <w:szCs w:val="20"/>
              </w:rPr>
              <w:t>financiranja projektov, ki so uspešni v neposredno upravljanih programih EU (digitalna Evropa, Obzorje Evropa in Instrument za povezovanje Evrope). Prednost imajo uspešni projekti, ki temeljijo na oceni IPCEI, ki jo opravi Evropska komisija. Projekti se oc</w:t>
            </w:r>
            <w:r>
              <w:rPr>
                <w:rFonts w:ascii="Times New Roman" w:hAnsi="Times New Roman"/>
                <w:noProof/>
                <w:color w:val="006100"/>
                <w:sz w:val="20"/>
                <w:szCs w:val="20"/>
              </w:rPr>
              <w:t>enijo tudi na podlagi prednostnih področij, opredeljenih v razsežnosti 4 (digitalna preobrazba Slovaške) v strategiji pametne specializacije (RIS3).</w:t>
            </w:r>
          </w:p>
          <w:p w:rsidR="009B5602" w:rsidRDefault="009B5602">
            <w:pPr>
              <w:spacing w:after="0"/>
              <w:rPr>
                <w:rFonts w:ascii="Times New Roman" w:eastAsia="Times New Roman" w:hAnsi="Times New Roman"/>
                <w:noProof/>
                <w:color w:val="006100"/>
                <w:sz w:val="20"/>
                <w:szCs w:val="20"/>
              </w:rPr>
            </w:pPr>
          </w:p>
        </w:tc>
      </w:tr>
      <w:tr w:rsidR="009B5602">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14</w:t>
            </w:r>
          </w:p>
        </w:tc>
        <w:tc>
          <w:tcPr>
            <w:tcW w:w="1461"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17 – Digitalna Slovaška – Naložba 4: Podpora projektom, namenjenim razvoju in uporabi vrhunskih </w:t>
            </w:r>
            <w:r>
              <w:rPr>
                <w:rFonts w:ascii="Times New Roman" w:hAnsi="Times New Roman"/>
                <w:noProof/>
                <w:color w:val="006100"/>
                <w:sz w:val="20"/>
                <w:szCs w:val="20"/>
              </w:rPr>
              <w:t>digitalnih tehnologij</w:t>
            </w:r>
          </w:p>
        </w:tc>
        <w:tc>
          <w:tcPr>
            <w:tcW w:w="1443"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547"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 projektov za razvoj in uporabo vrhunskih digitalnih tehnologij</w:t>
            </w:r>
          </w:p>
        </w:tc>
        <w:tc>
          <w:tcPr>
            <w:tcW w:w="1625"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08"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w:t>
            </w:r>
          </w:p>
        </w:tc>
        <w:tc>
          <w:tcPr>
            <w:tcW w:w="916"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3969" w:type="dxa"/>
            <w:tcBorders>
              <w:top w:val="nil"/>
              <w:left w:val="nil"/>
              <w:bottom w:val="single" w:sz="4" w:space="0" w:color="auto"/>
              <w:right w:val="single" w:sz="4" w:space="0" w:color="auto"/>
            </w:tcBorders>
            <w:shd w:val="clear" w:color="auto" w:fill="C6EFCE"/>
            <w:vAlign w:val="center"/>
          </w:tcPr>
          <w:p w:rsidR="009B5602" w:rsidRDefault="009B5602">
            <w:pPr>
              <w:spacing w:after="0"/>
              <w:rPr>
                <w:rFonts w:ascii="Times New Roman" w:eastAsia="Times New Roman" w:hAnsi="Times New Roman"/>
                <w:noProof/>
                <w:color w:val="006100"/>
                <w:sz w:val="20"/>
                <w:szCs w:val="20"/>
              </w:rPr>
            </w:pP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Podpora, izplačana za 20 projektov za razvoj in uporabo digitalnih rešitev v okviru sheme podpore</w:t>
            </w:r>
          </w:p>
          <w:p w:rsidR="009B5602" w:rsidRDefault="009B5602">
            <w:pPr>
              <w:spacing w:after="0"/>
              <w:rPr>
                <w:rFonts w:ascii="Times New Roman" w:eastAsia="Times New Roman" w:hAnsi="Times New Roman"/>
                <w:noProof/>
                <w:color w:val="006100"/>
                <w:sz w:val="20"/>
                <w:szCs w:val="20"/>
              </w:rPr>
            </w:pPr>
          </w:p>
          <w:p w:rsidR="009B5602" w:rsidRDefault="009B5602">
            <w:pPr>
              <w:spacing w:after="0"/>
              <w:rPr>
                <w:rFonts w:ascii="Times New Roman" w:eastAsia="Times New Roman" w:hAnsi="Times New Roman"/>
                <w:noProof/>
                <w:color w:val="006100"/>
                <w:sz w:val="20"/>
                <w:szCs w:val="20"/>
              </w:rPr>
            </w:pPr>
          </w:p>
        </w:tc>
      </w:tr>
      <w:tr w:rsidR="009B5602">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15</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17 – Digitalna Slovaška – </w:t>
            </w:r>
            <w:r>
              <w:rPr>
                <w:rFonts w:ascii="Times New Roman" w:hAnsi="Times New Roman"/>
                <w:noProof/>
                <w:color w:val="006100"/>
                <w:sz w:val="20"/>
                <w:szCs w:val="20"/>
              </w:rPr>
              <w:t>Naložba 4: Podpora projektom, namenjenim razvoju in uporabi vrhunskih digitalnih tehnologij</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 projektov za razvoj in uporabo vrhunskih digitalnih tehnologij</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w:t>
            </w: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43</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2026 </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Podpora, izplačana 43 projektom za razvoj in uporabo digitalnih</w:t>
            </w:r>
            <w:r>
              <w:rPr>
                <w:rFonts w:ascii="Times New Roman" w:hAnsi="Times New Roman"/>
                <w:noProof/>
                <w:color w:val="006100"/>
                <w:sz w:val="20"/>
                <w:szCs w:val="20"/>
              </w:rPr>
              <w:t xml:space="preserve"> rešitev v okviru sheme podpore</w:t>
            </w:r>
          </w:p>
          <w:p w:rsidR="009B5602" w:rsidRDefault="009B5602">
            <w:pPr>
              <w:spacing w:after="0"/>
              <w:rPr>
                <w:rFonts w:ascii="Times New Roman" w:eastAsia="Times New Roman" w:hAnsi="Times New Roman"/>
                <w:noProof/>
                <w:color w:val="006100"/>
                <w:sz w:val="20"/>
                <w:szCs w:val="20"/>
              </w:rPr>
            </w:pPr>
          </w:p>
          <w:p w:rsidR="009B5602" w:rsidRDefault="009B5602">
            <w:pPr>
              <w:spacing w:after="0"/>
              <w:rPr>
                <w:rFonts w:ascii="Times New Roman" w:eastAsia="Times New Roman" w:hAnsi="Times New Roman"/>
                <w:noProof/>
                <w:color w:val="006100"/>
                <w:sz w:val="20"/>
                <w:szCs w:val="20"/>
              </w:rPr>
            </w:pPr>
          </w:p>
        </w:tc>
      </w:tr>
      <w:tr w:rsidR="009B5602">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16</w:t>
            </w:r>
          </w:p>
        </w:tc>
        <w:tc>
          <w:tcPr>
            <w:tcW w:w="1461"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Digitalna Slovaška – Naložba 5: Hitra nepovratna sredstva – hekatoni</w:t>
            </w:r>
          </w:p>
        </w:tc>
        <w:tc>
          <w:tcPr>
            <w:tcW w:w="1443"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547"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 organiziranih hitrih dogodkov v zvezi z nepovratnimi sredstvi – hekatoni</w:t>
            </w:r>
          </w:p>
        </w:tc>
        <w:tc>
          <w:tcPr>
            <w:tcW w:w="1625" w:type="dxa"/>
            <w:tcBorders>
              <w:top w:val="nil"/>
              <w:left w:val="nil"/>
              <w:bottom w:val="single" w:sz="4" w:space="0" w:color="auto"/>
              <w:right w:val="single" w:sz="4" w:space="0" w:color="auto"/>
            </w:tcBorders>
            <w:shd w:val="clear" w:color="auto" w:fill="C6EFCE"/>
            <w:vAlign w:val="center"/>
          </w:tcPr>
          <w:p w:rsidR="009B5602" w:rsidRDefault="009B5602">
            <w:pPr>
              <w:spacing w:after="0"/>
              <w:rPr>
                <w:rFonts w:ascii="Times New Roman" w:eastAsia="Times New Roman" w:hAnsi="Times New Roman"/>
                <w:noProof/>
                <w:color w:val="006100"/>
                <w:sz w:val="20"/>
                <w:szCs w:val="20"/>
              </w:rPr>
            </w:pPr>
          </w:p>
        </w:tc>
        <w:tc>
          <w:tcPr>
            <w:tcW w:w="1219"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08"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w:t>
            </w:r>
          </w:p>
        </w:tc>
        <w:tc>
          <w:tcPr>
            <w:tcW w:w="916" w:type="dxa"/>
            <w:tcBorders>
              <w:top w:val="nil"/>
              <w:left w:val="nil"/>
              <w:bottom w:val="single" w:sz="4" w:space="0" w:color="auto"/>
              <w:right w:val="single" w:sz="4" w:space="0" w:color="auto"/>
            </w:tcBorders>
            <w:shd w:val="clear" w:color="auto" w:fill="C6EFCE"/>
            <w:noWrap/>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3969" w:type="dxa"/>
            <w:tcBorders>
              <w:top w:val="nil"/>
              <w:left w:val="nil"/>
              <w:bottom w:val="single" w:sz="4" w:space="0" w:color="auto"/>
              <w:right w:val="single" w:sz="4" w:space="0" w:color="auto"/>
            </w:tcBorders>
            <w:shd w:val="clear" w:color="auto" w:fill="C6EFCE"/>
            <w:vAlign w:val="center"/>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Organizacija 20 hekatonov – dogodki,</w:t>
            </w:r>
            <w:r>
              <w:rPr>
                <w:rFonts w:ascii="Times New Roman" w:hAnsi="Times New Roman"/>
                <w:noProof/>
                <w:color w:val="006100"/>
                <w:sz w:val="20"/>
                <w:szCs w:val="20"/>
              </w:rPr>
              <w:t xml:space="preserve"> pri katerih se dodelijo hitra nepovratna sredstva za najbolj inovativne rešitve za sedanje družbene izzive. Dogodek vključuje zagonska podjetja, druga podjetja, raziskovalne ustanove, univerze in njihove študente ter druge strokovnjake.</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Zmagovalne ekipe p</w:t>
            </w:r>
            <w:r>
              <w:rPr>
                <w:rFonts w:ascii="Times New Roman" w:hAnsi="Times New Roman"/>
                <w:noProof/>
                <w:color w:val="006100"/>
                <w:sz w:val="20"/>
                <w:szCs w:val="20"/>
              </w:rPr>
              <w:t>onudijo svoje rešitve javni upravi ali širši javnosti.</w:t>
            </w:r>
          </w:p>
          <w:p w:rsidR="009B5602" w:rsidRDefault="009B5602">
            <w:pPr>
              <w:spacing w:after="0"/>
              <w:rPr>
                <w:rFonts w:ascii="Times New Roman" w:eastAsia="Times New Roman" w:hAnsi="Times New Roman"/>
                <w:noProof/>
                <w:color w:val="006100"/>
                <w:sz w:val="20"/>
                <w:szCs w:val="20"/>
              </w:rPr>
            </w:pPr>
          </w:p>
        </w:tc>
      </w:tr>
      <w:tr w:rsidR="009B5602">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Digitalna Slovaška – Reforma 5: Izboljšanje usposabljanja, znanj in spretnosti na področju kibernetske varnosti (ITVS – Informacijske tehnologije za javno upravo)</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Število zaposlenih na področju informacijske tehnologije v javni upravi, usposobljenih za kibernetsko varnost </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29</w:t>
            </w: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600</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Dodatnih 571 strokovnjakov za informacijsko tehnologijo na področju javne uprave, ki so bili prekvalificirani za kiberne</w:t>
            </w:r>
            <w:r>
              <w:rPr>
                <w:rFonts w:ascii="Times New Roman" w:hAnsi="Times New Roman"/>
                <w:noProof/>
                <w:color w:val="006100"/>
                <w:sz w:val="20"/>
                <w:szCs w:val="20"/>
              </w:rPr>
              <w:t>tsko varnost na ravni „strokovnega“, „upravljavca“ in „upravljavca IT“.</w:t>
            </w:r>
          </w:p>
        </w:tc>
      </w:tr>
      <w:tr w:rsidR="009B5602">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18</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Digitalna Slovaška – Naložba 6: Krepitev preventivnih ukrepov, povečanje hitrosti odkrivanja in reševanja incidentov (ITVS – Informacijske tehnologije za javno upravo)</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 zavarovanih informacijskih sistemov v okolju javne uprave</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70</w:t>
            </w: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1 000</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2024</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 Zavarovanje 1000 informacijskih sistemov, ki so opredeljeni kot: orodja sistema zgodnjega opozarjanja so vključena v sistem za obvladovanje incidentov na področju</w:t>
            </w:r>
            <w:r>
              <w:rPr>
                <w:rFonts w:ascii="Times New Roman" w:hAnsi="Times New Roman"/>
                <w:noProof/>
                <w:color w:val="006100"/>
                <w:sz w:val="20"/>
                <w:szCs w:val="20"/>
              </w:rPr>
              <w:t xml:space="preserve"> kibernetske varnosti, ki vključuje potrebne elemente strojne/programske opreme, dvosmerno šifrirano komunikacijo in opozarjanje na razpošiljanje. </w:t>
            </w:r>
          </w:p>
        </w:tc>
      </w:tr>
      <w:tr w:rsidR="009B5602">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19</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17 – Digitalna Slovaška – Naložba 6: Krepitev preventivnih ukrepov, povečanje hitrosti odkrivanja in </w:t>
            </w:r>
            <w:r>
              <w:rPr>
                <w:rFonts w:ascii="Times New Roman" w:hAnsi="Times New Roman"/>
                <w:noProof/>
                <w:color w:val="006100"/>
                <w:sz w:val="20"/>
                <w:szCs w:val="20"/>
              </w:rPr>
              <w:t>reševanja incidentov (ITVS – Informacijske tehnologije za javno upravo)</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Varnostne revizije aplikacij v okolju javne uprave </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Uvedba novih ali posodobitev obstoječih aplikacij v uporabi </w:t>
            </w:r>
          </w:p>
        </w:tc>
        <w:tc>
          <w:tcPr>
            <w:tcW w:w="121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2025</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Uvedba novih ali revidiranih revizijskih orodij za ranljivost javnih aplikacij IT na področju kibernetske varnosti. Ocena se izvede s penetracijskimi testi in uporabo programske opreme za oceno ranljivosti, varnostna revizija pa se za preverjanje kritičnih</w:t>
            </w:r>
            <w:r>
              <w:rPr>
                <w:rFonts w:ascii="Times New Roman" w:hAnsi="Times New Roman"/>
                <w:noProof/>
                <w:color w:val="006100"/>
                <w:sz w:val="20"/>
                <w:szCs w:val="20"/>
              </w:rPr>
              <w:t xml:space="preserve"> šibkih točk vedno preveri pred uvedbo. </w:t>
            </w: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Prednost imajo informacijski sistemi, ki so del kritične infrastrukture.</w:t>
            </w:r>
          </w:p>
        </w:tc>
      </w:tr>
      <w:tr w:rsidR="009B5602">
        <w:trPr>
          <w:trHeight w:val="210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17 – Digitalna Slovaška – Reforma 6: Strateški pristop k izobraževanju o digitalnih znanjih in spretnostih v sodelovanju s predstavniki ključnih deležnikov </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Nacionalna strategija za digitalne spretnosti</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Odobritev strategije za digitalna znanja in </w:t>
            </w:r>
            <w:r>
              <w:rPr>
                <w:rFonts w:ascii="Times New Roman" w:hAnsi="Times New Roman"/>
                <w:noProof/>
                <w:color w:val="006100"/>
                <w:sz w:val="20"/>
                <w:szCs w:val="20"/>
              </w:rPr>
              <w:t>spretnosti s strani slovaške vlade in objava</w:t>
            </w:r>
          </w:p>
        </w:tc>
        <w:tc>
          <w:tcPr>
            <w:tcW w:w="121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Strategija se osredotoča na osebe v produktivni in postproduktivni dobi ter vključuje analizo trenutnega stanja, opredelitev obstoječih ovir in vizijo izobraževanja za naslednje obdobje in vseživlj</w:t>
            </w:r>
            <w:r>
              <w:rPr>
                <w:rFonts w:ascii="Times New Roman" w:hAnsi="Times New Roman"/>
                <w:noProof/>
                <w:color w:val="006100"/>
                <w:sz w:val="20"/>
                <w:szCs w:val="20"/>
              </w:rPr>
              <w:t>enjskega učenja v skladu s priporočili OECD 2020 ter predlog ukrepov in priporočil za javne uprave za izboljšanje sedanjega stanja in doseganje zastavljenih ciljev. Ukrepi se financirajo iz drugih virov in ne iz sklada RRF.</w:t>
            </w:r>
          </w:p>
        </w:tc>
      </w:tr>
      <w:tr w:rsidR="009B5602">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21</w:t>
            </w:r>
          </w:p>
        </w:tc>
        <w:tc>
          <w:tcPr>
            <w:tcW w:w="1461"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17 – Digitalna Slovaška – </w:t>
            </w:r>
            <w:r>
              <w:rPr>
                <w:rFonts w:ascii="Times New Roman" w:hAnsi="Times New Roman"/>
                <w:noProof/>
                <w:color w:val="006100"/>
                <w:sz w:val="20"/>
                <w:szCs w:val="20"/>
              </w:rPr>
              <w:t>Naložba 7: Izboljšanje digitalnih znanj in spretnosti starejših ter zagotavljanje tablic za starejše</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 starejših in prikrajšanih oseb, usposobljenih za osnovne digitalne spretnosti</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1 000</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Izvajanje pilotnega projekta za potrditev predlaganih dejavnosti in rešitev za povečanje digitalnih znanj in spretnosti v vzorcu 1000 starejših in prikrajšanih oseb. To se doseže z dokončanjem programa usposabljanja, ki mu sledi razdeljevanje subvencionira</w:t>
            </w:r>
            <w:r>
              <w:rPr>
                <w:rFonts w:ascii="Times New Roman" w:hAnsi="Times New Roman"/>
                <w:noProof/>
                <w:color w:val="006100"/>
                <w:sz w:val="20"/>
                <w:szCs w:val="20"/>
              </w:rPr>
              <w:t xml:space="preserve">ne opreme. </w:t>
            </w:r>
          </w:p>
          <w:p w:rsidR="009B5602" w:rsidRDefault="009B5602">
            <w:pPr>
              <w:spacing w:after="0"/>
              <w:rPr>
                <w:rFonts w:ascii="Times New Roman" w:eastAsia="Times New Roman" w:hAnsi="Times New Roman"/>
                <w:noProof/>
                <w:color w:val="006100"/>
                <w:sz w:val="20"/>
                <w:szCs w:val="20"/>
              </w:rPr>
            </w:pPr>
          </w:p>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Rezultati pilotnega projekta se ocenijo in sprejmejo odločitev o obliki nadaljevanja projekta.</w:t>
            </w:r>
          </w:p>
        </w:tc>
      </w:tr>
      <w:tr w:rsidR="009B5602">
        <w:trPr>
          <w:trHeight w:val="192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22</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Digitalna Slovaška – Naložba 7: Izboljšanje digitalnih znanj in spretnosti starejših ter zagotavljanje tablic za starejše</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cilj</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Število </w:t>
            </w:r>
            <w:r>
              <w:rPr>
                <w:rFonts w:ascii="Times New Roman" w:hAnsi="Times New Roman"/>
                <w:noProof/>
                <w:color w:val="006100"/>
                <w:sz w:val="20"/>
                <w:szCs w:val="20"/>
              </w:rPr>
              <w:t>starejših in prikrajšanih oseb, usposobljenih za osnovne digitalne spretnosti</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število</w:t>
            </w: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1 000</w:t>
            </w: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172 800</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2026</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Na podlagi pilotnega projekta in njegovih priporočil izboljšati digitalne spretnosti 172 800 starejših in prikrajšanih oseb. To se doseže z dokonč</w:t>
            </w:r>
            <w:r>
              <w:rPr>
                <w:rFonts w:ascii="Times New Roman" w:hAnsi="Times New Roman"/>
                <w:noProof/>
                <w:color w:val="006100"/>
                <w:sz w:val="20"/>
                <w:szCs w:val="20"/>
              </w:rPr>
              <w:t xml:space="preserve">anjem programa usposabljanja in razdeljevanjem subvencionirane opreme za vsako osebo. </w:t>
            </w:r>
          </w:p>
        </w:tc>
      </w:tr>
      <w:tr w:rsidR="009B5602">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23</w:t>
            </w:r>
          </w:p>
        </w:tc>
        <w:tc>
          <w:tcPr>
            <w:tcW w:w="1461"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17 – Digitalna Slovaška – Reforma 4: Standardizacija tehničnih in postopkovnih rešitev kibernetske varnosti (ITVS – Informacijske tehnologije za javno upravo)</w:t>
            </w:r>
          </w:p>
        </w:tc>
        <w:tc>
          <w:tcPr>
            <w:tcW w:w="1443"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mejnik</w:t>
            </w:r>
          </w:p>
        </w:tc>
        <w:tc>
          <w:tcPr>
            <w:tcW w:w="1547"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Nacionalni koncept za informatizacijo javne uprave (NKIVS) 2021–2030</w:t>
            </w:r>
          </w:p>
        </w:tc>
        <w:tc>
          <w:tcPr>
            <w:tcW w:w="1625"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Sprejetje in odobritev nacionalnega koncepta za informatizacijo javne uprave v okviru MIRRI in objava </w:t>
            </w:r>
          </w:p>
        </w:tc>
        <w:tc>
          <w:tcPr>
            <w:tcW w:w="1219"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2021</w:t>
            </w:r>
          </w:p>
        </w:tc>
        <w:tc>
          <w:tcPr>
            <w:tcW w:w="3969" w:type="dxa"/>
            <w:tcBorders>
              <w:top w:val="nil"/>
              <w:left w:val="nil"/>
              <w:bottom w:val="single" w:sz="4" w:space="0" w:color="auto"/>
              <w:right w:val="single" w:sz="4" w:space="0" w:color="auto"/>
            </w:tcBorders>
            <w:shd w:val="clear" w:color="auto" w:fill="C6EFCE"/>
            <w:vAlign w:val="center"/>
            <w:hideMark/>
          </w:tcPr>
          <w:p w:rsidR="009B5602" w:rsidRDefault="00886830">
            <w:pPr>
              <w:spacing w:after="0"/>
              <w:rPr>
                <w:rFonts w:ascii="Times New Roman" w:eastAsia="Times New Roman" w:hAnsi="Times New Roman"/>
                <w:noProof/>
                <w:color w:val="006100"/>
                <w:sz w:val="20"/>
                <w:szCs w:val="20"/>
              </w:rPr>
            </w:pPr>
            <w:r>
              <w:rPr>
                <w:rFonts w:ascii="Times New Roman" w:hAnsi="Times New Roman"/>
                <w:noProof/>
                <w:color w:val="006100"/>
                <w:sz w:val="20"/>
                <w:szCs w:val="20"/>
              </w:rPr>
              <w:t xml:space="preserve">Nacionalni koncept za informatizacijo javne uprave (NKIVS) določa </w:t>
            </w:r>
            <w:r>
              <w:rPr>
                <w:rFonts w:ascii="Times New Roman" w:hAnsi="Times New Roman"/>
                <w:noProof/>
                <w:color w:val="006100"/>
                <w:sz w:val="20"/>
                <w:szCs w:val="20"/>
              </w:rPr>
              <w:t xml:space="preserve">okvir za digitalne reforme na usklajen način z RRP. Posamezni ukrepi in projekti RRP izvajajo ustrezne strateške naloge NKIVS. NKIVS določi okvir za standardizacijo zahtev za kibernetsko varnost. Potrebni bi bili nadaljnji ukrepi za določitev tehničnih in </w:t>
            </w:r>
            <w:r>
              <w:rPr>
                <w:rFonts w:ascii="Times New Roman" w:hAnsi="Times New Roman"/>
                <w:noProof/>
                <w:color w:val="006100"/>
                <w:sz w:val="20"/>
                <w:szCs w:val="20"/>
              </w:rPr>
              <w:t>postopkovnih standardov za kibernetsko varnost.</w:t>
            </w:r>
          </w:p>
        </w:tc>
      </w:tr>
    </w:tbl>
    <w:p w:rsidR="009B5602" w:rsidRPr="00886830" w:rsidRDefault="009B5602">
      <w:pPr>
        <w:spacing w:before="120" w:after="120" w:line="240" w:lineRule="auto"/>
        <w:rPr>
          <w:rFonts w:ascii="Times New Roman" w:hAnsi="Times New Roman"/>
          <w:noProof/>
          <w:sz w:val="24"/>
        </w:rPr>
      </w:pPr>
    </w:p>
    <w:p w:rsidR="009B5602" w:rsidRDefault="009B5602">
      <w:pPr>
        <w:tabs>
          <w:tab w:val="left" w:pos="3918"/>
        </w:tabs>
        <w:spacing w:before="120" w:after="120" w:line="240" w:lineRule="auto"/>
        <w:jc w:val="both"/>
        <w:rPr>
          <w:rFonts w:ascii="Times New Roman" w:hAnsi="Times New Roman"/>
          <w:noProof/>
          <w:sz w:val="24"/>
        </w:rPr>
        <w:sectPr w:rsidR="009B5602">
          <w:headerReference w:type="even" r:id="rId216"/>
          <w:headerReference w:type="default" r:id="rId217"/>
          <w:footerReference w:type="even" r:id="rId218"/>
          <w:footerReference w:type="default" r:id="rId219"/>
          <w:headerReference w:type="first" r:id="rId220"/>
          <w:footerReference w:type="first" r:id="rId221"/>
          <w:pgSz w:w="16839" w:h="11907" w:orient="landscape"/>
          <w:pgMar w:top="0" w:right="1134" w:bottom="1418" w:left="1134" w:header="709" w:footer="709" w:gutter="0"/>
          <w:cols w:space="720"/>
          <w:docGrid w:linePitch="360"/>
        </w:sectPr>
      </w:pPr>
    </w:p>
    <w:p w:rsidR="009B5602" w:rsidRDefault="00886830">
      <w:pPr>
        <w:keepNext/>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KOMPONENTA 18: Zdrave, vzdržne in konkurenčne javne finance</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Slovaška se sooča z visokimi tveganji za fiskalno vzdržnost zaradi kombinacije staranja </w:t>
      </w:r>
      <w:r>
        <w:rPr>
          <w:rFonts w:ascii="Times New Roman" w:hAnsi="Times New Roman"/>
          <w:noProof/>
          <w:sz w:val="24"/>
          <w:szCs w:val="24"/>
        </w:rPr>
        <w:t>prebivalstva, fiskalno nevzdržnega pokojninskega sistema in okvira fiskalne politike, ki ne spodbuja dovolj fiskalne vzdržnosti. Poleg tega se potencial okoljskih davkov in davkov na nepremičnine za prihodke v primerjavi z drugimi državami EU premalo izkor</w:t>
      </w:r>
      <w:r>
        <w:rPr>
          <w:rFonts w:ascii="Times New Roman" w:hAnsi="Times New Roman"/>
          <w:noProof/>
          <w:sz w:val="24"/>
          <w:szCs w:val="24"/>
        </w:rPr>
        <w:t>išča.</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Ta komponenta slovaškega načrta za okrevanje in odpornost bo izboljšala vzdržnost, zdravje in konkurenčnost javnih financ s pomočjo treh reformnih elementov, in sicer pokojninske reforme, večletnih zgornjih mej odhodkov in reforme upravljanja javnih </w:t>
      </w:r>
      <w:r>
        <w:rPr>
          <w:rFonts w:ascii="Times New Roman" w:hAnsi="Times New Roman"/>
          <w:noProof/>
          <w:sz w:val="24"/>
          <w:szCs w:val="24"/>
        </w:rPr>
        <w:t xml:space="preserve">naložb.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Pričakuje se, da noben ukrep v tej komponenti ne bo znatno škodoval okoljskim ciljem v smislu člena 17 Uredbe (EU) 2020/852, ob upoštevanju opisa ukrepov in ukrepov za ublažitev, določenih v načrtu za okrevanje in odpornost v skladu s tehničnimi s</w:t>
      </w:r>
      <w:r>
        <w:rPr>
          <w:rFonts w:ascii="Times New Roman" w:hAnsi="Times New Roman"/>
          <w:noProof/>
          <w:sz w:val="24"/>
          <w:szCs w:val="24"/>
        </w:rPr>
        <w:t xml:space="preserve">mernicami za uporabo načela, da se ne škoduje bistveno (2021/C58/01).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Komponenta tako prispeva k obravnavi priporočila za posamezno državo št. 1 iz leta 2019 za zaščito dolgoročne vzdržnosti javnih financ, zlasti pokojninskega sistema, in k obravnavi pri</w:t>
      </w:r>
      <w:r>
        <w:rPr>
          <w:rFonts w:ascii="Times New Roman" w:hAnsi="Times New Roman"/>
          <w:noProof/>
          <w:sz w:val="24"/>
        </w:rPr>
        <w:t>poročila za posamezno državo št. 1 iz leta 2020 o izvajanju fiskalnih politik, namenjenih doseganju preudarnega srednjeročnega fiskalnega položaja in zagotavljanju vzdržnosti dolga, kadar gospodarske razmere to dopuščajo. Pomaga tudi pri izvajanju priporoč</w:t>
      </w:r>
      <w:r>
        <w:rPr>
          <w:rFonts w:ascii="Times New Roman" w:hAnsi="Times New Roman"/>
          <w:noProof/>
          <w:sz w:val="24"/>
        </w:rPr>
        <w:t>ila za posamezno državo št. 3 iz leta 2020 in priporočila za posamezno državo št. 3 iz leta 2019, da se v začetni fazi zagotovijo zreli projekti javnih naložb in da se osredotočijo naložbe na posebna področja.</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Reforma 1: Izboljšanje vzdržnosti pokojninskeg</w:t>
      </w:r>
      <w:r>
        <w:rPr>
          <w:rFonts w:ascii="Times New Roman" w:hAnsi="Times New Roman"/>
          <w:b/>
          <w:noProof/>
          <w:sz w:val="24"/>
        </w:rPr>
        <w:t>a sistema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Slovaške javne finance se soočajo z visokimi srednje– in dolgoročnimi tveganji glede vzdržnosti. To je deloma posledica hitrega staranja prebivalstva. Koeficient starostne odvisnosti starejših (v primerjavi z deležem starejšega prebivalstva, ki d</w:t>
      </w:r>
      <w:r>
        <w:rPr>
          <w:rFonts w:ascii="Times New Roman" w:hAnsi="Times New Roman"/>
          <w:noProof/>
          <w:sz w:val="24"/>
        </w:rPr>
        <w:t>ela ali se usposablja) naj bi se do leta 2060 skoraj potrojil. Zgornje meje upokojitvene starosti stopnjujejo posledice za dolgoročno vzdržnost javnih financ. Poleg tega so prihranki v drugem stebru pokojninskega sistema neučinkoviti in prinašajo nizke don</w:t>
      </w:r>
      <w:r>
        <w:rPr>
          <w:rFonts w:ascii="Times New Roman" w:hAnsi="Times New Roman"/>
          <w:noProof/>
          <w:sz w:val="24"/>
        </w:rPr>
        <w:t>ose, ozaveščenost prebivalstva pa je nizka.</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Pokojninska reforma bo izboljšala dolgoročno fiskalno vzdržnost pokojninskega sistema. V ta namen poveže upokojitveno starost s pričakovano življenjsko dobo in odpravi zgornje meje upokojitvene starosti. Poleg te</w:t>
      </w:r>
      <w:r>
        <w:rPr>
          <w:rFonts w:ascii="Times New Roman" w:hAnsi="Times New Roman"/>
          <w:noProof/>
          <w:sz w:val="24"/>
        </w:rPr>
        <w:t>ga zagotovi upravičenost do aktuarsko nevtralnega prejemka po minimalnem številu let dela in uvede novo strategijo varčevanja, ki temelji na življenjskem ciklu, v drugem pokojninskem stebru, ki manj vlaga v obveznice z nizkim donosom, z možnostjo izvzetja,</w:t>
      </w:r>
      <w:r>
        <w:rPr>
          <w:rFonts w:ascii="Times New Roman" w:hAnsi="Times New Roman"/>
          <w:noProof/>
          <w:sz w:val="24"/>
        </w:rPr>
        <w:t xml:space="preserve"> da se poveča učinkovitost prihrankov v drugem stebru. Prav tako poveča preglednost z rednim obveščanjem ljudi o njihovih pričakovanih pokojninah.</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Reforma se izvede do 31. marca 2023.</w:t>
      </w:r>
    </w:p>
    <w:p w:rsidR="009B5602" w:rsidRDefault="00886830">
      <w:pPr>
        <w:spacing w:before="120" w:after="120" w:line="240" w:lineRule="auto"/>
        <w:jc w:val="both"/>
        <w:rPr>
          <w:rFonts w:ascii="Times New Roman" w:hAnsi="Times New Roman"/>
          <w:b/>
          <w:noProof/>
          <w:sz w:val="24"/>
        </w:rPr>
      </w:pPr>
      <w:r>
        <w:rPr>
          <w:rFonts w:ascii="Times New Roman" w:hAnsi="Times New Roman"/>
          <w:b/>
          <w:noProof/>
          <w:sz w:val="24"/>
        </w:rPr>
        <w:t>Reforma 2: Uvedba večletnih zgornjih mej odhodkov</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Srednjeročni proračuns</w:t>
      </w:r>
      <w:r>
        <w:rPr>
          <w:rFonts w:ascii="Times New Roman" w:hAnsi="Times New Roman"/>
          <w:noProof/>
          <w:sz w:val="24"/>
          <w:szCs w:val="24"/>
        </w:rPr>
        <w:t>ki okvir Slovaške ni spodbujal zadostne fiskalne discipline. Slovaška v ugodnih gospodarskih razmerah ni uspela izvajati proticiklične fiskalne politike. To negativno vpliva na srednje– in dolgoročno fiskalno vzdržnost.</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Ta reforma bo zato okrepila fiskalno</w:t>
      </w:r>
      <w:r>
        <w:rPr>
          <w:rFonts w:ascii="Times New Roman" w:hAnsi="Times New Roman"/>
          <w:noProof/>
          <w:sz w:val="24"/>
          <w:szCs w:val="24"/>
        </w:rPr>
        <w:t xml:space="preserve"> disciplino, da bi se izboljšala srednje– in dolgoročna fiskalna vzdržnost. V ta namen se uvedejo zavezujoče večletne zgornje meje odhodkov kot ključno orodje za boljše izvajanje proticiklične fiskalne politike, izboljšanje proračunskega načrtovanja in dos</w:t>
      </w:r>
      <w:r>
        <w:rPr>
          <w:rFonts w:ascii="Times New Roman" w:hAnsi="Times New Roman"/>
          <w:noProof/>
          <w:sz w:val="24"/>
          <w:szCs w:val="24"/>
        </w:rPr>
        <w:t>eganje dolgoročne fiskalne vzdržnosti. Te zgornje meje odhodkov so povezane z načrtovanim strukturnim saldom, povezanim s cilji dolgoročne vzdržnosti. Izvede se v programu stabilnosti 2022–2025 aprila 2022, da se zajame celoten proračunski cikel za leto 20</w:t>
      </w:r>
      <w:r>
        <w:rPr>
          <w:rFonts w:ascii="Times New Roman" w:hAnsi="Times New Roman"/>
          <w:noProof/>
          <w:sz w:val="24"/>
          <w:szCs w:val="24"/>
        </w:rPr>
        <w:t>23.</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Reforma se izvede do 31. decembra 2021.</w:t>
      </w:r>
    </w:p>
    <w:p w:rsidR="009B5602" w:rsidRDefault="009B5602">
      <w:pPr>
        <w:spacing w:before="120" w:after="120" w:line="240" w:lineRule="auto"/>
        <w:jc w:val="both"/>
        <w:rPr>
          <w:rFonts w:ascii="Times New Roman" w:hAnsi="Times New Roman"/>
          <w:noProof/>
          <w:sz w:val="24"/>
          <w:szCs w:val="24"/>
        </w:rPr>
      </w:pPr>
    </w:p>
    <w:p w:rsidR="009B5602" w:rsidRDefault="00886830">
      <w:pPr>
        <w:spacing w:before="120" w:after="120" w:line="240" w:lineRule="auto"/>
        <w:jc w:val="both"/>
        <w:rPr>
          <w:rFonts w:ascii="Times New Roman" w:hAnsi="Times New Roman"/>
          <w:b/>
          <w:noProof/>
          <w:sz w:val="24"/>
          <w:szCs w:val="24"/>
        </w:rPr>
      </w:pPr>
      <w:r>
        <w:rPr>
          <w:rFonts w:ascii="Times New Roman" w:hAnsi="Times New Roman"/>
          <w:b/>
          <w:noProof/>
          <w:sz w:val="24"/>
          <w:szCs w:val="24"/>
        </w:rPr>
        <w:t>Reforma 3: Racionalizacija javnih naložb</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Ekonomska vrednost večine javnih naložbenih projektov, ki jih je ocenilo ministrstvo za finance, je le nekoliko presegla njihove stroške, pri čemer je razmerje med korist</w:t>
      </w:r>
      <w:r>
        <w:rPr>
          <w:rFonts w:ascii="Times New Roman" w:hAnsi="Times New Roman"/>
          <w:noProof/>
          <w:sz w:val="24"/>
          <w:szCs w:val="24"/>
        </w:rPr>
        <w:t>mi in stroški projektov (BCR) med 1,0 in 1,5. Poleg tega so stopnje črpanja proračuna za javne naložbe nizke, kar kaže na težave pri načrtovanju in izvrševanju proračuna. Hkrati pa pri prednostnem razvrščanju naložb ni objektivnih in racionaliziranih meril</w:t>
      </w:r>
      <w:r>
        <w:rPr>
          <w:rFonts w:ascii="Times New Roman" w:hAnsi="Times New Roman"/>
          <w:noProof/>
          <w:sz w:val="24"/>
          <w:szCs w:val="24"/>
        </w:rPr>
        <w:t>.</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Reforma bo z dosledno uporabo načel stroškovne učinkovitosti bolje pripravila projekte javnih naložb. Od samega začetka strateško daje prednost naložbenim projektom in pripravi proračun le za zrele projekte. Da bi dosegli te cilje, bo reforma v praksi uv</w:t>
      </w:r>
      <w:r>
        <w:rPr>
          <w:rFonts w:ascii="Times New Roman" w:hAnsi="Times New Roman"/>
          <w:noProof/>
          <w:sz w:val="24"/>
          <w:szCs w:val="24"/>
        </w:rPr>
        <w:t xml:space="preserve">edla novo in usklajeno metodologijo za pripravo in prednostno razvrščanje projektov javnih naložb. Ta metodologija omogoča razvoj sektorskih seznamov projektov in izboljšanje povprečnega razmerja med stroški in koristmi novo izbranih naložbenih projektov, </w:t>
      </w:r>
      <w:r>
        <w:rPr>
          <w:rFonts w:ascii="Times New Roman" w:hAnsi="Times New Roman"/>
          <w:noProof/>
          <w:sz w:val="24"/>
          <w:szCs w:val="24"/>
        </w:rPr>
        <w:t xml:space="preserve">hkrati pa povečuje natančnost načrtovanja proračuna naložb. Naložbeni proces se standardizira za vse projekte, ki se ocenijo centralno in že v zgodnji fazi. </w:t>
      </w:r>
    </w:p>
    <w:p w:rsidR="009B5602" w:rsidRDefault="00886830">
      <w:pPr>
        <w:spacing w:before="120" w:after="120" w:line="240" w:lineRule="auto"/>
        <w:jc w:val="both"/>
        <w:rPr>
          <w:rFonts w:ascii="Times New Roman" w:hAnsi="Times New Roman"/>
          <w:noProof/>
          <w:sz w:val="24"/>
          <w:szCs w:val="24"/>
        </w:rPr>
      </w:pPr>
      <w:r>
        <w:rPr>
          <w:rFonts w:ascii="Times New Roman" w:hAnsi="Times New Roman"/>
          <w:noProof/>
          <w:sz w:val="24"/>
          <w:szCs w:val="24"/>
        </w:rPr>
        <w:t>Reforma se izvede do 30. junija 2026.</w:t>
      </w:r>
    </w:p>
    <w:p w:rsidR="009B5602" w:rsidRDefault="009B5602">
      <w:pPr>
        <w:spacing w:before="120" w:after="120" w:line="240" w:lineRule="auto"/>
        <w:ind w:left="850"/>
        <w:jc w:val="both"/>
        <w:rPr>
          <w:rFonts w:ascii="Times New Roman" w:hAnsi="Times New Roman"/>
          <w:noProof/>
          <w:sz w:val="24"/>
          <w:u w:val="single"/>
        </w:rPr>
        <w:sectPr w:rsidR="009B5602">
          <w:headerReference w:type="even" r:id="rId222"/>
          <w:headerReference w:type="default" r:id="rId223"/>
          <w:footerReference w:type="even" r:id="rId224"/>
          <w:footerReference w:type="default" r:id="rId225"/>
          <w:headerReference w:type="first" r:id="rId226"/>
          <w:footerReference w:type="first" r:id="rId227"/>
          <w:pgSz w:w="11907" w:h="16839"/>
          <w:pgMar w:top="1134" w:right="1418" w:bottom="1134" w:left="1418" w:header="709" w:footer="709" w:gutter="0"/>
          <w:cols w:space="720"/>
          <w:docGrid w:linePitch="360"/>
        </w:sectPr>
      </w:pPr>
    </w:p>
    <w:p w:rsidR="009B5602" w:rsidRDefault="009B5602">
      <w:pPr>
        <w:spacing w:before="120" w:after="120" w:line="240" w:lineRule="auto"/>
        <w:ind w:left="850"/>
        <w:jc w:val="both"/>
        <w:rPr>
          <w:rFonts w:ascii="Times New Roman" w:hAnsi="Times New Roman"/>
          <w:noProof/>
          <w:sz w:val="24"/>
          <w:u w:val="single"/>
        </w:rPr>
      </w:pPr>
    </w:p>
    <w:p w:rsidR="009B5602" w:rsidRDefault="00886830">
      <w:pPr>
        <w:spacing w:before="120" w:after="120" w:line="240" w:lineRule="auto"/>
        <w:ind w:left="850"/>
        <w:jc w:val="both"/>
        <w:rPr>
          <w:rFonts w:ascii="Times New Roman" w:hAnsi="Times New Roman"/>
          <w:b/>
          <w:bCs/>
          <w:noProof/>
          <w:sz w:val="24"/>
          <w:szCs w:val="24"/>
          <w:u w:val="single"/>
        </w:rPr>
      </w:pPr>
      <w:r>
        <w:rPr>
          <w:rFonts w:ascii="Times New Roman" w:hAnsi="Times New Roman"/>
          <w:b/>
          <w:bCs/>
          <w:noProof/>
          <w:sz w:val="24"/>
          <w:szCs w:val="24"/>
          <w:u w:val="single"/>
        </w:rPr>
        <w:t xml:space="preserve">A.2 </w:t>
      </w:r>
      <w:r>
        <w:rPr>
          <w:noProof/>
        </w:rPr>
        <w:tab/>
      </w:r>
      <w:r>
        <w:rPr>
          <w:rFonts w:ascii="Times New Roman" w:hAnsi="Times New Roman"/>
          <w:b/>
          <w:bCs/>
          <w:noProof/>
          <w:sz w:val="24"/>
          <w:szCs w:val="24"/>
          <w:u w:val="single"/>
        </w:rPr>
        <w:t>Mejniki, cilji, kazalniki in časovni razpored za spremljanje in izvajanje nepovratne finančne podpore</w:t>
      </w:r>
    </w:p>
    <w:p w:rsidR="009B5602" w:rsidRPr="00886830" w:rsidRDefault="009B5602">
      <w:pPr>
        <w:spacing w:before="120" w:after="120" w:line="240" w:lineRule="auto"/>
        <w:jc w:val="both"/>
        <w:rPr>
          <w:noProof/>
        </w:rPr>
      </w:pPr>
    </w:p>
    <w:tbl>
      <w:tblPr>
        <w:tblW w:w="15168" w:type="dxa"/>
        <w:tblInd w:w="-318" w:type="dxa"/>
        <w:shd w:val="clear" w:color="auto" w:fill="C6EFCE"/>
        <w:tblLayout w:type="fixed"/>
        <w:tblLook w:val="04A0" w:firstRow="1" w:lastRow="0" w:firstColumn="1" w:lastColumn="0" w:noHBand="0" w:noVBand="1"/>
      </w:tblPr>
      <w:tblGrid>
        <w:gridCol w:w="959"/>
        <w:gridCol w:w="992"/>
        <w:gridCol w:w="1169"/>
        <w:gridCol w:w="850"/>
        <w:gridCol w:w="1276"/>
        <w:gridCol w:w="1276"/>
        <w:gridCol w:w="1383"/>
        <w:gridCol w:w="850"/>
        <w:gridCol w:w="1134"/>
        <w:gridCol w:w="1134"/>
        <w:gridCol w:w="4145"/>
      </w:tblGrid>
      <w:tr w:rsidR="009B5602">
        <w:trPr>
          <w:trHeight w:val="900"/>
        </w:trPr>
        <w:tc>
          <w:tcPr>
            <w:tcW w:w="959"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Zap. št.</w:t>
            </w:r>
          </w:p>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 </w:t>
            </w:r>
          </w:p>
          <w:p w:rsidR="009B5602" w:rsidRDefault="00886830">
            <w:pPr>
              <w:jc w:val="center"/>
              <w:rPr>
                <w:rFonts w:ascii="Times New Roman" w:eastAsia="Times New Roman" w:hAnsi="Times New Roman"/>
                <w:b/>
                <w:noProof/>
                <w:sz w:val="20"/>
                <w:szCs w:val="20"/>
              </w:rPr>
            </w:pPr>
            <w:r>
              <w:rPr>
                <w:rFonts w:ascii="Times New Roman" w:hAnsi="Times New Roman"/>
                <w:b/>
                <w:bCs/>
                <w:noProof/>
                <w:sz w:val="20"/>
                <w:szCs w:val="20"/>
              </w:rPr>
              <w:t xml:space="preserve"> </w:t>
            </w:r>
          </w:p>
        </w:tc>
        <w:tc>
          <w:tcPr>
            <w:tcW w:w="992"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Povezani ukrep (reforma ali naložba)</w:t>
            </w:r>
          </w:p>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 </w:t>
            </w:r>
          </w:p>
          <w:p w:rsidR="009B5602" w:rsidRDefault="00886830">
            <w:pPr>
              <w:jc w:val="center"/>
              <w:rPr>
                <w:rFonts w:ascii="Times New Roman" w:eastAsia="Times New Roman" w:hAnsi="Times New Roman"/>
                <w:b/>
                <w:noProof/>
                <w:sz w:val="20"/>
                <w:szCs w:val="20"/>
              </w:rPr>
            </w:pPr>
            <w:r>
              <w:rPr>
                <w:rFonts w:ascii="Times New Roman" w:hAnsi="Times New Roman"/>
                <w:b/>
                <w:bCs/>
                <w:noProof/>
                <w:sz w:val="20"/>
                <w:szCs w:val="20"/>
              </w:rPr>
              <w:t xml:space="preserve"> </w:t>
            </w:r>
          </w:p>
        </w:tc>
        <w:tc>
          <w:tcPr>
            <w:tcW w:w="1169"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Mejnik/cilj</w:t>
            </w:r>
          </w:p>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 </w:t>
            </w:r>
          </w:p>
          <w:p w:rsidR="009B5602" w:rsidRDefault="00886830">
            <w:pPr>
              <w:spacing w:after="0"/>
              <w:rPr>
                <w:rFonts w:ascii="Times New Roman" w:eastAsia="Times New Roman" w:hAnsi="Times New Roman"/>
                <w:b/>
                <w:noProof/>
                <w:sz w:val="20"/>
                <w:szCs w:val="20"/>
              </w:rPr>
            </w:pPr>
            <w:r>
              <w:rPr>
                <w:rFonts w:ascii="Times New Roman" w:hAnsi="Times New Roman"/>
                <w:b/>
                <w:bCs/>
                <w:noProof/>
                <w:sz w:val="20"/>
                <w:szCs w:val="20"/>
              </w:rPr>
              <w:t xml:space="preserve"> </w:t>
            </w:r>
          </w:p>
        </w:tc>
        <w:tc>
          <w:tcPr>
            <w:tcW w:w="850"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Ime</w:t>
            </w:r>
          </w:p>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 </w:t>
            </w:r>
          </w:p>
          <w:p w:rsidR="009B5602" w:rsidRDefault="00886830">
            <w:pPr>
              <w:jc w:val="center"/>
              <w:rPr>
                <w:rFonts w:ascii="Times New Roman" w:eastAsia="Times New Roman" w:hAnsi="Times New Roman"/>
                <w:b/>
                <w:noProof/>
                <w:sz w:val="20"/>
                <w:szCs w:val="20"/>
              </w:rPr>
            </w:pPr>
            <w:r>
              <w:rPr>
                <w:rFonts w:ascii="Times New Roman" w:hAnsi="Times New Roman"/>
                <w:b/>
                <w:bCs/>
                <w:noProof/>
                <w:sz w:val="20"/>
                <w:szCs w:val="20"/>
              </w:rPr>
              <w:t xml:space="preserve"> </w:t>
            </w:r>
          </w:p>
        </w:tc>
        <w:tc>
          <w:tcPr>
            <w:tcW w:w="1276" w:type="dxa"/>
            <w:vMerge w:val="restart"/>
            <w:tcBorders>
              <w:top w:val="single" w:sz="8" w:space="0" w:color="auto"/>
              <w:left w:val="single" w:sz="8" w:space="0" w:color="auto"/>
              <w:right w:val="single" w:sz="8" w:space="0" w:color="auto"/>
            </w:tcBorders>
            <w:shd w:val="clear" w:color="auto" w:fill="BDD7EE"/>
            <w:vAlign w:val="center"/>
          </w:tcPr>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Kvalitativni kazalniki (za mejnike)</w:t>
            </w:r>
          </w:p>
          <w:p w:rsidR="009B5602" w:rsidRDefault="00886830">
            <w:pPr>
              <w:spacing w:after="0"/>
              <w:rPr>
                <w:rFonts w:ascii="Times New Roman" w:eastAsia="Times New Roman" w:hAnsi="Times New Roman"/>
                <w:b/>
                <w:noProof/>
                <w:sz w:val="20"/>
                <w:szCs w:val="20"/>
              </w:rPr>
            </w:pPr>
            <w:r>
              <w:rPr>
                <w:rFonts w:ascii="Times New Roman" w:hAnsi="Times New Roman"/>
                <w:b/>
                <w:noProof/>
                <w:sz w:val="20"/>
                <w:szCs w:val="20"/>
              </w:rPr>
              <w:t> </w:t>
            </w:r>
          </w:p>
          <w:p w:rsidR="009B5602" w:rsidRDefault="00886830">
            <w:pPr>
              <w:jc w:val="center"/>
              <w:rPr>
                <w:rFonts w:ascii="Times New Roman" w:eastAsia="Times New Roman" w:hAnsi="Times New Roman"/>
                <w:b/>
                <w:noProof/>
                <w:sz w:val="20"/>
                <w:szCs w:val="20"/>
              </w:rPr>
            </w:pPr>
            <w:r>
              <w:rPr>
                <w:rFonts w:ascii="Times New Roman" w:hAnsi="Times New Roman"/>
                <w:b/>
                <w:bCs/>
                <w:noProof/>
                <w:sz w:val="20"/>
                <w:szCs w:val="20"/>
              </w:rPr>
              <w:t xml:space="preserve"> </w:t>
            </w:r>
          </w:p>
        </w:tc>
        <w:tc>
          <w:tcPr>
            <w:tcW w:w="3509"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Kvantitativni kazalniki (za cilje)</w:t>
            </w:r>
          </w:p>
        </w:tc>
        <w:tc>
          <w:tcPr>
            <w:tcW w:w="2268" w:type="dxa"/>
            <w:gridSpan w:val="2"/>
            <w:tcBorders>
              <w:top w:val="single" w:sz="8" w:space="0" w:color="auto"/>
              <w:left w:val="nil"/>
              <w:bottom w:val="single" w:sz="8" w:space="0" w:color="auto"/>
              <w:right w:val="single" w:sz="8" w:space="0" w:color="000000"/>
            </w:tcBorders>
            <w:shd w:val="clear" w:color="auto" w:fill="BDD7EE"/>
            <w:vAlign w:val="center"/>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Okvirni časovni razpored za dokončanje</w:t>
            </w:r>
          </w:p>
        </w:tc>
        <w:tc>
          <w:tcPr>
            <w:tcW w:w="4145" w:type="dxa"/>
            <w:vMerge w:val="restart"/>
            <w:tcBorders>
              <w:top w:val="single" w:sz="8" w:space="0" w:color="auto"/>
              <w:left w:val="nil"/>
              <w:right w:val="single" w:sz="8" w:space="0" w:color="auto"/>
            </w:tcBorders>
            <w:shd w:val="clear" w:color="auto" w:fill="BDD7EE"/>
            <w:vAlign w:val="center"/>
          </w:tcPr>
          <w:p w:rsidR="009B5602" w:rsidRDefault="00886830">
            <w:pPr>
              <w:spacing w:after="0"/>
              <w:jc w:val="center"/>
              <w:rPr>
                <w:rFonts w:ascii="Times New Roman" w:eastAsia="Times New Roman" w:hAnsi="Times New Roman"/>
                <w:b/>
                <w:noProof/>
                <w:sz w:val="20"/>
                <w:szCs w:val="20"/>
              </w:rPr>
            </w:pPr>
            <w:r>
              <w:rPr>
                <w:rFonts w:ascii="Times New Roman" w:hAnsi="Times New Roman"/>
                <w:b/>
                <w:noProof/>
                <w:sz w:val="20"/>
                <w:szCs w:val="20"/>
              </w:rPr>
              <w:t>Opis in jasna opredelitev vsakega mejnika in cilja</w:t>
            </w:r>
          </w:p>
          <w:p w:rsidR="009B5602" w:rsidRDefault="009B5602">
            <w:pPr>
              <w:spacing w:after="0"/>
              <w:jc w:val="center"/>
              <w:rPr>
                <w:rFonts w:ascii="Times New Roman" w:eastAsia="Times New Roman" w:hAnsi="Times New Roman"/>
                <w:b/>
                <w:noProof/>
                <w:sz w:val="20"/>
                <w:szCs w:val="20"/>
              </w:rPr>
            </w:pPr>
          </w:p>
          <w:p w:rsidR="009B5602" w:rsidRDefault="009B5602">
            <w:pPr>
              <w:jc w:val="center"/>
              <w:rPr>
                <w:rFonts w:ascii="Times New Roman" w:eastAsia="Times New Roman" w:hAnsi="Times New Roman"/>
                <w:b/>
                <w:noProof/>
                <w:sz w:val="20"/>
                <w:szCs w:val="20"/>
              </w:rPr>
            </w:pPr>
          </w:p>
        </w:tc>
      </w:tr>
      <w:tr w:rsidR="009B5602">
        <w:trPr>
          <w:trHeight w:val="585"/>
        </w:trPr>
        <w:tc>
          <w:tcPr>
            <w:tcW w:w="959"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992"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169"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850"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276"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c>
          <w:tcPr>
            <w:tcW w:w="1276" w:type="dxa"/>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Merska enota</w:t>
            </w:r>
          </w:p>
        </w:tc>
        <w:tc>
          <w:tcPr>
            <w:tcW w:w="1383" w:type="dxa"/>
            <w:tcBorders>
              <w:top w:val="nil"/>
              <w:left w:val="single" w:sz="8" w:space="0" w:color="auto"/>
              <w:bottom w:val="single" w:sz="8" w:space="0" w:color="auto"/>
              <w:right w:val="single" w:sz="8" w:space="0" w:color="auto"/>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Ozadje</w:t>
            </w:r>
          </w:p>
        </w:tc>
        <w:tc>
          <w:tcPr>
            <w:tcW w:w="850" w:type="dxa"/>
            <w:tcBorders>
              <w:top w:val="nil"/>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cilj</w:t>
            </w:r>
          </w:p>
        </w:tc>
        <w:tc>
          <w:tcPr>
            <w:tcW w:w="1134" w:type="dxa"/>
            <w:tcBorders>
              <w:top w:val="single" w:sz="8" w:space="0" w:color="auto"/>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Četrtletje</w:t>
            </w:r>
          </w:p>
        </w:tc>
        <w:tc>
          <w:tcPr>
            <w:tcW w:w="1134" w:type="dxa"/>
            <w:tcBorders>
              <w:top w:val="nil"/>
              <w:left w:val="single" w:sz="8" w:space="0" w:color="auto"/>
              <w:bottom w:val="single" w:sz="8" w:space="0" w:color="auto"/>
              <w:right w:val="single" w:sz="8" w:space="0" w:color="000000"/>
            </w:tcBorders>
            <w:shd w:val="clear" w:color="auto" w:fill="BDD7EE"/>
            <w:vAlign w:val="center"/>
          </w:tcPr>
          <w:p w:rsidR="009B5602" w:rsidRDefault="00886830">
            <w:pPr>
              <w:jc w:val="center"/>
              <w:rPr>
                <w:rFonts w:ascii="Times New Roman" w:hAnsi="Times New Roman"/>
                <w:noProof/>
                <w:sz w:val="20"/>
                <w:szCs w:val="20"/>
              </w:rPr>
            </w:pPr>
            <w:r>
              <w:rPr>
                <w:rFonts w:ascii="Times New Roman" w:hAnsi="Times New Roman"/>
                <w:b/>
                <w:bCs/>
                <w:noProof/>
                <w:sz w:val="20"/>
                <w:szCs w:val="20"/>
              </w:rPr>
              <w:t>Leto</w:t>
            </w:r>
          </w:p>
        </w:tc>
        <w:tc>
          <w:tcPr>
            <w:tcW w:w="4145" w:type="dxa"/>
            <w:vMerge/>
            <w:tcBorders>
              <w:left w:val="single" w:sz="8" w:space="0" w:color="auto"/>
              <w:bottom w:val="single" w:sz="8" w:space="0" w:color="auto"/>
              <w:right w:val="single" w:sz="8" w:space="0" w:color="auto"/>
            </w:tcBorders>
            <w:shd w:val="clear" w:color="auto" w:fill="BDD7EE"/>
            <w:vAlign w:val="center"/>
          </w:tcPr>
          <w:p w:rsidR="009B5602" w:rsidRDefault="009B5602">
            <w:pPr>
              <w:jc w:val="center"/>
              <w:rPr>
                <w:rFonts w:ascii="Times New Roman" w:hAnsi="Times New Roman"/>
                <w:noProof/>
                <w:sz w:val="20"/>
                <w:szCs w:val="20"/>
              </w:rPr>
            </w:pPr>
          </w:p>
        </w:tc>
      </w:tr>
      <w:tr w:rsidR="009B5602">
        <w:trPr>
          <w:trHeight w:val="180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18 – Zdrave, vzdržne in konkurenčne javne finance – Reforma 1: Izboljšanje vzdržnosti pokojninskega sistema</w:t>
            </w:r>
          </w:p>
        </w:tc>
        <w:tc>
          <w:tcPr>
            <w:tcW w:w="116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mejnik</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 Reforma pokojninskega sistema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Začetek veljavnosti svežnja sprememb (št. 461/2003 zb. o socialnem zavarovanju in št.</w:t>
            </w:r>
            <w:r>
              <w:rPr>
                <w:rFonts w:ascii="Times New Roman" w:hAnsi="Times New Roman"/>
                <w:noProof/>
                <w:sz w:val="20"/>
                <w:szCs w:val="20"/>
              </w:rPr>
              <w:t xml:space="preserve"> 43/2004 zb. o pokojninskem varčevanju)</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 </w:t>
            </w:r>
          </w:p>
        </w:tc>
        <w:tc>
          <w:tcPr>
            <w:tcW w:w="138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sz w:val="20"/>
                <w:szCs w:val="20"/>
              </w:rPr>
              <w:t>Q1</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sz w:val="20"/>
                <w:szCs w:val="20"/>
              </w:rPr>
              <w:t>2023</w:t>
            </w:r>
          </w:p>
        </w:tc>
        <w:tc>
          <w:tcPr>
            <w:tcW w:w="414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Začetek veljavnosti svežnja v parlamentu (Zakon o socialnem zavarovanju in zakon o prihrankih starostnih pokojnin) do konca četrtega četrtletja 2022 z učinkom od prvega četrtletja 2023, s čimer se bo iz</w:t>
            </w:r>
            <w:r>
              <w:rPr>
                <w:rFonts w:ascii="Times New Roman" w:hAnsi="Times New Roman"/>
                <w:noProof/>
                <w:sz w:val="20"/>
                <w:szCs w:val="20"/>
              </w:rPr>
              <w:t xml:space="preserve">boljšala dolgoročna finančna vzdržnost pokojninskega sistema, in sicer:1) povezovanje dviga upokojitvene starosti s podaljšanjem pričakovane življenjske dobe, 2) uvedba pravice do aktuarsko nevtralnih prejemkov iz prvega dokladnega pokojninskega stebra za </w:t>
            </w:r>
            <w:r>
              <w:rPr>
                <w:rFonts w:ascii="Times New Roman" w:hAnsi="Times New Roman"/>
                <w:noProof/>
                <w:sz w:val="20"/>
                <w:szCs w:val="20"/>
              </w:rPr>
              <w:t>osebe po zakonsko določenem minimalnem številu let zaposlitve, 3) uvedba privzete možnosti za privzete prihranke in obstoječe strategije varčevanja na podlagi obstoječega stebra II.</w:t>
            </w:r>
          </w:p>
        </w:tc>
      </w:tr>
      <w:tr w:rsidR="009B5602">
        <w:trPr>
          <w:trHeight w:val="2205"/>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sz w:val="20"/>
                <w:szCs w:val="20"/>
              </w:rPr>
              <w:t>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18 – Zdrave, vzdržne in konkurenčne javne finance – Reforma 2: Uvedba </w:t>
            </w:r>
            <w:r>
              <w:rPr>
                <w:rFonts w:ascii="Times New Roman" w:hAnsi="Times New Roman"/>
                <w:noProof/>
                <w:sz w:val="20"/>
                <w:szCs w:val="20"/>
              </w:rPr>
              <w:t>zgornjih mej odhodkov</w:t>
            </w:r>
          </w:p>
        </w:tc>
        <w:tc>
          <w:tcPr>
            <w:tcW w:w="116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mejnik</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Določitev zgornjih mej izdatkov v Zakonu 523/2004 o proračunskih pravilih</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Začetek veljavnosti spremembe zakona št. 523/2004 o proračunskih pravilih</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 </w:t>
            </w:r>
          </w:p>
        </w:tc>
        <w:tc>
          <w:tcPr>
            <w:tcW w:w="138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sz w:val="20"/>
                <w:szCs w:val="20"/>
              </w:rPr>
              <w:t>Q4</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sz w:val="20"/>
                <w:szCs w:val="20"/>
              </w:rPr>
              <w:t>2021</w:t>
            </w:r>
          </w:p>
        </w:tc>
        <w:tc>
          <w:tcPr>
            <w:tcW w:w="414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Začetek veljavnosti večletnih zgornjih mej za javne odhodke in </w:t>
            </w:r>
            <w:r>
              <w:rPr>
                <w:rFonts w:ascii="Times New Roman" w:hAnsi="Times New Roman"/>
                <w:noProof/>
                <w:sz w:val="20"/>
                <w:szCs w:val="20"/>
              </w:rPr>
              <w:t>njihovo izvajanje v programu stabilnosti 2022–2025 aprila 2022, da se zajame celoten proračunski cikel za leto 2023.</w:t>
            </w:r>
          </w:p>
        </w:tc>
      </w:tr>
      <w:tr w:rsidR="009B5602">
        <w:trPr>
          <w:trHeight w:val="30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sz w:val="20"/>
                <w:szCs w:val="20"/>
              </w:rPr>
              <w:t>3</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18 – Trdne, vzdržne in konkurenčne javne finance – Reforma 3: Reforma upravljanja javnih naložb</w:t>
            </w:r>
          </w:p>
        </w:tc>
        <w:tc>
          <w:tcPr>
            <w:tcW w:w="1169"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mejnik</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uporaba metodologije za postopke </w:t>
            </w:r>
            <w:r>
              <w:rPr>
                <w:rFonts w:ascii="Times New Roman" w:hAnsi="Times New Roman"/>
                <w:noProof/>
                <w:sz w:val="20"/>
                <w:szCs w:val="20"/>
              </w:rPr>
              <w:t>za pripravo in prednostno razvrščanje naložb</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 </w:t>
            </w:r>
          </w:p>
          <w:p w:rsidR="009B5602" w:rsidRDefault="00886830">
            <w:pPr>
              <w:rPr>
                <w:rFonts w:ascii="Times New Roman" w:hAnsi="Times New Roman"/>
                <w:noProof/>
                <w:sz w:val="20"/>
                <w:szCs w:val="20"/>
              </w:rPr>
            </w:pPr>
            <w:r>
              <w:rPr>
                <w:rFonts w:ascii="Times New Roman" w:hAnsi="Times New Roman"/>
                <w:noProof/>
                <w:sz w:val="20"/>
                <w:szCs w:val="20"/>
              </w:rPr>
              <w:t xml:space="preserve">Ocena projektov javnih naložb, izvedenih v skladu s sprejeto metodologijo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 </w:t>
            </w:r>
          </w:p>
        </w:tc>
        <w:tc>
          <w:tcPr>
            <w:tcW w:w="1383"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sz w:val="20"/>
                <w:szCs w:val="20"/>
              </w:rPr>
              <w:t>Q2</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jc w:val="center"/>
              <w:rPr>
                <w:rFonts w:ascii="Times New Roman" w:hAnsi="Times New Roman"/>
                <w:noProof/>
                <w:sz w:val="20"/>
                <w:szCs w:val="20"/>
              </w:rPr>
            </w:pPr>
            <w:r>
              <w:rPr>
                <w:rFonts w:ascii="Times New Roman" w:hAnsi="Times New Roman"/>
                <w:noProof/>
                <w:sz w:val="20"/>
                <w:szCs w:val="20"/>
              </w:rPr>
              <w:t>2026</w:t>
            </w:r>
          </w:p>
        </w:tc>
        <w:tc>
          <w:tcPr>
            <w:tcW w:w="4145" w:type="dxa"/>
            <w:tcBorders>
              <w:top w:val="single" w:sz="8" w:space="0" w:color="auto"/>
              <w:left w:val="single" w:sz="8" w:space="0" w:color="auto"/>
              <w:bottom w:val="single" w:sz="8" w:space="0" w:color="auto"/>
              <w:right w:val="single" w:sz="8" w:space="0" w:color="auto"/>
            </w:tcBorders>
            <w:shd w:val="clear" w:color="auto" w:fill="C6EFCE"/>
            <w:vAlign w:val="center"/>
          </w:tcPr>
          <w:p w:rsidR="009B5602" w:rsidRDefault="00886830">
            <w:pPr>
              <w:rPr>
                <w:rFonts w:ascii="Times New Roman" w:hAnsi="Times New Roman"/>
                <w:noProof/>
                <w:sz w:val="20"/>
                <w:szCs w:val="20"/>
              </w:rPr>
            </w:pPr>
            <w:r>
              <w:rPr>
                <w:rFonts w:ascii="Times New Roman" w:hAnsi="Times New Roman"/>
                <w:noProof/>
                <w:sz w:val="20"/>
                <w:szCs w:val="20"/>
              </w:rPr>
              <w:t>Priprava in ocena vseh ustreznih javnih naložbenih projektov se izvajata v skladu z objavljeno metodologijo usklajevanja</w:t>
            </w:r>
            <w:r>
              <w:rPr>
                <w:rFonts w:ascii="Times New Roman" w:hAnsi="Times New Roman"/>
                <w:noProof/>
                <w:sz w:val="20"/>
                <w:szCs w:val="20"/>
              </w:rPr>
              <w:t xml:space="preserve"> priprave in prednostnega razvrščanja. Oceno opravi ministrstvo za finance in se uporablja za vse nove naložbene projekte na nacionalni ravni nad 1 milijonom EUR, kot je razvidno iz dokumentacije izbranih projektov. Namen metodologije je vzpostaviti strukt</w:t>
            </w:r>
            <w:r>
              <w:rPr>
                <w:rFonts w:ascii="Times New Roman" w:hAnsi="Times New Roman"/>
                <w:noProof/>
                <w:sz w:val="20"/>
                <w:szCs w:val="20"/>
              </w:rPr>
              <w:t>uro naložbenih projektov na sektorski ravni in povečati razmerje med stroški in koristmi za nove naložbene projekte.</w:t>
            </w:r>
          </w:p>
        </w:tc>
      </w:tr>
    </w:tbl>
    <w:p w:rsidR="009B5602" w:rsidRDefault="00886830">
      <w:pPr>
        <w:pStyle w:val="NumPar1"/>
        <w:rPr>
          <w:b/>
          <w:noProof/>
        </w:rPr>
      </w:pPr>
      <w:r>
        <w:rPr>
          <w:b/>
          <w:noProof/>
        </w:rPr>
        <w:t>Ocenjeni skupni stroški načrta za okrevanje in odpornost</w:t>
      </w:r>
    </w:p>
    <w:p w:rsidR="009B5602" w:rsidRDefault="00886830">
      <w:pPr>
        <w:pStyle w:val="Text1"/>
        <w:rPr>
          <w:noProof/>
        </w:rPr>
      </w:pPr>
      <w:r>
        <w:rPr>
          <w:noProof/>
        </w:rPr>
        <w:t xml:space="preserve">Ocenjeni skupni stroški načrta Slovaške za okrevanje in odpornost znašajo </w:t>
      </w:r>
      <w:r>
        <w:rPr>
          <w:noProof/>
        </w:rPr>
        <w:t>6 575 000 000 EUR.</w:t>
      </w:r>
      <w:r>
        <w:rPr>
          <w:noProof/>
          <w:szCs w:val="24"/>
        </w:rPr>
        <w:fldChar w:fldCharType="begin"/>
      </w:r>
      <w:r>
        <w:rPr>
          <w:noProof/>
          <w:szCs w:val="24"/>
        </w:rPr>
        <w:instrText xml:space="preserve"> LINK Excel.Sheet.12 "\\\\NET1.cec.eu.int\\homes\\085\\garcpbl\\Desktop\\CID - Components.xlsx" "T1 Míľniky a Ciele (18)!R3C1:R7C11" \a \f 4 \h  \* MERGEFORMAT </w:instrText>
      </w:r>
      <w:r>
        <w:rPr>
          <w:noProof/>
          <w:szCs w:val="24"/>
        </w:rPr>
        <w:fldChar w:fldCharType="separate"/>
      </w:r>
    </w:p>
    <w:p w:rsidR="009B5602" w:rsidRDefault="00886830">
      <w:pPr>
        <w:jc w:val="both"/>
        <w:rPr>
          <w:noProof/>
        </w:rPr>
      </w:pPr>
      <w:r>
        <w:rPr>
          <w:rFonts w:ascii="Times New Roman" w:hAnsi="Times New Roman"/>
          <w:noProof/>
          <w:sz w:val="24"/>
        </w:rPr>
        <w:fldChar w:fldCharType="end"/>
      </w:r>
      <w:r>
        <w:rPr>
          <w:rFonts w:ascii="Times New Roman" w:hAnsi="Times New Roman"/>
          <w:noProof/>
          <w:sz w:val="24"/>
          <w:szCs w:val="24"/>
        </w:rPr>
        <w:fldChar w:fldCharType="begin"/>
      </w:r>
      <w:r>
        <w:rPr>
          <w:rFonts w:ascii="Times New Roman" w:hAnsi="Times New Roman"/>
          <w:noProof/>
          <w:sz w:val="24"/>
          <w:szCs w:val="24"/>
        </w:rPr>
        <w:instrText xml:space="preserve"> LINK Excel.Sheet.12 "\\\\NET1.cec.eu.int\\homes\\085\\garcpbl\\Desktop\\C</w:instrText>
      </w:r>
      <w:r>
        <w:rPr>
          <w:rFonts w:ascii="Times New Roman" w:hAnsi="Times New Roman"/>
          <w:noProof/>
          <w:sz w:val="24"/>
          <w:szCs w:val="24"/>
        </w:rPr>
        <w:instrText xml:space="preserve">ID - Components.xlsx" "T1 Míľniky a Ciele (18)!R3C1:R7C11" \a \f 4 \h  \* MERGEFORMAT </w:instrText>
      </w:r>
      <w:r>
        <w:rPr>
          <w:rFonts w:ascii="Times New Roman" w:hAnsi="Times New Roman"/>
          <w:noProof/>
          <w:sz w:val="24"/>
          <w:szCs w:val="24"/>
        </w:rPr>
        <w:fldChar w:fldCharType="separate"/>
      </w:r>
    </w:p>
    <w:p w:rsidR="009B5602" w:rsidRDefault="00886830">
      <w:pPr>
        <w:jc w:val="both"/>
        <w:rPr>
          <w:rFonts w:ascii="Times New Roman" w:hAnsi="Times New Roman"/>
          <w:noProof/>
          <w:sz w:val="24"/>
        </w:rPr>
        <w:sectPr w:rsidR="009B5602">
          <w:headerReference w:type="even" r:id="rId228"/>
          <w:headerReference w:type="default" r:id="rId229"/>
          <w:footerReference w:type="even" r:id="rId230"/>
          <w:footerReference w:type="default" r:id="rId231"/>
          <w:headerReference w:type="first" r:id="rId232"/>
          <w:footerReference w:type="first" r:id="rId233"/>
          <w:pgSz w:w="16839" w:h="11907" w:orient="landscape"/>
          <w:pgMar w:top="426" w:right="1134" w:bottom="1418" w:left="1134" w:header="709" w:footer="709" w:gutter="0"/>
          <w:cols w:space="720"/>
          <w:docGrid w:linePitch="360"/>
        </w:sectPr>
      </w:pPr>
      <w:r>
        <w:rPr>
          <w:rFonts w:ascii="Times New Roman" w:hAnsi="Times New Roman"/>
          <w:noProof/>
          <w:sz w:val="24"/>
        </w:rPr>
        <w:fldChar w:fldCharType="end"/>
      </w:r>
    </w:p>
    <w:p w:rsidR="009B5602" w:rsidRDefault="00886830">
      <w:pPr>
        <w:spacing w:before="120" w:after="120"/>
        <w:rPr>
          <w:rFonts w:ascii="Times New Roman" w:hAnsi="Times New Roman"/>
          <w:noProof/>
          <w:sz w:val="24"/>
        </w:rPr>
      </w:pPr>
      <w:r>
        <w:rPr>
          <w:rFonts w:ascii="Times New Roman" w:hAnsi="Times New Roman"/>
          <w:b/>
          <w:bCs/>
          <w:noProof/>
          <w:sz w:val="24"/>
        </w:rPr>
        <w:t xml:space="preserve">ODDELEK 2: FINANČNA PODPORA </w:t>
      </w:r>
    </w:p>
    <w:p w:rsidR="009B5602" w:rsidRDefault="00886830">
      <w:pPr>
        <w:pStyle w:val="ListParagraph"/>
        <w:numPr>
          <w:ilvl w:val="0"/>
          <w:numId w:val="49"/>
        </w:numPr>
        <w:tabs>
          <w:tab w:val="num" w:pos="850"/>
        </w:tabs>
        <w:spacing w:before="120" w:after="120" w:line="240" w:lineRule="auto"/>
        <w:jc w:val="both"/>
        <w:rPr>
          <w:rFonts w:ascii="Times New Roman" w:hAnsi="Times New Roman"/>
          <w:b/>
          <w:noProof/>
          <w:sz w:val="24"/>
        </w:rPr>
      </w:pPr>
      <w:r>
        <w:rPr>
          <w:rFonts w:ascii="Times New Roman" w:hAnsi="Times New Roman"/>
          <w:b/>
          <w:noProof/>
          <w:sz w:val="24"/>
        </w:rPr>
        <w:t xml:space="preserve">Finančni prispevek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Obroki iz člena 2(2) se razporedijo na naslednji način:</w:t>
      </w:r>
    </w:p>
    <w:p w:rsidR="009B5602" w:rsidRDefault="009B5602">
      <w:pPr>
        <w:spacing w:before="120" w:after="120" w:line="240" w:lineRule="auto"/>
        <w:jc w:val="both"/>
        <w:rPr>
          <w:rFonts w:ascii="Times New Roman" w:hAnsi="Times New Roman"/>
          <w:noProof/>
          <w:sz w:val="24"/>
        </w:rPr>
      </w:pPr>
    </w:p>
    <w:p w:rsidR="009B5602" w:rsidRDefault="00886830">
      <w:pPr>
        <w:pStyle w:val="NumPar2"/>
        <w:numPr>
          <w:ilvl w:val="1"/>
          <w:numId w:val="49"/>
        </w:numPr>
        <w:rPr>
          <w:b/>
          <w:noProof/>
        </w:rPr>
      </w:pPr>
      <w:r>
        <w:rPr>
          <w:b/>
          <w:noProof/>
        </w:rPr>
        <w:t xml:space="preserve">Prvi obrok (nepovratna podpora): </w:t>
      </w:r>
    </w:p>
    <w:p w:rsidR="009B5602" w:rsidRDefault="009B5602">
      <w:pPr>
        <w:rPr>
          <w:noProof/>
        </w:rPr>
      </w:pPr>
    </w:p>
    <w:tbl>
      <w:tblPr>
        <w:tblW w:w="10572" w:type="dxa"/>
        <w:tblInd w:w="-601" w:type="dxa"/>
        <w:tblLook w:val="04A0" w:firstRow="1" w:lastRow="0" w:firstColumn="1" w:lastColumn="0" w:noHBand="0" w:noVBand="1"/>
      </w:tblPr>
      <w:tblGrid>
        <w:gridCol w:w="1277"/>
        <w:gridCol w:w="3969"/>
        <w:gridCol w:w="1204"/>
        <w:gridCol w:w="4148"/>
      </w:tblGrid>
      <w:tr w:rsidR="009B5602">
        <w:trPr>
          <w:trHeight w:val="1320"/>
        </w:trPr>
        <w:tc>
          <w:tcPr>
            <w:tcW w:w="1277"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Zaporedna številka</w:t>
            </w:r>
          </w:p>
        </w:tc>
        <w:tc>
          <w:tcPr>
            <w:tcW w:w="3969"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Povezani ukrep (reforma ali naložba)</w:t>
            </w:r>
          </w:p>
        </w:tc>
        <w:tc>
          <w:tcPr>
            <w:tcW w:w="1178"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Mejnik/cilj</w:t>
            </w:r>
          </w:p>
        </w:tc>
        <w:tc>
          <w:tcPr>
            <w:tcW w:w="4148"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Ime</w:t>
            </w:r>
          </w:p>
        </w:tc>
      </w:tr>
      <w:tr w:rsidR="009B5602">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 – Obnovljivi viri energije in energetska infrastruktura – Reforma 1: Prilagoditev pravnega okvira za električno energijo </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4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Sprostitev omejitev tehničnih zmogljivosti za prenos električne energije v slovaškem elektroenergetskem sistemu </w:t>
            </w:r>
          </w:p>
        </w:tc>
      </w:tr>
      <w:tr w:rsidR="009B5602">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3 – Trajnostni promet – Reforma 1: Reforma priprave naložbenih projektov na področju prometa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4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Naložbeni načrt za projekte železniške </w:t>
            </w:r>
            <w:r>
              <w:rPr>
                <w:noProof/>
                <w:color w:val="000000"/>
              </w:rPr>
              <w:t>infrastrukture</w:t>
            </w:r>
          </w:p>
        </w:tc>
      </w:tr>
      <w:tr w:rsidR="009B5602">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3 – Trajnostni promet – Reforma 1: Reforma priprave naložbenih projektov na področju prometa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4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Metodologija za izbiro, pripravo in izvajanje kolesarskih projektov</w:t>
            </w:r>
          </w:p>
        </w:tc>
      </w:tr>
      <w:tr w:rsidR="009B5602">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4</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8 – Povečanje uspešnosti slovaških visokošolskih ustanov – Reform</w:t>
            </w:r>
            <w:r>
              <w:rPr>
                <w:noProof/>
                <w:color w:val="000000"/>
              </w:rPr>
              <w:t>a 4: Reforma upravljanja univerz</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4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Reforma sistema upravljanja visokošolskih ustanov</w:t>
            </w:r>
          </w:p>
        </w:tc>
      </w:tr>
      <w:tr w:rsidR="009B5602">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5</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8 – Povečanje uspešnosti slovaških visokošolskih ustanov – Reforma 5: Koncentracija odličnih izobraževalnih in raziskovalnih zmogljivosti</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4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Začeti z združevanjem univerz v večje enote</w:t>
            </w:r>
          </w:p>
        </w:tc>
      </w:tr>
      <w:tr w:rsidR="009B5602">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6</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9 – Učinkovitejše upravljanje in krepitev financiranja na področju raziskav, razvoja in inovacij – Reforma 2: Reforma organizacije in financiranja neposlovnih raziskovalnih ustanov, zlasti slovaške akademije </w:t>
            </w:r>
            <w:r>
              <w:rPr>
                <w:noProof/>
                <w:color w:val="000000"/>
              </w:rPr>
              <w:t>znanosti</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4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rPr>
              <w:t>Reforma slovaške akademije znanosti (SaS)</w:t>
            </w:r>
          </w:p>
        </w:tc>
      </w:tr>
      <w:tr w:rsidR="009B5602">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7</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10 – Pritegnitev in ohranjanje talentov – Naložba 4: Spodbujanje internacionalizacije v akademskem okolju</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4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Strategija za internacionalizacijo univerz</w:t>
            </w:r>
          </w:p>
        </w:tc>
      </w:tr>
      <w:tr w:rsidR="009B5602">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8</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15 – Reforma pravosodja – Reforma 2:</w:t>
            </w:r>
            <w:r>
              <w:rPr>
                <w:noProof/>
                <w:color w:val="000000"/>
              </w:rPr>
              <w:t xml:space="preserve"> Boj proti korupciji ter krepitev integritete in neodvisnosti sodstva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4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Sveženj zakonov za boj proti korupciji ter krepitev integritete in neodvisnosti pravosodnega sistema</w:t>
            </w:r>
          </w:p>
        </w:tc>
      </w:tr>
      <w:tr w:rsidR="009B5602">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9</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15 – Reforma pravosodja – Reforma 1: Reforma mreže sodišč – Zakonodaja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w:t>
            </w:r>
            <w:r>
              <w:rPr>
                <w:noProof/>
                <w:color w:val="000000"/>
              </w:rPr>
              <w:t>ik</w:t>
            </w:r>
          </w:p>
        </w:tc>
        <w:tc>
          <w:tcPr>
            <w:tcW w:w="414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Opredelitev nove mreže sodišč </w:t>
            </w:r>
          </w:p>
        </w:tc>
      </w:tr>
      <w:tr w:rsidR="009B5602">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10</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16 – Boj proti korupciji in pranju denarja – Reforma 2: Posodobitev in krepitev zmogljivosti policije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4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Izvajanje organizacijskih sprememb policije za povečanje učinkovitosti odkrivanja, preiskovanja in odkrivanja</w:t>
            </w:r>
            <w:r>
              <w:rPr>
                <w:noProof/>
                <w:color w:val="000000"/>
              </w:rPr>
              <w:t xml:space="preserve"> korupcije</w:t>
            </w:r>
          </w:p>
        </w:tc>
      </w:tr>
      <w:tr w:rsidR="009B5602">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11</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16 – Boj proti korupciji in pranju denarja – Naložba 4: Krepitev upravne zmogljivosti na različnih ravneh upravljanja – ustanovitev nacionalnega organa za izvajanje in usklajevanje </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4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Revizija in vzorčenje; kontrole: Pravna podlaga</w:t>
            </w:r>
          </w:p>
        </w:tc>
      </w:tr>
      <w:tr w:rsidR="009B5602">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12</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16 – Boj proti korupciji in pranju denarja – Naložba 4: Krepitev upravne zmogljivosti na različnih ravneh upravljanja – Ustanovitev nacionalnega organa za izvajanje in usklajevanje </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4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Sistem repozitorijev RRP: informacije za spremljanje izvajanja RRP</w:t>
            </w:r>
          </w:p>
        </w:tc>
      </w:tr>
      <w:tr w:rsidR="009B5602">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13</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17 – Digitalna Slovaška – Reforma 4: Standardizacija tehničnih in postopkovnih rešitev kibernetske varnosti</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4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Nacionalni koncept za informatizacijo javne uprave (NKIVS) 2021–2030</w:t>
            </w:r>
          </w:p>
        </w:tc>
      </w:tr>
      <w:tr w:rsidR="009B5602">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14</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18 – Zdrave, vzdržne in konkurenčne javne finance – Reforma 2: </w:t>
            </w:r>
            <w:r>
              <w:rPr>
                <w:noProof/>
                <w:color w:val="000000"/>
              </w:rPr>
              <w:t>Uvedba zgornjih mej odhodkov</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4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Določitev zgornjih mej izdatkov v Zakonu 523/2004 o proračunskih pravilih</w:t>
            </w:r>
          </w:p>
        </w:tc>
      </w:tr>
      <w:tr w:rsidR="009B5602">
        <w:trPr>
          <w:trHeight w:val="659"/>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 </w:t>
            </w:r>
          </w:p>
        </w:tc>
        <w:tc>
          <w:tcPr>
            <w:tcW w:w="3969"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 </w:t>
            </w:r>
          </w:p>
        </w:tc>
        <w:tc>
          <w:tcPr>
            <w:tcW w:w="1178"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0000"/>
              </w:rPr>
            </w:pPr>
            <w:r>
              <w:rPr>
                <w:noProof/>
                <w:color w:val="000000"/>
              </w:rPr>
              <w:t>Znesek obroka</w:t>
            </w:r>
          </w:p>
        </w:tc>
        <w:tc>
          <w:tcPr>
            <w:tcW w:w="4148"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rPr>
                <w:rFonts w:eastAsia="Times New Roman" w:cs="Calibri"/>
                <w:noProof/>
                <w:color w:val="000000"/>
              </w:rPr>
            </w:pPr>
            <w:r>
              <w:rPr>
                <w:noProof/>
                <w:color w:val="000000"/>
              </w:rPr>
              <w:t>458 277 000 EUR</w:t>
            </w:r>
          </w:p>
        </w:tc>
      </w:tr>
    </w:tbl>
    <w:p w:rsidR="009B5602" w:rsidRDefault="009B5602">
      <w:pPr>
        <w:rPr>
          <w:noProof/>
        </w:rPr>
      </w:pPr>
    </w:p>
    <w:p w:rsidR="009B5602" w:rsidRDefault="00886830">
      <w:pPr>
        <w:pStyle w:val="NumPar2"/>
        <w:numPr>
          <w:ilvl w:val="1"/>
          <w:numId w:val="49"/>
        </w:numPr>
        <w:rPr>
          <w:b/>
          <w:noProof/>
        </w:rPr>
      </w:pPr>
      <w:r>
        <w:rPr>
          <w:b/>
          <w:noProof/>
        </w:rPr>
        <w:t>Drugi obrok (nepovratna podpora):</w:t>
      </w:r>
    </w:p>
    <w:p w:rsidR="009B5602" w:rsidRDefault="00886830">
      <w:pPr>
        <w:pStyle w:val="NumPar2"/>
        <w:numPr>
          <w:ilvl w:val="0"/>
          <w:numId w:val="0"/>
        </w:numPr>
        <w:ind w:left="850"/>
        <w:rPr>
          <w:noProof/>
        </w:rPr>
      </w:pPr>
      <w:r>
        <w:rPr>
          <w:noProof/>
        </w:rPr>
        <w:t xml:space="preserve"> </w:t>
      </w:r>
    </w:p>
    <w:tbl>
      <w:tblPr>
        <w:tblW w:w="10632" w:type="dxa"/>
        <w:tblInd w:w="-601" w:type="dxa"/>
        <w:tblLook w:val="04A0" w:firstRow="1" w:lastRow="0" w:firstColumn="1" w:lastColumn="0" w:noHBand="0" w:noVBand="1"/>
      </w:tblPr>
      <w:tblGrid>
        <w:gridCol w:w="1276"/>
        <w:gridCol w:w="3969"/>
        <w:gridCol w:w="1204"/>
        <w:gridCol w:w="4209"/>
      </w:tblGrid>
      <w:tr w:rsidR="009B5602">
        <w:trPr>
          <w:trHeight w:val="660"/>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Zaporedna številka</w:t>
            </w:r>
          </w:p>
        </w:tc>
        <w:tc>
          <w:tcPr>
            <w:tcW w:w="3969"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Povezani ukrep (reforma ali naložba)</w:t>
            </w:r>
          </w:p>
        </w:tc>
        <w:tc>
          <w:tcPr>
            <w:tcW w:w="1178"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Mejnik/cilj</w:t>
            </w:r>
          </w:p>
        </w:tc>
        <w:tc>
          <w:tcPr>
            <w:tcW w:w="4209"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Ime</w:t>
            </w:r>
          </w:p>
        </w:tc>
      </w:tr>
      <w:tr w:rsidR="009B5602">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2 – Prenova stavb – Reforma 3: Ravnanje z gradbenimi odpadki</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Sprememba Zakona o odpadkih </w:t>
            </w:r>
          </w:p>
        </w:tc>
      </w:tr>
      <w:tr w:rsidR="009B5602">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5 – Prilagajanje podnebnim spremembam – Naložba 1: Prilagajanje regij podnebnim spremembam s poudarkom na ohranjanju narave in razvoju biotske </w:t>
            </w:r>
            <w:r>
              <w:rPr>
                <w:noProof/>
                <w:color w:val="000000"/>
              </w:rPr>
              <w:t>raznovrstnosti</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Seznam izbranih projektov za regiji Muránska Planina in Polonina</w:t>
            </w:r>
          </w:p>
        </w:tc>
      </w:tr>
      <w:tr w:rsidR="009B5602">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6 – Dostopnost, razvoj in kakovost vključujočega izobraževanja – Naložba 1: Odprava ovir v šolskih stavbah </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Uvedba opredelitve standarda za odpravo ovir, priprav</w:t>
            </w:r>
            <w:r>
              <w:rPr>
                <w:noProof/>
                <w:color w:val="000000"/>
              </w:rPr>
              <w:t>a priročnika za odpravo ovir in evidentiranje šolskih potreb na vseh ravneh izobraževanja</w:t>
            </w:r>
          </w:p>
        </w:tc>
      </w:tr>
      <w:tr w:rsidR="009B5602">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4</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8 – Povečanje uspešnosti slovaških visokošolskih ustanov – Reforma 2: Uvedba sistema rednega ocenjevanja znanstvene učinkovitosti</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Opredelitev sistema </w:t>
            </w:r>
            <w:r>
              <w:rPr>
                <w:noProof/>
                <w:color w:val="000000"/>
              </w:rPr>
              <w:t>rednega ocenjevanja znanstvene učinkovitosti, uvedenega z Zakonom št. 172/2005</w:t>
            </w:r>
          </w:p>
        </w:tc>
      </w:tr>
      <w:tr w:rsidR="009B5602">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5</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9 – Učinkovitejše upravljanje in krepitev financiranja na področju raziskav, razvoja in inovacij – Reforma 1: Reforma upravljanja, ocenjevanja in podpore na področju znanosti</w:t>
            </w:r>
            <w:r>
              <w:rPr>
                <w:noProof/>
                <w:color w:val="000000"/>
              </w:rPr>
              <w:t>, raziskav in inovacij</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Reforma upravljanja in podpore za raziskave, razvoj in inovacije.</w:t>
            </w:r>
          </w:p>
        </w:tc>
      </w:tr>
      <w:tr w:rsidR="009B5602">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6</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10 – Pritegnitev in ohranjanje talentov – Reforma 1: Reforma zakonodaje o prebivališču in delovne zakonodaje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Olajšanje vrnitve v državo in povečanje p</w:t>
            </w:r>
            <w:r>
              <w:rPr>
                <w:noProof/>
                <w:color w:val="000000"/>
              </w:rPr>
              <w:t>rivlačnosti države za tujce z družinskimi vezmi</w:t>
            </w:r>
          </w:p>
        </w:tc>
      </w:tr>
      <w:tr w:rsidR="009B5602">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7</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10 – Pritegnitev in ohranjanje talentov – Reforma 1: Reforma zakonodaje o prebivališču in delovne zakonodaje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Shema, ki opredeljuje novo kategorijo prosilcev za nacionalni vizum (D).</w:t>
            </w:r>
          </w:p>
        </w:tc>
      </w:tr>
      <w:tr w:rsidR="009B5602">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8</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10 – </w:t>
            </w:r>
            <w:r>
              <w:rPr>
                <w:noProof/>
                <w:color w:val="000000"/>
              </w:rPr>
              <w:t>Pritegnitev in ohranjanje talentov – Reforma 2: Poenostavitev ureditve za priznavanje kvalifikacij in poklicnih kvalifikacij za opravljanje reguliranih poklicev</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Poenostavitev priznavanja izobrazbe in poklicnih kvalifikacij </w:t>
            </w:r>
          </w:p>
        </w:tc>
      </w:tr>
      <w:tr w:rsidR="009B5602">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9</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11 – Sodobno in dostop</w:t>
            </w:r>
            <w:r>
              <w:rPr>
                <w:noProof/>
                <w:color w:val="000000"/>
              </w:rPr>
              <w:t>no zdravstveno varstvo – Reforma 1 Optimizacija bolnišnične mreže (ZN)</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Vzpostavitev bolnišnične mreže</w:t>
            </w:r>
          </w:p>
        </w:tc>
      </w:tr>
      <w:tr w:rsidR="009B5602">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10</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11 – Sodobno in dostopno zdravstveno varstvo – Reforma 2 Reforma priprave načrtov naložb v zdravstvo</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Prednostni naložbeni načrt v skladu z metodologijo vrednotenja naložb, ki jo je sprejelo Ministrstvo za zdravje </w:t>
            </w:r>
          </w:p>
        </w:tc>
      </w:tr>
      <w:tr w:rsidR="009B5602">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11</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11 – Sodobno in dostopno zdravstveno varstvo – Reforma 5 Reforma zagotavljanja primarnega zdravstvenega varstva za odrasle, otroke in mladi</w:t>
            </w:r>
            <w:r>
              <w:rPr>
                <w:noProof/>
                <w:color w:val="000000"/>
              </w:rPr>
              <w:t>no</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Novi zakon o vzpostavitvi mreže izvajalcev splošne oskrbe in uvedbi območij</w:t>
            </w:r>
          </w:p>
        </w:tc>
      </w:tr>
      <w:tr w:rsidR="009B5602">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12</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13 – Dostopno in visokokakovostno dolgotrajno socialno-zdravstveno varstvo – Reforma nadzora nad socialnim varstvom in zagotavljanje infrastrukture za njegovo izvaja</w:t>
            </w:r>
            <w:r>
              <w:rPr>
                <w:noProof/>
                <w:color w:val="000000"/>
              </w:rPr>
              <w:t>nje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Reforma nadzora nad socialnim varstvom</w:t>
            </w:r>
          </w:p>
        </w:tc>
      </w:tr>
      <w:tr w:rsidR="009B5602">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13</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14 – Izboljšanje poslovnega okolja – Reforma 3: Reforma javnih naročil – prilagoditev zakonodaje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Reforma Zakona o postopkih javnega naročanja </w:t>
            </w:r>
          </w:p>
        </w:tc>
      </w:tr>
      <w:tr w:rsidR="009B5602">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14</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16 – Boj proti korupciji in pranju denarja – </w:t>
            </w:r>
            <w:r>
              <w:rPr>
                <w:noProof/>
                <w:color w:val="000000"/>
              </w:rPr>
              <w:t>Reforma 1: Učinkovitejši boj proti korupciji in preprečevanje pranja denarja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Reforme za racionalizacijo in izboljšanje finančnih preiskav </w:t>
            </w:r>
          </w:p>
        </w:tc>
      </w:tr>
      <w:tr w:rsidR="009B5602">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15</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17 – Digitalna Slovaška – Naložba 4: Podpora projektom, namenjenim razvoju in uporabi vrhunskih digitalnih</w:t>
            </w:r>
            <w:r>
              <w:rPr>
                <w:noProof/>
                <w:color w:val="000000"/>
              </w:rPr>
              <w:t xml:space="preserve"> tehnologij</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Oblikovanje podporne sheme za razvoj in uporabo vrhunskih digitalnih tehnologij</w:t>
            </w:r>
          </w:p>
        </w:tc>
      </w:tr>
      <w:tr w:rsidR="009B5602">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16</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17 – Digitalna Slovaška – Naložba 7: Izboljšanje digitalnih znanj in spretnosti starejših ter zagotavljanje tablic za starejše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Število starejših in </w:t>
            </w:r>
            <w:r>
              <w:rPr>
                <w:noProof/>
                <w:color w:val="000000"/>
              </w:rPr>
              <w:t>prikrajšanih oseb, usposobljenih za osnovne digitalne spretnosti</w:t>
            </w:r>
          </w:p>
        </w:tc>
      </w:tr>
      <w:tr w:rsidR="009B5602">
        <w:trPr>
          <w:trHeight w:val="586"/>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 </w:t>
            </w:r>
          </w:p>
        </w:tc>
        <w:tc>
          <w:tcPr>
            <w:tcW w:w="3969"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 </w:t>
            </w:r>
          </w:p>
        </w:tc>
        <w:tc>
          <w:tcPr>
            <w:tcW w:w="1178"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0000"/>
              </w:rPr>
            </w:pPr>
            <w:r>
              <w:rPr>
                <w:noProof/>
                <w:color w:val="000000"/>
              </w:rPr>
              <w:t>Znesek obroka</w:t>
            </w:r>
          </w:p>
        </w:tc>
        <w:tc>
          <w:tcPr>
            <w:tcW w:w="4209"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rPr>
                <w:rFonts w:eastAsia="Times New Roman" w:cs="Calibri"/>
                <w:noProof/>
                <w:color w:val="000000"/>
              </w:rPr>
            </w:pPr>
            <w:r>
              <w:rPr>
                <w:noProof/>
                <w:color w:val="000000"/>
              </w:rPr>
              <w:t> 814 715 000 EUR</w:t>
            </w:r>
          </w:p>
        </w:tc>
      </w:tr>
    </w:tbl>
    <w:p w:rsidR="009B5602" w:rsidRDefault="009B5602">
      <w:pPr>
        <w:rPr>
          <w:noProof/>
        </w:rPr>
      </w:pPr>
    </w:p>
    <w:p w:rsidR="009B5602" w:rsidRDefault="00886830">
      <w:pPr>
        <w:pStyle w:val="NumPar2"/>
        <w:numPr>
          <w:ilvl w:val="1"/>
          <w:numId w:val="49"/>
        </w:numPr>
        <w:rPr>
          <w:b/>
          <w:noProof/>
        </w:rPr>
      </w:pPr>
      <w:r>
        <w:rPr>
          <w:b/>
          <w:noProof/>
        </w:rPr>
        <w:t xml:space="preserve">Tretji obrok (nepovratna podpora): </w:t>
      </w:r>
    </w:p>
    <w:p w:rsidR="009B5602" w:rsidRDefault="009B5602">
      <w:pPr>
        <w:pStyle w:val="Text1"/>
        <w:rPr>
          <w:noProof/>
        </w:rPr>
      </w:pPr>
    </w:p>
    <w:tbl>
      <w:tblPr>
        <w:tblW w:w="10632" w:type="dxa"/>
        <w:tblInd w:w="-601" w:type="dxa"/>
        <w:tblLook w:val="04A0" w:firstRow="1" w:lastRow="0" w:firstColumn="1" w:lastColumn="0" w:noHBand="0" w:noVBand="1"/>
      </w:tblPr>
      <w:tblGrid>
        <w:gridCol w:w="1276"/>
        <w:gridCol w:w="3969"/>
        <w:gridCol w:w="1204"/>
        <w:gridCol w:w="4209"/>
      </w:tblGrid>
      <w:tr w:rsidR="009B5602">
        <w:trPr>
          <w:trHeight w:val="1290"/>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Zaporedna številka</w:t>
            </w:r>
          </w:p>
        </w:tc>
        <w:tc>
          <w:tcPr>
            <w:tcW w:w="3969"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Povezani ukrep (reforma ali naložba)</w:t>
            </w:r>
          </w:p>
        </w:tc>
        <w:tc>
          <w:tcPr>
            <w:tcW w:w="1178"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Mejnik/cilj</w:t>
            </w:r>
          </w:p>
        </w:tc>
        <w:tc>
          <w:tcPr>
            <w:tcW w:w="4209"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Ime</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 – Obnovljivi viri energije in </w:t>
            </w:r>
            <w:r>
              <w:rPr>
                <w:noProof/>
                <w:color w:val="000000"/>
              </w:rPr>
              <w:t>energetska infrastruktura – Reforma 1: Prilagoditev pravnega okvira za električno energijo</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Reforma trga z električno energijo</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 – Obnovljivi viri energije in energetska infrastruktura – Reforma 2: Pravni okvir za spodbujanje obnovljivih virov </w:t>
            </w:r>
            <w:r>
              <w:rPr>
                <w:noProof/>
                <w:color w:val="000000"/>
              </w:rPr>
              <w:t>energije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Okvir za podporo naložbam v nove obnovljive vire energije </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2 – Prenova stavb – Reforma 1: Uskladitev podpornih mehanizmov za prenovo družinskih hiš  </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Izvedbeni načrt za spodbujanje zelene prenove družinskih hiš </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4</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2 – Prenova st</w:t>
            </w:r>
            <w:r>
              <w:rPr>
                <w:noProof/>
                <w:color w:val="000000"/>
              </w:rPr>
              <w:t xml:space="preserve">avb – Reforma 1:  Izboljšanje energetske učinkovitosti družinskih hiš </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Uvedba programov podpore za mobilizacijo prihrankov energije in zelene prenove </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5</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3 – Trajnostni promet – Reforma 3: Reforma intermodalnega tovornega prometa </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Koncept in</w:t>
            </w:r>
            <w:r>
              <w:rPr>
                <w:noProof/>
                <w:color w:val="000000"/>
              </w:rPr>
              <w:t xml:space="preserve"> pozivi k novim podpornim shemam</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6</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3 – Trajnostni promet – Reforma 4: Uvedba novih politik za dolgoročno spodbujanje alternativnih goriv v prometnem sektorju</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Nov sveženj ukrepov za spodbujanje alternativnih pogonov</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7</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rPr>
                <w:rFonts w:eastAsia="Times New Roman" w:cs="Calibri"/>
                <w:noProof/>
                <w:color w:val="000000"/>
              </w:rPr>
            </w:pPr>
            <w:r>
              <w:rPr>
                <w:noProof/>
                <w:color w:val="000000"/>
              </w:rPr>
              <w:t>4 – Razogljičenje industrije –</w:t>
            </w:r>
            <w:r>
              <w:rPr>
                <w:noProof/>
                <w:color w:val="000000"/>
              </w:rPr>
              <w:t xml:space="preserve"> Reforma 2: Konkurenčni sistem za zmanjšanje emisij toplogrednih plinov v industriji</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rPr>
                <w:rFonts w:eastAsia="Times New Roman" w:cs="Calibri"/>
                <w:noProof/>
                <w:color w:val="000000"/>
              </w:rPr>
            </w:pPr>
            <w:r>
              <w:rPr>
                <w:noProof/>
                <w:color w:val="000000"/>
              </w:rPr>
              <w:t>Sprejetje programa za industrijsko razogljičenje</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8</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5 – Prilagajanje podnebnim spremembam – Reforma 1: Reforma prostorskega načrtovanja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Reforma prostorskega </w:t>
            </w:r>
            <w:r>
              <w:rPr>
                <w:noProof/>
                <w:color w:val="000000"/>
              </w:rPr>
              <w:t xml:space="preserve">načrtovanja </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9</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6 – Dostopnost, razvoj in kakovost vključujočega izobraževanja – Reforma 1: Zagotavljanje pogojev za izvajanje obveznega predšolskega izobraževanja za otroke od petega leta starosti dalje in uvedba zakonske pravice do mesta v vrtcu ali drug</w:t>
            </w:r>
            <w:r>
              <w:rPr>
                <w:noProof/>
                <w:color w:val="000000"/>
              </w:rPr>
              <w:t>ih izvajalcih predšolskega izobraževanja od tretjega leta starosti dalje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Stopnja vpisa v predšolske šole za otroke, stare pet let</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10</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6 – Dostopnost, razvoj in kakovost vključujočega izobraževanja – Reforma 1: 1. Zagotavljanje pogojev za izvajanje </w:t>
            </w:r>
            <w:r>
              <w:rPr>
                <w:noProof/>
                <w:color w:val="000000"/>
              </w:rPr>
              <w:t>obveznega predšolskega izobraževanja za otroke od petega leta starosti dalje in uvedba zakonske pravice do mesta v vrtcu ali drugih izvajalcih predšolskega izobraževanja od tretjega leta starosti dalje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Uvedba pravnih sprememb obveznega predšolskega </w:t>
            </w:r>
            <w:r>
              <w:rPr>
                <w:noProof/>
                <w:color w:val="000000"/>
              </w:rPr>
              <w:t>izobraževanja za otroke, stare pet let, in uvedba zakonske pravice do mesta v vrtcu ali drugih izvajalcih predšolskega izobraževanja od tretjega leta starosti dalje.</w:t>
            </w:r>
          </w:p>
        </w:tc>
      </w:tr>
      <w:tr w:rsidR="009B5602">
        <w:trPr>
          <w:trHeight w:val="1290"/>
        </w:trPr>
        <w:tc>
          <w:tcPr>
            <w:tcW w:w="1276" w:type="dxa"/>
            <w:tcBorders>
              <w:top w:val="nil"/>
              <w:left w:val="single" w:sz="8" w:space="0" w:color="auto"/>
              <w:bottom w:val="nil"/>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11</w:t>
            </w:r>
          </w:p>
        </w:tc>
        <w:tc>
          <w:tcPr>
            <w:tcW w:w="3969" w:type="dxa"/>
            <w:tcBorders>
              <w:top w:val="nil"/>
              <w:left w:val="nil"/>
              <w:bottom w:val="nil"/>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6 – Dostopnost, razvoj in kakovost vključujočega izobraževanja – Reforma 2: Opredelite</w:t>
            </w:r>
            <w:r>
              <w:rPr>
                <w:noProof/>
                <w:color w:val="000000"/>
              </w:rPr>
              <w:t>v koncepta posebnih izobraževalnih potreb otrok in učencev ter razvoj modela upravičenih podpornih ukrepov na področju izobraževanja in izobraževanja, vključno z njihovim sistemom financiranja</w:t>
            </w:r>
          </w:p>
        </w:tc>
        <w:tc>
          <w:tcPr>
            <w:tcW w:w="1178" w:type="dxa"/>
            <w:tcBorders>
              <w:top w:val="nil"/>
              <w:left w:val="nil"/>
              <w:bottom w:val="nil"/>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nil"/>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Sprejetje zakona o ponovni opredelitvi pojma posebnih iz</w:t>
            </w:r>
            <w:r>
              <w:rPr>
                <w:noProof/>
                <w:color w:val="000000"/>
              </w:rPr>
              <w:t>obraževalnih potreb in priprava spremljevalnega metodološkega gradiva za pedagoško osebje, specializirano osebje in vodstvene delavce šol.</w:t>
            </w:r>
          </w:p>
        </w:tc>
      </w:tr>
      <w:tr w:rsidR="009B5602">
        <w:trPr>
          <w:trHeight w:val="1290"/>
        </w:trPr>
        <w:tc>
          <w:tcPr>
            <w:tcW w:w="1276"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12</w:t>
            </w:r>
          </w:p>
        </w:tc>
        <w:tc>
          <w:tcPr>
            <w:tcW w:w="3969" w:type="dxa"/>
            <w:tcBorders>
              <w:top w:val="single" w:sz="8" w:space="0" w:color="auto"/>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6 – Dostopnost, razvoj in kakovost vključujočega izobraževanja – Reforma 6: Kompenzacijski ukrepi za ublažitev </w:t>
            </w:r>
            <w:r>
              <w:rPr>
                <w:noProof/>
                <w:color w:val="000000"/>
              </w:rPr>
              <w:t>posledic pandemije v izobraževanju za osnovnošolce in srednješolce</w:t>
            </w:r>
          </w:p>
        </w:tc>
        <w:tc>
          <w:tcPr>
            <w:tcW w:w="1178" w:type="dxa"/>
            <w:tcBorders>
              <w:top w:val="single" w:sz="8" w:space="0" w:color="auto"/>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209" w:type="dxa"/>
            <w:tcBorders>
              <w:top w:val="single" w:sz="8" w:space="0" w:color="auto"/>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učencev, ki se udeležujejo učnih programov</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13</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8 – Povečanje uspešnosti slovaških visokošolskih ustanov – Naložba 1: podpora strateškemu razvoju univerz</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Sklenjena sta bila vsaj 2 razpisa za podporo strateškemu razvoju univerz. </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14</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8 – Povečanje uspešnosti slovaških visokošolskih ustanov – Reforma 1: Sprememba financiranja univerz, vključno z uvedbo pogodb o izvajanju</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Uvedba pogodb o izvajanju</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15</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8</w:t>
            </w:r>
            <w:r>
              <w:rPr>
                <w:noProof/>
                <w:color w:val="000000"/>
              </w:rPr>
              <w:t xml:space="preserve"> – Povečanje uspešnosti slovaških visokošolskih ustanov – Reforma 2: Uvedba sistema rednega znanstvenega ocenjevanja uspešnosti</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Število izvedenih vrednotenj </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16</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8 – Povečanje uspešnosti slovaških visokošolskih ustanov – Reforma 3: Nov pristop k akred</w:t>
            </w:r>
            <w:r>
              <w:rPr>
                <w:noProof/>
                <w:color w:val="000000"/>
              </w:rPr>
              <w:t>itaciji visokošolskega izobraževanja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Delež univerz, ki se prijavijo za preverjanje skladnosti notranjih sistemov kakovosti in študijskih programov s standardi</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17</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9 – Učinkovitejše upravljanje in krepitev financiranja na področju raziskav, razvoja in </w:t>
            </w:r>
            <w:r>
              <w:rPr>
                <w:noProof/>
                <w:color w:val="000000"/>
              </w:rPr>
              <w:t>inovacij – Reforma 1: Reforma upravljanja, ocenjevanja in podpore na področju znanosti, raziskav in inovacij</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Oblikovanje splošne nacionalne strategije za raziskave, razvoj in inovacije</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18</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9 – Učinkovitejše upravljanje in krepitev financiranja na po</w:t>
            </w:r>
            <w:r>
              <w:rPr>
                <w:noProof/>
                <w:color w:val="000000"/>
              </w:rPr>
              <w:t>dročju raziskav, razvoja in inovacij – Naložba 1: Spodbujanje mednarodnega sodelovanja in udeležbe v projektih programa Obzorje Evropa in EIT</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Objava razpisov za projekte v podporo sodelovanju slovaških akterjev v programu Obzorje Evropa </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19</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9 – Uči</w:t>
            </w:r>
            <w:r>
              <w:rPr>
                <w:noProof/>
                <w:color w:val="000000"/>
              </w:rPr>
              <w:t>nkovitejše upravljanje in krepitev financiranja na področju raziskav, razvoja in inovacij – Naložba 2: Podpora sodelovanju med podjetji, akademskimi krogi in organizacijami za redke bolezni</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Objava razpisov za projekte v podporo sodelovanju med podjetji, akademiki in organizacijami na področju raziskav in razvoja ter bonom </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20</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9 – Učinkovitejše upravljanje in krepitev financiranja na področju raziskav, razvoja in inovacij – Naložba 3: Odlična</w:t>
            </w:r>
            <w:r>
              <w:rPr>
                <w:noProof/>
                <w:color w:val="000000"/>
              </w:rPr>
              <w:t xml:space="preserve"> znanost</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Objava razpisov za podporo odličnim raziskovalcem</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21</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9 – Učinkovitejše upravljanje in krepitev financiranja na področju raziskav, razvoja in inovacij – Naložba 4: Raziskave in inovacije za razogljičenje gospodarstva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Objava razpisov </w:t>
            </w:r>
            <w:r>
              <w:rPr>
                <w:noProof/>
                <w:color w:val="000000"/>
              </w:rPr>
              <w:t>za tematske projekte, ki temeljijo na povpraševanju in obravnavajo izzive zelenega prehoda</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22</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9 – Učinkovitejše upravljanje in krepitev financiranja na področju raziskav, razvoja in inovacij – Naložba 5: Raziskave in inovacije za digitalizacijo </w:t>
            </w:r>
            <w:r>
              <w:rPr>
                <w:noProof/>
                <w:color w:val="000000"/>
              </w:rPr>
              <w:t>gospodarstva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Objava razpisov za tematske projekte, ki temeljijo na povpraševanju in obravnavajo izzive digitalnega prehoda</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23</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9 – Učinkovitejše upravljanje in krepitev financiranja na področju raziskav, razvoja in inovacij – Naložba 6: Finančni ins</w:t>
            </w:r>
            <w:r>
              <w:rPr>
                <w:noProof/>
                <w:color w:val="000000"/>
              </w:rPr>
              <w:t>trumenti za podporo inovacijam</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Uvedba in izvajanje finančnih instrumentov za podporo inovacijam</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24</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16 – Boj proti korupciji in pranju denarja – Naložba 4: Krepitev upravne zmogljivosti na različnih ravneh upravljanja – Ustanovitev nacionalnega orga</w:t>
            </w:r>
            <w:r>
              <w:rPr>
                <w:noProof/>
                <w:color w:val="000000"/>
              </w:rPr>
              <w:t>na za izvajanje in usklajevanje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Zmanjšanje tveganja pri izvajanju z ustanovitvijo usklajevalnega, finančnega in izvajalskega organa (NIKA) za instrument za okrevanje in odpornost</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25</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16 – Boj proti korupciji in pranju denarja – Naložba 2: </w:t>
            </w:r>
            <w:r>
              <w:rPr>
                <w:noProof/>
                <w:color w:val="000000"/>
              </w:rPr>
              <w:t>Opremljanje in digitalizacija policije – obnova voznega parka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Nakup novih vozil (10 % voznega parka) električnih in hibridnih vozil</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26</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17 – Digitalna Slovaška – Naložba 3: Sodelovanje v čezmejnih evropskih projektih, povezanih z digitalnim gospodarst</w:t>
            </w:r>
            <w:r>
              <w:rPr>
                <w:noProof/>
                <w:color w:val="000000"/>
              </w:rPr>
              <w:t>vom</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Število vozlišč za digitalne inovacije na Slovaškem/Evropskega vozlišča za digitalne inovacije, ki vzpostavlja mrežo </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27</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17 – Digitalna Slovaška – Reforma 1: Oblikovanje rešitev e-uprave za prednostne življenjske razmere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Naložbeni načrt za</w:t>
            </w:r>
            <w:r>
              <w:rPr>
                <w:noProof/>
                <w:color w:val="000000"/>
              </w:rPr>
              <w:t xml:space="preserve"> prednostne življenjske razmere</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28</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17 – Digitalna Slovaška – Reforma 3: Upravljanje digitalne preobrazbe gospodarstva in družbe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Akcijski načrt za digitalno preobrazbo Slovaške za leta 2023–2026</w:t>
            </w:r>
          </w:p>
        </w:tc>
      </w:tr>
      <w:tr w:rsidR="009B5602">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29</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17 – Digitalna Slovaška – Reforma 6: Strateški </w:t>
            </w:r>
            <w:r>
              <w:rPr>
                <w:noProof/>
                <w:color w:val="000000"/>
              </w:rPr>
              <w:t>pristop k izobraževanju o digitalnih znanjih in spretnostih v sodelovanju s predstavniki ključnih deležnikov</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Nacionalna strategija za digitalne spretnosti</w:t>
            </w:r>
          </w:p>
        </w:tc>
      </w:tr>
      <w:tr w:rsidR="009B5602">
        <w:trPr>
          <w:trHeight w:val="563"/>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 </w:t>
            </w:r>
          </w:p>
        </w:tc>
        <w:tc>
          <w:tcPr>
            <w:tcW w:w="3969"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 </w:t>
            </w:r>
          </w:p>
        </w:tc>
        <w:tc>
          <w:tcPr>
            <w:tcW w:w="1178"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0000"/>
              </w:rPr>
            </w:pPr>
            <w:r>
              <w:rPr>
                <w:noProof/>
                <w:color w:val="000000"/>
              </w:rPr>
              <w:t>Znesek obroka</w:t>
            </w:r>
          </w:p>
        </w:tc>
        <w:tc>
          <w:tcPr>
            <w:tcW w:w="4209"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rPr>
                <w:rFonts w:eastAsia="Times New Roman" w:cs="Calibri"/>
                <w:noProof/>
                <w:color w:val="000000"/>
              </w:rPr>
            </w:pPr>
            <w:r>
              <w:rPr>
                <w:noProof/>
                <w:color w:val="000000"/>
              </w:rPr>
              <w:t xml:space="preserve"> 814 715 000 EUR.   </w:t>
            </w:r>
          </w:p>
        </w:tc>
      </w:tr>
    </w:tbl>
    <w:p w:rsidR="009B5602" w:rsidRDefault="009B5602">
      <w:pPr>
        <w:pStyle w:val="Text1"/>
        <w:ind w:left="0"/>
        <w:rPr>
          <w:b/>
          <w:noProof/>
        </w:rPr>
      </w:pPr>
    </w:p>
    <w:p w:rsidR="009B5602" w:rsidRDefault="00886830">
      <w:pPr>
        <w:pStyle w:val="NumPar2"/>
        <w:numPr>
          <w:ilvl w:val="1"/>
          <w:numId w:val="49"/>
        </w:numPr>
        <w:rPr>
          <w:b/>
          <w:noProof/>
        </w:rPr>
      </w:pPr>
      <w:r>
        <w:rPr>
          <w:b/>
          <w:noProof/>
        </w:rPr>
        <w:t xml:space="preserve">Četrti obrok (nepovratna podpora): </w:t>
      </w:r>
    </w:p>
    <w:p w:rsidR="009B5602" w:rsidRDefault="009B5602">
      <w:pPr>
        <w:pStyle w:val="Text1"/>
        <w:rPr>
          <w:noProof/>
        </w:rPr>
      </w:pPr>
    </w:p>
    <w:tbl>
      <w:tblPr>
        <w:tblW w:w="10632" w:type="dxa"/>
        <w:tblInd w:w="-601" w:type="dxa"/>
        <w:tblLook w:val="04A0" w:firstRow="1" w:lastRow="0" w:firstColumn="1" w:lastColumn="0" w:noHBand="0" w:noVBand="1"/>
      </w:tblPr>
      <w:tblGrid>
        <w:gridCol w:w="1276"/>
        <w:gridCol w:w="3969"/>
        <w:gridCol w:w="1204"/>
        <w:gridCol w:w="4209"/>
      </w:tblGrid>
      <w:tr w:rsidR="009B5602">
        <w:trPr>
          <w:trHeight w:val="1095"/>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 xml:space="preserve">Zaporedna </w:t>
            </w:r>
            <w:r>
              <w:rPr>
                <w:b/>
                <w:bCs/>
                <w:noProof/>
                <w:color w:val="000000"/>
              </w:rPr>
              <w:t>številka</w:t>
            </w:r>
          </w:p>
        </w:tc>
        <w:tc>
          <w:tcPr>
            <w:tcW w:w="3969"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Povezani ukrep (reforma ali naložba)</w:t>
            </w:r>
          </w:p>
        </w:tc>
        <w:tc>
          <w:tcPr>
            <w:tcW w:w="1178"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Mejnik/cilj</w:t>
            </w:r>
          </w:p>
        </w:tc>
        <w:tc>
          <w:tcPr>
            <w:tcW w:w="4209"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Ime</w:t>
            </w:r>
          </w:p>
        </w:tc>
      </w:tr>
      <w:tr w:rsidR="009B5602">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3 – Trajnostni promet – Reforma 1: Reforma priprave naložbenih projektov na področju prometa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Sprememba Zakona o železnicah in z njim povezanih predpisov o parametrih prometne </w:t>
            </w:r>
            <w:r>
              <w:rPr>
                <w:noProof/>
                <w:color w:val="000000"/>
              </w:rPr>
              <w:t>infrastrukture</w:t>
            </w:r>
          </w:p>
        </w:tc>
      </w:tr>
      <w:tr w:rsidR="009B5602">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3 – Trajnostni promet – Reforma 2: Reforma javnega potniškega prometa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Nov zakon o javnem potniškem prevozu</w:t>
            </w:r>
          </w:p>
        </w:tc>
      </w:tr>
      <w:tr w:rsidR="009B5602">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6 – Dostopnost, razvoj in kakovost vključujočega izobraževanja – Reforma 2: Opredelitev koncepta posebnih izobraževalnih </w:t>
            </w:r>
            <w:r>
              <w:rPr>
                <w:noProof/>
                <w:color w:val="000000"/>
              </w:rPr>
              <w:t>potreb otrok in učencev ter razvoj modela upravičenih podpornih ukrepov na področju izobraževanja in izobraževanja, vključno z njihovim sistemom financiranja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Začetek veljavnosti nove opredelitve pojma posebnih izobraževalnih potreb </w:t>
            </w:r>
          </w:p>
        </w:tc>
      </w:tr>
      <w:tr w:rsidR="009B5602">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4</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6 – Dostopnos</w:t>
            </w:r>
            <w:r>
              <w:rPr>
                <w:noProof/>
                <w:color w:val="000000"/>
              </w:rPr>
              <w:t>t, razvoj in kakovost vključujočega izobraževanja– Reforma 3: Reforma sistema svetovanja in preprečevanja ter zagotavljanje sistemskega zbiranja podatkov na področju spodbujanja duševnega zdravja za otroke, učence in študente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Začetek veljavnosti zakonodaje, ki vzpostavlja celovit sistem svetovanja</w:t>
            </w:r>
          </w:p>
        </w:tc>
      </w:tr>
      <w:tr w:rsidR="009B5602">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5</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6 – Dostopnost, razvoj in kakovost vključujočega izobraževanja – Reforma 4: Izvajanje orodij za preprečevanje zgodnjega opuščanja šolanja in prilagoditev študijskih programov tipa</w:t>
            </w:r>
            <w:r>
              <w:rPr>
                <w:noProof/>
                <w:color w:val="000000"/>
              </w:rPr>
              <w:t xml:space="preserve"> F</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Začetek veljavnosti zakonodajnih sprememb, katerih cilj je: • Začetek veljavnosti zakonodajnih sprememb, katerih cilj je: • razširitev možnosti za pridobitev nižje srednješolskega izobraževanja v nižjem sekundarnem poklicnem izobraževanju (VET) o</w:t>
            </w:r>
            <w:r>
              <w:rPr>
                <w:noProof/>
                <w:color w:val="000000"/>
              </w:rPr>
              <w:t>ptimizacija programov NSOV v odziv na potrebe trga dela in ponudba programov NSOV glede na izobraževalne potrebe ciljne skupine učencev</w:t>
            </w:r>
          </w:p>
        </w:tc>
      </w:tr>
      <w:tr w:rsidR="009B5602">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6</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7 – Izobraževanje za 21. stoletje – Reforma 1: Reforma izobraževalne vsebine in oblike – reforma učnih načrtov in </w:t>
            </w:r>
            <w:r>
              <w:rPr>
                <w:noProof/>
                <w:color w:val="000000"/>
              </w:rPr>
              <w:t>učbenikov</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Odobritev končne različice novega učnega načrta za vse osnovne in nižje srednje šole, organizirane v večletnih izobraževalnih ciklih</w:t>
            </w:r>
          </w:p>
        </w:tc>
      </w:tr>
      <w:tr w:rsidR="009B5602">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7</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7 – Izobraževanje za 21. stoletje – Reforma 2: Priprava in razvoj učiteljev na nove vsebine in oblike p</w:t>
            </w:r>
            <w:r>
              <w:rPr>
                <w:noProof/>
                <w:color w:val="000000"/>
              </w:rPr>
              <w:t>oučevanja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Začetek veljavnosti zakonodajnih sprememb za izboljšanje kakovosti znanj in spretnosti učiteljskega in strokovnega osebja ter njihovo motiviranje za vseživljenjsko poklicno izpopolnjevanje</w:t>
            </w:r>
          </w:p>
        </w:tc>
      </w:tr>
      <w:tr w:rsidR="009B5602">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8</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9 – Učinkovitejše upravljanje in krepitev </w:t>
            </w:r>
            <w:r>
              <w:rPr>
                <w:noProof/>
                <w:color w:val="000000"/>
              </w:rPr>
              <w:t>financiranja na področju raziskav, razvoja in inovacij – Naložba 7: Podpira enotni sistem nepovratnih sredstev za razvoj podeželja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Zasnova novega informacijskega sistema D za ocenjevanje shem nepovratnih sredstev</w:t>
            </w:r>
          </w:p>
        </w:tc>
      </w:tr>
      <w:tr w:rsidR="009B5602">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9</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11 – Sodobno in dostopno zdravst</w:t>
            </w:r>
            <w:r>
              <w:rPr>
                <w:noProof/>
                <w:color w:val="000000"/>
              </w:rPr>
              <w:t>veno varstvo – Reforma 4 Optimizacija akutne zdravstvene mreže in nova opredelitev nujne zdravstvene oskrbe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Sprememba zakona o mreži Optimalnih reševalnih vozil in nova opredelitev nujne zdravstvene oskrbe</w:t>
            </w:r>
          </w:p>
        </w:tc>
      </w:tr>
      <w:tr w:rsidR="009B5602">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10</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13 – Dostopno in visokokakovostno </w:t>
            </w:r>
            <w:r>
              <w:rPr>
                <w:noProof/>
                <w:color w:val="000000"/>
              </w:rPr>
              <w:t>dolgotrajno socialno-zdravstveno varstvo – Reforma vključevanja in financiranja dolgotrajnega socialnega in zdravstvenega varstva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Nov zakonodajni okvir za dolgoročno zdravstveno varstvo in paliativno oskrbo</w:t>
            </w:r>
          </w:p>
        </w:tc>
      </w:tr>
      <w:tr w:rsidR="009B5602">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11</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14 – Izboljšanje poslovnega okolja – R</w:t>
            </w:r>
            <w:r>
              <w:rPr>
                <w:noProof/>
                <w:color w:val="000000"/>
              </w:rPr>
              <w:t>eforma 1: Zmanjšanje regulativnega bremena za podjetja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uvedba novih orodij za zmanjšanje regulativnega bremena: – izvajanje pravila „1in–2 out“ – uvedba naknadne ocene obstoječih uredb (zakonodajnih in nezakonodajnih gradiv) – uvedba zaščite pred ne</w:t>
            </w:r>
            <w:r>
              <w:rPr>
                <w:noProof/>
                <w:color w:val="000000"/>
              </w:rPr>
              <w:t>upravičenim čezmernim prenašanjem zakonodaje</w:t>
            </w:r>
          </w:p>
        </w:tc>
      </w:tr>
      <w:tr w:rsidR="009B5602">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12</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14 – Izboljšanje poslovnega okolja – Reforma 3: Reforma javnega naročanja – digitalizacija postopkov javnega naročanja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Digitalizacija postopkov javnega naročanja prek enotne elektronske platforme.</w:t>
            </w:r>
          </w:p>
        </w:tc>
      </w:tr>
      <w:tr w:rsidR="009B5602">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13</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14 – Izboljšanje poslovnega okolja – Reforma 2: Reforma insolvenčnega okvira – prilagoditev zakonodaje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Reforma insolvenčnega okvira</w:t>
            </w:r>
          </w:p>
        </w:tc>
      </w:tr>
      <w:tr w:rsidR="009B5602">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14</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15 – Reforma pravosodja – Reforma 1: Reforma mreže sodišč – Zakonodaja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rPr>
                <w:rFonts w:eastAsia="Times New Roman" w:cs="Calibri"/>
                <w:noProof/>
                <w:color w:val="000000"/>
              </w:rPr>
            </w:pPr>
            <w:r>
              <w:rPr>
                <w:noProof/>
                <w:color w:val="000000"/>
              </w:rPr>
              <w:t xml:space="preserve">Uvedba nove mreže sodišč </w:t>
            </w:r>
          </w:p>
        </w:tc>
      </w:tr>
      <w:tr w:rsidR="009B5602">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15</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16 –</w:t>
            </w:r>
            <w:r>
              <w:rPr>
                <w:noProof/>
                <w:color w:val="000000"/>
              </w:rPr>
              <w:t xml:space="preserve"> Boj proti korupciji in pranju denarja – Reforma 3: Optimizacija kriznega upravljanja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Začetek veljavnosti optimiziranega kriznega upravljanja</w:t>
            </w:r>
          </w:p>
        </w:tc>
      </w:tr>
      <w:tr w:rsidR="009B5602">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16</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18 – Zdrave, vzdržne in konkurenčne javne finance – Reforma 1: Izboljšanje vzdržnosti pokojninskega </w:t>
            </w:r>
            <w:r>
              <w:rPr>
                <w:noProof/>
                <w:color w:val="000000"/>
              </w:rPr>
              <w:t>sistema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Reforma pokojninskega sistema </w:t>
            </w:r>
          </w:p>
        </w:tc>
      </w:tr>
      <w:tr w:rsidR="009B5602">
        <w:trPr>
          <w:trHeight w:val="31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 </w:t>
            </w:r>
          </w:p>
        </w:tc>
        <w:tc>
          <w:tcPr>
            <w:tcW w:w="3969"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 </w:t>
            </w:r>
          </w:p>
        </w:tc>
        <w:tc>
          <w:tcPr>
            <w:tcW w:w="1178"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0000"/>
              </w:rPr>
            </w:pPr>
            <w:r>
              <w:rPr>
                <w:noProof/>
                <w:color w:val="000000"/>
              </w:rPr>
              <w:t>Znesek obroka</w:t>
            </w:r>
          </w:p>
        </w:tc>
        <w:tc>
          <w:tcPr>
            <w:tcW w:w="4209"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rPr>
                <w:rFonts w:eastAsia="Times New Roman" w:cs="Calibri"/>
                <w:noProof/>
                <w:color w:val="000000"/>
              </w:rPr>
            </w:pPr>
            <w:r>
              <w:rPr>
                <w:noProof/>
                <w:color w:val="000000"/>
              </w:rPr>
              <w:t xml:space="preserve"> 923 828 000 EUR.   </w:t>
            </w:r>
          </w:p>
        </w:tc>
      </w:tr>
    </w:tbl>
    <w:p w:rsidR="009B5602" w:rsidRDefault="009B5602">
      <w:pPr>
        <w:pStyle w:val="Text1"/>
        <w:rPr>
          <w:noProof/>
          <w:lang w:val="en-US"/>
        </w:rPr>
      </w:pPr>
    </w:p>
    <w:p w:rsidR="009B5602" w:rsidRDefault="00886830">
      <w:pPr>
        <w:pStyle w:val="NumPar2"/>
        <w:numPr>
          <w:ilvl w:val="1"/>
          <w:numId w:val="49"/>
        </w:numPr>
        <w:rPr>
          <w:b/>
          <w:noProof/>
        </w:rPr>
      </w:pPr>
      <w:r>
        <w:rPr>
          <w:b/>
          <w:noProof/>
        </w:rPr>
        <w:t xml:space="preserve">Peti obrok (nepovratna podpora): </w:t>
      </w:r>
    </w:p>
    <w:p w:rsidR="009B5602" w:rsidRDefault="009B5602">
      <w:pPr>
        <w:pStyle w:val="Text1"/>
        <w:rPr>
          <w:noProof/>
        </w:rPr>
      </w:pPr>
    </w:p>
    <w:tbl>
      <w:tblPr>
        <w:tblW w:w="10632" w:type="dxa"/>
        <w:tblInd w:w="-601" w:type="dxa"/>
        <w:tblLook w:val="04A0" w:firstRow="1" w:lastRow="0" w:firstColumn="1" w:lastColumn="0" w:noHBand="0" w:noVBand="1"/>
      </w:tblPr>
      <w:tblGrid>
        <w:gridCol w:w="1276"/>
        <w:gridCol w:w="3969"/>
        <w:gridCol w:w="1204"/>
        <w:gridCol w:w="4209"/>
      </w:tblGrid>
      <w:tr w:rsidR="009B5602">
        <w:trPr>
          <w:trHeight w:val="1365"/>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Zaporedna številka</w:t>
            </w:r>
          </w:p>
        </w:tc>
        <w:tc>
          <w:tcPr>
            <w:tcW w:w="3969"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Povezani ukrep (reforma ali naložba)</w:t>
            </w:r>
          </w:p>
        </w:tc>
        <w:tc>
          <w:tcPr>
            <w:tcW w:w="1178"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Mejnik/cilj</w:t>
            </w:r>
          </w:p>
        </w:tc>
        <w:tc>
          <w:tcPr>
            <w:tcW w:w="4209"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Ime</w:t>
            </w:r>
          </w:p>
        </w:tc>
      </w:tr>
      <w:tr w:rsidR="009B5602">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2 – Prenova stavb – Reforma 2:  Povečanje preglednosti in</w:t>
            </w:r>
            <w:r>
              <w:rPr>
                <w:noProof/>
                <w:color w:val="000000"/>
              </w:rPr>
              <w:t xml:space="preserve"> poenostavitev odločitev slovaškega odbora za spomenike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Metodologije za postopek odločanja slovaškega odbora za spomenike</w:t>
            </w:r>
          </w:p>
        </w:tc>
      </w:tr>
      <w:tr w:rsidR="009B5602">
        <w:trPr>
          <w:trHeight w:val="1166"/>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3 – Trajnostni promet – Reforma 2: Reforma javnega potniškega prometa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Izvajanje optimiziranega voznega reda </w:t>
            </w:r>
            <w:r>
              <w:rPr>
                <w:noProof/>
                <w:color w:val="000000"/>
              </w:rPr>
              <w:t>železniškega prometa</w:t>
            </w:r>
          </w:p>
        </w:tc>
      </w:tr>
      <w:tr w:rsidR="009B5602">
        <w:trPr>
          <w:trHeight w:val="1172"/>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4 – Razogljičenje industrije – Reforma 1: Prenehanje proizvodnje električne energije iz premoga v elektrarni Nováky in preoblikovanje regije Zgornja Nitra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Prehod s premoga v regiji Zgornja Nitra</w:t>
            </w:r>
          </w:p>
        </w:tc>
      </w:tr>
      <w:tr w:rsidR="009B5602">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4</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5 – Prilagajanje podnebnim </w:t>
            </w:r>
            <w:r>
              <w:rPr>
                <w:noProof/>
                <w:color w:val="000000"/>
              </w:rPr>
              <w:t>spremembam – Reforma 2: Reforma ohranjanja narave in gospodarjenja z vodnimi viri na podeželju</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Učinkovitejša uporaba naravovarstvenih ukrepov v pokrajinah na zaščitenih območjih in oživitev vodotokov</w:t>
            </w:r>
          </w:p>
        </w:tc>
      </w:tr>
      <w:tr w:rsidR="009B5602">
        <w:trPr>
          <w:trHeight w:val="1212"/>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5</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5 – Prilagajanje podnebnim spremembam – </w:t>
            </w:r>
            <w:r>
              <w:rPr>
                <w:noProof/>
                <w:color w:val="000000"/>
              </w:rPr>
              <w:t>Naložba 1: Prilagajanje regij podnebnim spremembam s poudarkom na ohranjanju narave in razvoju biotske raznovrstnosti</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Nepremičninska poravnava z zasebnimi lastniki zemljišč (na zemljišču, naseljenem v ha)</w:t>
            </w:r>
          </w:p>
        </w:tc>
      </w:tr>
      <w:tr w:rsidR="009B5602">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6</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6 – Dostopnost, razvoj in kakovost </w:t>
            </w:r>
            <w:r>
              <w:rPr>
                <w:noProof/>
                <w:color w:val="000000"/>
              </w:rPr>
              <w:t>vključujočega izobraževanja – Reforma 5: Podpora za odpravo segregacije šol</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Sprejetje zakonodajnih sprememb, ki uvajajo opredelitev v šolah v zakonodajo, in razvoj metodološkega gradiva za izvajanje odprave segregacije</w:t>
            </w:r>
          </w:p>
        </w:tc>
      </w:tr>
      <w:tr w:rsidR="009B5602">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7</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7 – Izobraževanje za 21. </w:t>
            </w:r>
            <w:r>
              <w:rPr>
                <w:noProof/>
                <w:color w:val="000000"/>
              </w:rPr>
              <w:t>stoletje – Reforma 2: Priprava in razvoj učiteljev na nove vsebine in oblike poučevanja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Odstotek učiteljev, usposobljenih zlasti za pripravo novega učnega načrta, vključujoče izobraževanje in digitalne spretnosti </w:t>
            </w:r>
          </w:p>
        </w:tc>
      </w:tr>
      <w:tr w:rsidR="009B5602">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8</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8 – Povečanje uspešnosti slovaški</w:t>
            </w:r>
            <w:r>
              <w:rPr>
                <w:noProof/>
                <w:color w:val="000000"/>
              </w:rPr>
              <w:t>h visokošolskih ustanov – Reforma 1: Spremembe financiranja univerz, vključno z uvedbo pogodb o izvedbi javnega naročila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Pogodbe o izvajanju, podpisane z javnimi univerzami (v odstotkih) </w:t>
            </w:r>
          </w:p>
        </w:tc>
      </w:tr>
      <w:tr w:rsidR="009B5602">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9</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10 – Pritegnitev in ohranjanje talentov – Naložba 1: Podporn</w:t>
            </w:r>
            <w:r>
              <w:rPr>
                <w:noProof/>
                <w:color w:val="000000"/>
              </w:rPr>
              <w:t>a orodja in pomoč za povratnike, visokokvalificirane delavce iz tretjih držav in njihove družinske člane ter tuje visokošolske študente, ki študirajo na Slovaškem</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točk „vse na enem mestu“ za vključevanje na Slovaškem</w:t>
            </w:r>
          </w:p>
        </w:tc>
      </w:tr>
      <w:tr w:rsidR="009B5602">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10</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11 – Sodobno in </w:t>
            </w:r>
            <w:r>
              <w:rPr>
                <w:noProof/>
                <w:color w:val="000000"/>
              </w:rPr>
              <w:t>dostopno zdravstveno varstvo – Reforma 3 Centralizacija upravljanja največjih bolnišnic</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Ustanovitev osrednjega organa za upravljanje bolnišnic z organizacijskega, operativnega in ekonomskega vidika</w:t>
            </w:r>
          </w:p>
        </w:tc>
      </w:tr>
      <w:tr w:rsidR="009B5602">
        <w:trPr>
          <w:trHeight w:val="1104"/>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11</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11 – Sodobno in dostopno zdravstveno varstvo – </w:t>
            </w:r>
            <w:r>
              <w:rPr>
                <w:noProof/>
                <w:color w:val="000000"/>
              </w:rPr>
              <w:t>Naložba 3 Digitalizacija v zdravstvu</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Navigacijski sistem za zdravljenje atrijske fibrilacije v 3 ustanovah za bolezni srca in ožilja</w:t>
            </w:r>
          </w:p>
        </w:tc>
      </w:tr>
      <w:tr w:rsidR="009B5602">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12</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13 – Dostopno in visokokakovostno dolgotrajno socialno-zdravstveno varstvo – Reforma vključevanja in financiranja </w:t>
            </w:r>
            <w:r>
              <w:rPr>
                <w:noProof/>
                <w:color w:val="000000"/>
              </w:rPr>
              <w:t>dolgotrajnega socialnega in zdravstvenega varstva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Objava koncepta financiranja socialnih storitev za javno razpravo</w:t>
            </w:r>
          </w:p>
        </w:tc>
      </w:tr>
      <w:tr w:rsidR="009B5602">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13</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15 – Reforma pravosodja – Naložba 2: Podporni instrumenti za reformo mreže sodišč – Poslovni register in centralizirani sistem </w:t>
            </w:r>
            <w:r>
              <w:rPr>
                <w:noProof/>
                <w:color w:val="000000"/>
              </w:rPr>
              <w:t>upravljanja sodstva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Razvoj in predaja informacijskega sistema – poslovni register</w:t>
            </w:r>
          </w:p>
        </w:tc>
      </w:tr>
      <w:tr w:rsidR="009B5602">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14</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16 – Boj proti korupciji in pranju denarja – Naložba 1: Orodja in zmogljivosti za boj proti korupciji in pranju denarja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Zagotavljanje potrebne infrastruktu</w:t>
            </w:r>
            <w:r>
              <w:rPr>
                <w:noProof/>
                <w:color w:val="000000"/>
              </w:rPr>
              <w:t xml:space="preserve">re za podporo boju proti pranju denarja in korupciji </w:t>
            </w:r>
          </w:p>
        </w:tc>
      </w:tr>
      <w:tr w:rsidR="009B5602">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15</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16 – Boj proti korupciji in pranju denarja – Naložba 1: Orodja in zmogljivosti za boj proti korupciji in pranju denarja</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Preusposabljanje policistov v finančnih preiskavah in analitičnih </w:t>
            </w:r>
            <w:r>
              <w:rPr>
                <w:noProof/>
                <w:color w:val="000000"/>
              </w:rPr>
              <w:t>dejavnostih</w:t>
            </w:r>
          </w:p>
        </w:tc>
      </w:tr>
      <w:tr w:rsidR="009B5602">
        <w:trPr>
          <w:trHeight w:val="1172"/>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16</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17 – Digitalna Slovaška – Reforma 1: Oblikovanje rešitev e-uprave za prednostne življenjske razmere</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Načrt prednostnih življenjskih razmer</w:t>
            </w:r>
          </w:p>
        </w:tc>
      </w:tr>
      <w:tr w:rsidR="009B5602">
        <w:trPr>
          <w:trHeight w:val="12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17</w:t>
            </w:r>
          </w:p>
        </w:tc>
        <w:tc>
          <w:tcPr>
            <w:tcW w:w="396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17 – Digitalna Slovaška – Reforma 2: Centralno upravljanje virov IT</w:t>
            </w:r>
          </w:p>
        </w:tc>
        <w:tc>
          <w:tcPr>
            <w:tcW w:w="117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20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Osrednja </w:t>
            </w:r>
            <w:r>
              <w:rPr>
                <w:noProof/>
                <w:color w:val="000000"/>
              </w:rPr>
              <w:t>platforma za uporabo informacijskih virov (digitalni trg)</w:t>
            </w:r>
          </w:p>
        </w:tc>
      </w:tr>
      <w:tr w:rsidR="009B5602">
        <w:trPr>
          <w:trHeight w:val="31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 </w:t>
            </w:r>
          </w:p>
        </w:tc>
        <w:tc>
          <w:tcPr>
            <w:tcW w:w="3969"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0000"/>
              </w:rPr>
            </w:pPr>
            <w:r>
              <w:rPr>
                <w:noProof/>
                <w:color w:val="000000"/>
              </w:rPr>
              <w:t> </w:t>
            </w:r>
          </w:p>
        </w:tc>
        <w:tc>
          <w:tcPr>
            <w:tcW w:w="1178"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0000"/>
              </w:rPr>
            </w:pPr>
            <w:r>
              <w:rPr>
                <w:noProof/>
                <w:color w:val="000000"/>
              </w:rPr>
              <w:t>Znesek obroka</w:t>
            </w:r>
          </w:p>
        </w:tc>
        <w:tc>
          <w:tcPr>
            <w:tcW w:w="4209"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rPr>
                <w:rFonts w:eastAsia="Times New Roman" w:cs="Calibri"/>
                <w:noProof/>
                <w:color w:val="000000"/>
              </w:rPr>
            </w:pPr>
            <w:r>
              <w:rPr>
                <w:noProof/>
                <w:color w:val="000000"/>
              </w:rPr>
              <w:t xml:space="preserve"> 923 828 000 EUR.   </w:t>
            </w:r>
          </w:p>
        </w:tc>
      </w:tr>
    </w:tbl>
    <w:p w:rsidR="009B5602" w:rsidRDefault="009B5602">
      <w:pPr>
        <w:pStyle w:val="Text1"/>
        <w:rPr>
          <w:noProof/>
        </w:rPr>
      </w:pPr>
    </w:p>
    <w:p w:rsidR="009B5602" w:rsidRDefault="00886830">
      <w:pPr>
        <w:pStyle w:val="NumPar2"/>
        <w:numPr>
          <w:ilvl w:val="1"/>
          <w:numId w:val="49"/>
        </w:numPr>
        <w:rPr>
          <w:b/>
          <w:noProof/>
        </w:rPr>
      </w:pPr>
      <w:r>
        <w:rPr>
          <w:b/>
          <w:noProof/>
        </w:rPr>
        <w:t xml:space="preserve">Šesti obrok (nepovratna podpora): </w:t>
      </w:r>
    </w:p>
    <w:p w:rsidR="009B5602" w:rsidRDefault="009B5602">
      <w:pPr>
        <w:pStyle w:val="Text1"/>
        <w:rPr>
          <w:noProof/>
          <w:lang w:val="fr-BE"/>
        </w:rPr>
      </w:pPr>
    </w:p>
    <w:tbl>
      <w:tblPr>
        <w:tblW w:w="10490" w:type="dxa"/>
        <w:tblInd w:w="-601" w:type="dxa"/>
        <w:tblLook w:val="04A0" w:firstRow="1" w:lastRow="0" w:firstColumn="1" w:lastColumn="0" w:noHBand="0" w:noVBand="1"/>
      </w:tblPr>
      <w:tblGrid>
        <w:gridCol w:w="1276"/>
        <w:gridCol w:w="3828"/>
        <w:gridCol w:w="1275"/>
        <w:gridCol w:w="4111"/>
      </w:tblGrid>
      <w:tr w:rsidR="009B5602">
        <w:trPr>
          <w:trHeight w:val="570"/>
        </w:trPr>
        <w:tc>
          <w:tcPr>
            <w:tcW w:w="1276" w:type="dxa"/>
            <w:tcBorders>
              <w:top w:val="single" w:sz="8" w:space="0" w:color="auto"/>
              <w:left w:val="single" w:sz="8" w:space="0" w:color="auto"/>
              <w:bottom w:val="single" w:sz="8" w:space="0" w:color="auto"/>
              <w:right w:val="single" w:sz="8" w:space="0" w:color="auto"/>
            </w:tcBorders>
            <w:shd w:val="clear" w:color="auto" w:fill="BDD7EE"/>
            <w:vAlign w:val="center"/>
            <w:hideMark/>
          </w:tcPr>
          <w:p w:rsidR="009B5602" w:rsidRDefault="00886830">
            <w:pPr>
              <w:spacing w:after="0"/>
              <w:jc w:val="center"/>
              <w:rPr>
                <w:rFonts w:eastAsia="Times New Roman"/>
                <w:b/>
                <w:bCs/>
                <w:noProof/>
                <w:color w:val="000000"/>
              </w:rPr>
            </w:pPr>
            <w:r>
              <w:rPr>
                <w:b/>
                <w:bCs/>
                <w:noProof/>
                <w:color w:val="000000"/>
              </w:rPr>
              <w:t>Zaporedna številka</w:t>
            </w:r>
          </w:p>
        </w:tc>
        <w:tc>
          <w:tcPr>
            <w:tcW w:w="3828" w:type="dxa"/>
            <w:tcBorders>
              <w:top w:val="single" w:sz="8" w:space="0" w:color="auto"/>
              <w:left w:val="nil"/>
              <w:bottom w:val="single" w:sz="8" w:space="0" w:color="auto"/>
              <w:right w:val="single" w:sz="8" w:space="0" w:color="auto"/>
            </w:tcBorders>
            <w:shd w:val="clear" w:color="auto" w:fill="BDD7EE"/>
            <w:vAlign w:val="center"/>
            <w:hideMark/>
          </w:tcPr>
          <w:p w:rsidR="009B5602" w:rsidRDefault="00886830">
            <w:pPr>
              <w:spacing w:after="0"/>
              <w:jc w:val="center"/>
              <w:rPr>
                <w:rFonts w:eastAsia="Times New Roman"/>
                <w:b/>
                <w:bCs/>
                <w:noProof/>
                <w:color w:val="000000"/>
              </w:rPr>
            </w:pPr>
            <w:r>
              <w:rPr>
                <w:b/>
                <w:bCs/>
                <w:noProof/>
                <w:color w:val="000000"/>
              </w:rPr>
              <w:t>Povezani ukrep (reforma ali naložba)</w:t>
            </w:r>
          </w:p>
        </w:tc>
        <w:tc>
          <w:tcPr>
            <w:tcW w:w="1275" w:type="dxa"/>
            <w:tcBorders>
              <w:top w:val="single" w:sz="8" w:space="0" w:color="auto"/>
              <w:left w:val="nil"/>
              <w:bottom w:val="single" w:sz="8" w:space="0" w:color="auto"/>
              <w:right w:val="single" w:sz="8" w:space="0" w:color="auto"/>
            </w:tcBorders>
            <w:shd w:val="clear" w:color="auto" w:fill="BDD7EE"/>
            <w:vAlign w:val="center"/>
            <w:hideMark/>
          </w:tcPr>
          <w:p w:rsidR="009B5602" w:rsidRDefault="00886830">
            <w:pPr>
              <w:spacing w:after="0"/>
              <w:jc w:val="center"/>
              <w:rPr>
                <w:rFonts w:eastAsia="Times New Roman"/>
                <w:b/>
                <w:bCs/>
                <w:noProof/>
                <w:color w:val="000000"/>
              </w:rPr>
            </w:pPr>
            <w:r>
              <w:rPr>
                <w:b/>
                <w:bCs/>
                <w:noProof/>
                <w:color w:val="000000"/>
              </w:rPr>
              <w:t>Mejnik/cilj</w:t>
            </w:r>
          </w:p>
        </w:tc>
        <w:tc>
          <w:tcPr>
            <w:tcW w:w="4111" w:type="dxa"/>
            <w:tcBorders>
              <w:top w:val="single" w:sz="8" w:space="0" w:color="auto"/>
              <w:left w:val="nil"/>
              <w:bottom w:val="single" w:sz="8" w:space="0" w:color="auto"/>
              <w:right w:val="single" w:sz="8" w:space="0" w:color="auto"/>
            </w:tcBorders>
            <w:shd w:val="clear" w:color="auto" w:fill="BDD7EE"/>
            <w:vAlign w:val="center"/>
            <w:hideMark/>
          </w:tcPr>
          <w:p w:rsidR="009B5602" w:rsidRDefault="00886830">
            <w:pPr>
              <w:spacing w:after="0"/>
              <w:jc w:val="center"/>
              <w:rPr>
                <w:rFonts w:eastAsia="Times New Roman"/>
                <w:b/>
                <w:bCs/>
                <w:noProof/>
                <w:color w:val="000000"/>
              </w:rPr>
            </w:pPr>
            <w:r>
              <w:rPr>
                <w:b/>
                <w:bCs/>
                <w:noProof/>
                <w:color w:val="000000"/>
              </w:rPr>
              <w:t>Ime</w:t>
            </w:r>
          </w:p>
        </w:tc>
      </w:tr>
      <w:tr w:rsidR="009B5602">
        <w:trPr>
          <w:trHeight w:val="9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9B5602" w:rsidRDefault="00886830">
            <w:pPr>
              <w:spacing w:after="0"/>
              <w:jc w:val="center"/>
              <w:rPr>
                <w:rFonts w:eastAsia="Times New Roman"/>
                <w:noProof/>
                <w:color w:val="006100"/>
              </w:rPr>
            </w:pPr>
            <w:r>
              <w:rPr>
                <w:noProof/>
                <w:color w:val="006100"/>
              </w:rPr>
              <w:t>1</w:t>
            </w:r>
          </w:p>
        </w:tc>
        <w:tc>
          <w:tcPr>
            <w:tcW w:w="3828"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 xml:space="preserve">9 – Učinkovitejše upravljanje in krepitev </w:t>
            </w:r>
            <w:r>
              <w:rPr>
                <w:noProof/>
                <w:color w:val="000000"/>
              </w:rPr>
              <w:t>financiranja na področju raziskav, razvoja in inovacij – Naložba 3: Odlična znanost</w:t>
            </w:r>
          </w:p>
        </w:tc>
        <w:tc>
          <w:tcPr>
            <w:tcW w:w="1275"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 xml:space="preserve">Število podprtih odličnih raziskovalcev </w:t>
            </w:r>
          </w:p>
        </w:tc>
      </w:tr>
      <w:tr w:rsidR="009B5602">
        <w:trPr>
          <w:trHeight w:val="9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9B5602" w:rsidRDefault="00886830">
            <w:pPr>
              <w:spacing w:after="0"/>
              <w:jc w:val="center"/>
              <w:rPr>
                <w:rFonts w:eastAsia="Times New Roman"/>
                <w:noProof/>
                <w:color w:val="006100"/>
              </w:rPr>
            </w:pPr>
            <w:r>
              <w:rPr>
                <w:noProof/>
                <w:color w:val="006100"/>
              </w:rPr>
              <w:t>2</w:t>
            </w:r>
          </w:p>
        </w:tc>
        <w:tc>
          <w:tcPr>
            <w:tcW w:w="3828"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11 – Sodobno in dostopno zdravstveno varstvo – Naložba 2: Novo bolnišnično omrežje – Gradnja, rekonstrukcija in oprema</w:t>
            </w:r>
          </w:p>
        </w:tc>
        <w:tc>
          <w:tcPr>
            <w:tcW w:w="1275"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mejnik</w:t>
            </w:r>
          </w:p>
        </w:tc>
        <w:tc>
          <w:tcPr>
            <w:tcW w:w="4111"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Javni razpis za gradnjo in obnovo bolnišnic</w:t>
            </w:r>
          </w:p>
        </w:tc>
      </w:tr>
      <w:tr w:rsidR="009B5602">
        <w:trPr>
          <w:trHeight w:val="6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9B5602" w:rsidRDefault="00886830">
            <w:pPr>
              <w:spacing w:after="0"/>
              <w:jc w:val="center"/>
              <w:rPr>
                <w:rFonts w:eastAsia="Times New Roman"/>
                <w:noProof/>
                <w:color w:val="006100"/>
              </w:rPr>
            </w:pPr>
            <w:r>
              <w:rPr>
                <w:noProof/>
                <w:color w:val="006100"/>
              </w:rPr>
              <w:t>3</w:t>
            </w:r>
          </w:p>
        </w:tc>
        <w:tc>
          <w:tcPr>
            <w:tcW w:w="3828"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13 – Dostopno in visokokakovostno dolgotrajno socialno-zdravstveno varstvo – Reforma 2: Ocena potreb po oskrbi</w:t>
            </w:r>
          </w:p>
        </w:tc>
        <w:tc>
          <w:tcPr>
            <w:tcW w:w="1275"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mejnik</w:t>
            </w:r>
          </w:p>
        </w:tc>
        <w:tc>
          <w:tcPr>
            <w:tcW w:w="4111"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Poenotenje sistema ocenjevanja</w:t>
            </w:r>
          </w:p>
        </w:tc>
      </w:tr>
      <w:tr w:rsidR="009B5602">
        <w:trPr>
          <w:trHeight w:val="12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9B5602" w:rsidRDefault="00886830">
            <w:pPr>
              <w:spacing w:after="0"/>
              <w:jc w:val="center"/>
              <w:rPr>
                <w:rFonts w:eastAsia="Times New Roman"/>
                <w:noProof/>
                <w:color w:val="006100"/>
              </w:rPr>
            </w:pPr>
            <w:r>
              <w:rPr>
                <w:noProof/>
                <w:color w:val="006100"/>
              </w:rPr>
              <w:t>4</w:t>
            </w:r>
          </w:p>
        </w:tc>
        <w:tc>
          <w:tcPr>
            <w:tcW w:w="3828"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 xml:space="preserve">13 – Dostopno in visokokakovostno dolgotrajno </w:t>
            </w:r>
            <w:r>
              <w:rPr>
                <w:noProof/>
                <w:color w:val="000000"/>
              </w:rPr>
              <w:t>socialno-zdravstveno varstvo – Reforma 3: Reforma nadzora nad socialnim varstvom in zagotavljanje infrastrukture za njegovo izvajanje</w:t>
            </w:r>
          </w:p>
        </w:tc>
        <w:tc>
          <w:tcPr>
            <w:tcW w:w="1275"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 xml:space="preserve">Vzpostavitev enotnega nadzornega sistema s sedežem in 8 podružnicami </w:t>
            </w:r>
          </w:p>
        </w:tc>
      </w:tr>
      <w:tr w:rsidR="009B5602">
        <w:trPr>
          <w:trHeight w:val="12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9B5602" w:rsidRDefault="00886830">
            <w:pPr>
              <w:spacing w:after="0"/>
              <w:jc w:val="center"/>
              <w:rPr>
                <w:rFonts w:eastAsia="Times New Roman"/>
                <w:noProof/>
                <w:color w:val="006100"/>
              </w:rPr>
            </w:pPr>
            <w:r>
              <w:rPr>
                <w:noProof/>
                <w:color w:val="006100"/>
              </w:rPr>
              <w:t>5</w:t>
            </w:r>
          </w:p>
        </w:tc>
        <w:tc>
          <w:tcPr>
            <w:tcW w:w="3828"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 xml:space="preserve">13 – Dostopno in visokokakovostno dolgotrajno socialno-zdravstveno varstvo – Naložba 1: Krepitev zmogljivosti socialnega varstva v skupnosti </w:t>
            </w:r>
          </w:p>
        </w:tc>
        <w:tc>
          <w:tcPr>
            <w:tcW w:w="1275"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Povečanje zmogljivosti stanovanjskih storitev v skupnosti in zdravstvenih in socialnih zmogljivosti z nizko z</w:t>
            </w:r>
            <w:r>
              <w:rPr>
                <w:noProof/>
                <w:color w:val="000000"/>
              </w:rPr>
              <w:t>mogljivostjo (kazalnik: najmanjše število ustvarjenih mest)</w:t>
            </w:r>
          </w:p>
        </w:tc>
      </w:tr>
      <w:tr w:rsidR="009B5602">
        <w:trPr>
          <w:trHeight w:val="9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9B5602" w:rsidRDefault="00886830">
            <w:pPr>
              <w:spacing w:after="0"/>
              <w:jc w:val="center"/>
              <w:rPr>
                <w:rFonts w:eastAsia="Times New Roman"/>
                <w:noProof/>
                <w:color w:val="006100"/>
              </w:rPr>
            </w:pPr>
            <w:r>
              <w:rPr>
                <w:noProof/>
                <w:color w:val="006100"/>
              </w:rPr>
              <w:t>6</w:t>
            </w:r>
          </w:p>
        </w:tc>
        <w:tc>
          <w:tcPr>
            <w:tcW w:w="3828"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 xml:space="preserve">13 – Dostopno in visokokakovostno dolgotrajno socialno-zdravstveno varstvo – Izboljšanje zmogljivosti socialnega varstva v skupnosti </w:t>
            </w:r>
          </w:p>
        </w:tc>
        <w:tc>
          <w:tcPr>
            <w:tcW w:w="1275"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Povečanje zmogljivosti ambulantnih storitev (kazalnik:</w:t>
            </w:r>
            <w:r>
              <w:rPr>
                <w:noProof/>
                <w:color w:val="000000"/>
              </w:rPr>
              <w:t xml:space="preserve"> najmanjše število ustvarjenih mest)</w:t>
            </w:r>
          </w:p>
        </w:tc>
      </w:tr>
      <w:tr w:rsidR="009B5602">
        <w:trPr>
          <w:trHeight w:val="9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9B5602" w:rsidRDefault="00886830">
            <w:pPr>
              <w:spacing w:after="0"/>
              <w:jc w:val="center"/>
              <w:rPr>
                <w:rFonts w:eastAsia="Times New Roman"/>
                <w:noProof/>
                <w:color w:val="006100"/>
              </w:rPr>
            </w:pPr>
            <w:r>
              <w:rPr>
                <w:noProof/>
                <w:color w:val="006100"/>
              </w:rPr>
              <w:t>7</w:t>
            </w:r>
          </w:p>
        </w:tc>
        <w:tc>
          <w:tcPr>
            <w:tcW w:w="3828"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14 – Izboljšanje poslovnega okolja – Naložba 2: Digitalizacija postopkov v primeru insolventnosti</w:t>
            </w:r>
          </w:p>
        </w:tc>
        <w:tc>
          <w:tcPr>
            <w:tcW w:w="1275"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auto" w:fill="C6EFCE"/>
            <w:vAlign w:val="center"/>
            <w:hideMark/>
          </w:tcPr>
          <w:p w:rsidR="009B5602" w:rsidRDefault="00886830">
            <w:pPr>
              <w:spacing w:after="0"/>
              <w:jc w:val="center"/>
              <w:rPr>
                <w:rFonts w:eastAsia="Times New Roman" w:cs="Calibri"/>
                <w:noProof/>
                <w:color w:val="000000"/>
              </w:rPr>
            </w:pPr>
            <w:r>
              <w:rPr>
                <w:noProof/>
                <w:color w:val="000000"/>
              </w:rPr>
              <w:t>V celoti deluje en sam, popolnoma digitaliziran postopek insolventnosti.</w:t>
            </w:r>
          </w:p>
        </w:tc>
      </w:tr>
      <w:tr w:rsidR="009B5602">
        <w:trPr>
          <w:trHeight w:val="3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9B5602" w:rsidRDefault="00886830">
            <w:pPr>
              <w:spacing w:after="0"/>
              <w:jc w:val="center"/>
              <w:rPr>
                <w:rFonts w:eastAsia="Times New Roman"/>
                <w:noProof/>
                <w:color w:val="006100"/>
              </w:rPr>
            </w:pPr>
            <w:r>
              <w:rPr>
                <w:noProof/>
                <w:color w:val="006100"/>
              </w:rPr>
              <w:t> </w:t>
            </w:r>
          </w:p>
        </w:tc>
        <w:tc>
          <w:tcPr>
            <w:tcW w:w="3828" w:type="dxa"/>
            <w:tcBorders>
              <w:top w:val="nil"/>
              <w:left w:val="nil"/>
              <w:bottom w:val="single" w:sz="8" w:space="0" w:color="auto"/>
              <w:right w:val="single" w:sz="8" w:space="0" w:color="auto"/>
            </w:tcBorders>
            <w:shd w:val="clear" w:color="auto" w:fill="C6EFCE"/>
            <w:noWrap/>
            <w:vAlign w:val="center"/>
            <w:hideMark/>
          </w:tcPr>
          <w:p w:rsidR="009B5602" w:rsidRDefault="00886830">
            <w:pPr>
              <w:spacing w:after="0"/>
              <w:jc w:val="center"/>
              <w:rPr>
                <w:rFonts w:eastAsia="Times New Roman"/>
                <w:noProof/>
                <w:color w:val="006100"/>
              </w:rPr>
            </w:pPr>
            <w:r>
              <w:rPr>
                <w:noProof/>
                <w:color w:val="006100"/>
              </w:rPr>
              <w:t> </w:t>
            </w:r>
          </w:p>
        </w:tc>
        <w:tc>
          <w:tcPr>
            <w:tcW w:w="1275" w:type="dxa"/>
            <w:tcBorders>
              <w:top w:val="nil"/>
              <w:left w:val="nil"/>
              <w:bottom w:val="single" w:sz="8" w:space="0" w:color="auto"/>
              <w:right w:val="single" w:sz="8" w:space="0" w:color="auto"/>
            </w:tcBorders>
            <w:shd w:val="clear" w:color="auto" w:fill="C6EFCE"/>
            <w:noWrap/>
            <w:vAlign w:val="center"/>
            <w:hideMark/>
          </w:tcPr>
          <w:p w:rsidR="009B5602" w:rsidRDefault="00886830">
            <w:pPr>
              <w:spacing w:after="0"/>
              <w:jc w:val="center"/>
              <w:rPr>
                <w:rFonts w:eastAsia="Times New Roman"/>
                <w:noProof/>
              </w:rPr>
            </w:pPr>
            <w:r>
              <w:rPr>
                <w:noProof/>
              </w:rPr>
              <w:t>Znesek obroka</w:t>
            </w:r>
          </w:p>
        </w:tc>
        <w:tc>
          <w:tcPr>
            <w:tcW w:w="4111" w:type="dxa"/>
            <w:tcBorders>
              <w:top w:val="nil"/>
              <w:left w:val="nil"/>
              <w:bottom w:val="single" w:sz="8" w:space="0" w:color="auto"/>
              <w:right w:val="single" w:sz="8" w:space="0" w:color="auto"/>
            </w:tcBorders>
            <w:shd w:val="clear" w:color="auto" w:fill="C6EFCE"/>
            <w:noWrap/>
            <w:vAlign w:val="center"/>
            <w:hideMark/>
          </w:tcPr>
          <w:p w:rsidR="009B5602" w:rsidRDefault="00886830">
            <w:pPr>
              <w:spacing w:after="0"/>
              <w:jc w:val="center"/>
              <w:rPr>
                <w:rFonts w:cs="Calibri"/>
                <w:noProof/>
              </w:rPr>
            </w:pPr>
            <w:r>
              <w:rPr>
                <w:noProof/>
              </w:rPr>
              <w:t xml:space="preserve">792 892 000 EUR.   </w:t>
            </w:r>
          </w:p>
        </w:tc>
      </w:tr>
    </w:tbl>
    <w:p w:rsidR="009B5602" w:rsidRDefault="009B5602">
      <w:pPr>
        <w:pStyle w:val="Text1"/>
        <w:rPr>
          <w:noProof/>
          <w:lang w:val="fr-BE"/>
        </w:rPr>
      </w:pPr>
    </w:p>
    <w:p w:rsidR="009B5602" w:rsidRDefault="00886830">
      <w:pPr>
        <w:pStyle w:val="NumPar2"/>
        <w:numPr>
          <w:ilvl w:val="1"/>
          <w:numId w:val="49"/>
        </w:numPr>
        <w:rPr>
          <w:b/>
          <w:noProof/>
        </w:rPr>
      </w:pPr>
      <w:r>
        <w:rPr>
          <w:b/>
          <w:noProof/>
        </w:rPr>
        <w:t xml:space="preserve">Sedmi obrok (nepovratna podpora): </w:t>
      </w:r>
    </w:p>
    <w:p w:rsidR="009B5602" w:rsidRDefault="009B5602">
      <w:pPr>
        <w:pStyle w:val="Text1"/>
        <w:rPr>
          <w:noProof/>
        </w:rPr>
      </w:pPr>
    </w:p>
    <w:tbl>
      <w:tblPr>
        <w:tblW w:w="10490" w:type="dxa"/>
        <w:tblInd w:w="-601" w:type="dxa"/>
        <w:tblLook w:val="04A0" w:firstRow="1" w:lastRow="0" w:firstColumn="1" w:lastColumn="0" w:noHBand="0" w:noVBand="1"/>
      </w:tblPr>
      <w:tblGrid>
        <w:gridCol w:w="1276"/>
        <w:gridCol w:w="3828"/>
        <w:gridCol w:w="1275"/>
        <w:gridCol w:w="4111"/>
      </w:tblGrid>
      <w:tr w:rsidR="009B5602">
        <w:trPr>
          <w:trHeight w:val="765"/>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Zaporedna številka</w:t>
            </w:r>
          </w:p>
        </w:tc>
        <w:tc>
          <w:tcPr>
            <w:tcW w:w="3828"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Povezani ukrep (reforma ali naložba)</w:t>
            </w:r>
          </w:p>
        </w:tc>
        <w:tc>
          <w:tcPr>
            <w:tcW w:w="1275"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Mejnik/cilj</w:t>
            </w:r>
          </w:p>
        </w:tc>
        <w:tc>
          <w:tcPr>
            <w:tcW w:w="4111"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Ime</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2 – Prenova stavb – Naložba 1: Izboljšanje energetske učinkovitosti družinskih hiš </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Število prenovljenih družinskih hiš, ki dosegajo vsaj 30-odstotni prihranek primarne energije </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2 – Prenova stavb – Naložba 2:  Prenova javnih zgodovinskih stavb in stavb s seznama </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Površina (m²) obnovljenih javnih zgodovinskih in spomenik zaščitenih stavb, ki dosegajo vsaj 30 % prihrankov primarne energije </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5 – Prilagajanje podnebnim spremembam – Naložba 1: Prilagajanje regij podnebnim spremembam s poudarkom na ohranjanju narave i</w:t>
            </w:r>
            <w:r>
              <w:rPr>
                <w:noProof/>
                <w:color w:val="000000"/>
              </w:rPr>
              <w:t>n razvoju biotske raznovrstnosti</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Sanacija vodotokov (v km obnovljenih vodotokov)</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4</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7 – Izobraževanje za 21. stoletje – Reforma 1: Izobraževalna vsebina in reforma oblike – Reforma učnih načrtov in učbenikov</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Vzpostavitev mreže regionalnih </w:t>
            </w:r>
            <w:r>
              <w:rPr>
                <w:noProof/>
                <w:color w:val="000000"/>
              </w:rPr>
              <w:t>podpornih centrov</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5</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7 – Izobraževanje za 21. stoletje – Naložba 1: Digitalna infrastruktura v šolah</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Povečanje deleža šol z osnovno ravnjo digitalne opreme</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6</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7 – Izobraževanje za 21. stoletje – Naložba 2: Dokončanje šolske infrastrukture</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Števil</w:t>
            </w:r>
            <w:r>
              <w:rPr>
                <w:noProof/>
                <w:color w:val="000000"/>
              </w:rPr>
              <w:t>o šol z lastno knjižnico kot izobraževalnim centrom ali s posodobljeno knjižnico</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7</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9 – Učinkovitejše upravljanje in krepitev financiranja na področju raziskav, razvoja in inovacij – Naložba 2: Podpora sodelovanju med podjetji, akademskimi krogi in organiz</w:t>
            </w:r>
            <w:r>
              <w:rPr>
                <w:noProof/>
                <w:color w:val="000000"/>
              </w:rPr>
              <w:t xml:space="preserve">acijami za redke bolezni </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Število podprtih skupnih projektov in bonov</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8</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9 – Učinkovitejše upravljanje in krepitev financiranja na področju raziskav, razvoja in inovacij – Naložba 4: Raziskave in inovacije za razogljičenje gospodarstva</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Število izbranih projektov, ki obravnavajo izzive zelenega prehoda </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9</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9 – Učinkovitejše upravljanje in krepitev financiranja na področju raziskav, razvoja in inovacij – Naložba 5: Raziskave in inovacije za digitalizacijo gospodarstva</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projekto</w:t>
            </w:r>
            <w:r>
              <w:rPr>
                <w:noProof/>
                <w:color w:val="000000"/>
              </w:rPr>
              <w:t>v na področju raziskav, razvoja in inovacij, izbranih v okviru razpisov za obravnavo izzivov digitalne preobrazbe.</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10</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10 – Pritegnitev in ohranjanje talentov – Naložba 3: Štipendije za domače in tuje nadarjene študente</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dodeljenih štipendij za</w:t>
            </w:r>
            <w:r>
              <w:rPr>
                <w:noProof/>
                <w:color w:val="000000"/>
              </w:rPr>
              <w:t xml:space="preserve"> nadarjene študente.</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11</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11 – Sodobno in dostopno zdravstveno varstvo – Naložba 5: Obnova voznega parka za prevoz z reševalnimi vozili</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Nakup vozil </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12</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14 – Izboljšanje poslovnega okolja – Naložba 1: Zmanjšanje regulativnega bremena za podjetja</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Zmanjšanje upravnega bremena za podjetnike</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13</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15 – Reforma pravosodja – Naložba 1: Reforma mreže sodišč – Reorganizacija sodišč – Obnova stavb</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Obnovljena površina sodnih zgradb (v m²) </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14</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15 – Reforma pravosodja – Naložba 1: Reorganizacija sodišč –</w:t>
            </w:r>
            <w:r>
              <w:rPr>
                <w:noProof/>
                <w:color w:val="000000"/>
              </w:rPr>
              <w:t xml:space="preserve"> gradnja/javno naročanje novih stavb</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Površina stavb sodišča, zgrajenih ali kupljenih (v m²) </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15</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16 – Boj proti korupciji in pranju denarja – Naložba 2: Opremljanje in digitalizacija policije – Usposabljanje in oprema</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Izvajata se usposabljanje in</w:t>
            </w:r>
            <w:r>
              <w:rPr>
                <w:noProof/>
                <w:color w:val="000000"/>
              </w:rPr>
              <w:t xml:space="preserve"> oprema, povezana z reformo policije.</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16</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16 – Boj proti korupciji in pranju denarja – Naložba 2: Opremljanje in digitalizacija policije – Obnova stavb</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Obseg prenovljene tlorisne površine policijskih stavb za zmanjšanje energetske intenzivnosti </w:t>
            </w:r>
            <w:r>
              <w:rPr>
                <w:noProof/>
                <w:color w:val="000000"/>
              </w:rPr>
              <w:t>stavb (v m²)</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17</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16 – Boj proti korupciji in pranju denarja – Naložba 2: Opremljanje in digitalizacija policije – Novi informacijski sistem za registracijo tujih rezidentov (IS ECU)</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Elektronizacija postopkov za izdajo dovoljenj za prebivanje za poen</w:t>
            </w:r>
            <w:r>
              <w:rPr>
                <w:noProof/>
                <w:color w:val="000000"/>
              </w:rPr>
              <w:t>ostavitev postopkov za javnost</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18</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16 – Boj proti korupciji in pranju denarja – Naložba 4: Krepitev upravne zmogljivosti na različnih ravneh upravljanja – Vzpostavitev skupnih storitvenih centrov</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Vzpostavitev skupnih storitvenih centrov.</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19</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17 – </w:t>
            </w:r>
            <w:r>
              <w:rPr>
                <w:noProof/>
                <w:color w:val="000000"/>
              </w:rPr>
              <w:t>Digitalna Slovaška – Naložba 1: Boljše storitve za državljane in podjetja</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Platforma za razvoj in zagotavljanje prednostnih življenjskih razmer</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20</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17 – Digitalna Slovaška – Naložba 2: Digitalna preobrazba opravljanja javnih storitev</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Digitalna p</w:t>
            </w:r>
            <w:r>
              <w:rPr>
                <w:noProof/>
                <w:color w:val="000000"/>
              </w:rPr>
              <w:t>reobrazba oddelkov za javno upravo</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21</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17 – Digitalna Slovaška – Naložba 3: Sodelovanje v čezmejnih evropskih projektih, povezanih z digitalnim gospodarstvom</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Razvoj in izgradnja superračunalnika za nacionalni superračunalniški center</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22</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17 – </w:t>
            </w:r>
            <w:r>
              <w:rPr>
                <w:noProof/>
                <w:color w:val="000000"/>
              </w:rPr>
              <w:t>Digitalna Slovaška – Naložba 3: Sodelovanje v čezmejnih evropskih projektih, povezanih z digitalnim gospodarstvom</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Sodelovanje v večdržavnih digitalnih projektih iz vnaprej določenega sklopa </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23</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17 – Digitalna Slovaška – Naložba 4: Podpora projektom, </w:t>
            </w:r>
            <w:r>
              <w:rPr>
                <w:noProof/>
                <w:color w:val="000000"/>
              </w:rPr>
              <w:t>namenjenim razvoju in uporabi vrhunskih digitalnih tehnologij</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projektov za razvoj in uporabo vrhunskih digitalnih tehnologij</w:t>
            </w:r>
          </w:p>
        </w:tc>
      </w:tr>
      <w:tr w:rsidR="009B5602">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24</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17 – Digitalna Slovaška – Naložba 6: Krepitev preventivnih ukrepov, povečanje hitrosti odkrivanja in reševanja incidentov </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zavarovanih informacijskih sistemov v okolju javne uprave</w:t>
            </w:r>
          </w:p>
        </w:tc>
      </w:tr>
      <w:tr w:rsidR="009B5602">
        <w:trPr>
          <w:trHeight w:val="31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 </w:t>
            </w:r>
          </w:p>
        </w:tc>
        <w:tc>
          <w:tcPr>
            <w:tcW w:w="3828"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 </w:t>
            </w:r>
          </w:p>
        </w:tc>
        <w:tc>
          <w:tcPr>
            <w:tcW w:w="1275"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0000"/>
              </w:rPr>
            </w:pPr>
            <w:r>
              <w:rPr>
                <w:noProof/>
                <w:color w:val="000000"/>
              </w:rPr>
              <w:t>Znesek obroka</w:t>
            </w:r>
          </w:p>
        </w:tc>
        <w:tc>
          <w:tcPr>
            <w:tcW w:w="4111"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rPr>
                <w:rFonts w:eastAsia="Times New Roman" w:cs="Calibri"/>
                <w:noProof/>
                <w:color w:val="000000"/>
              </w:rPr>
            </w:pPr>
            <w:r>
              <w:rPr>
                <w:noProof/>
                <w:color w:val="000000"/>
              </w:rPr>
              <w:t> </w:t>
            </w:r>
            <w:r>
              <w:rPr>
                <w:noProof/>
              </w:rPr>
              <w:t xml:space="preserve">792 892 000 EUR.   </w:t>
            </w:r>
          </w:p>
        </w:tc>
      </w:tr>
    </w:tbl>
    <w:p w:rsidR="009B5602" w:rsidRDefault="009B5602">
      <w:pPr>
        <w:pStyle w:val="Text1"/>
        <w:rPr>
          <w:noProof/>
        </w:rPr>
      </w:pPr>
    </w:p>
    <w:p w:rsidR="009B5602" w:rsidRDefault="00886830">
      <w:pPr>
        <w:pStyle w:val="NumPar2"/>
        <w:numPr>
          <w:ilvl w:val="1"/>
          <w:numId w:val="49"/>
        </w:numPr>
        <w:rPr>
          <w:b/>
          <w:noProof/>
        </w:rPr>
      </w:pPr>
      <w:r>
        <w:rPr>
          <w:b/>
          <w:noProof/>
        </w:rPr>
        <w:t xml:space="preserve">Osmi obrok (nepovratna podpora): </w:t>
      </w:r>
    </w:p>
    <w:p w:rsidR="009B5602" w:rsidRDefault="009B5602">
      <w:pPr>
        <w:pStyle w:val="Text1"/>
        <w:rPr>
          <w:noProof/>
        </w:rPr>
      </w:pPr>
    </w:p>
    <w:tbl>
      <w:tblPr>
        <w:tblW w:w="10490" w:type="dxa"/>
        <w:tblInd w:w="-601" w:type="dxa"/>
        <w:tblLook w:val="04A0" w:firstRow="1" w:lastRow="0" w:firstColumn="1" w:lastColumn="0" w:noHBand="0" w:noVBand="1"/>
      </w:tblPr>
      <w:tblGrid>
        <w:gridCol w:w="1276"/>
        <w:gridCol w:w="3828"/>
        <w:gridCol w:w="1275"/>
        <w:gridCol w:w="4111"/>
      </w:tblGrid>
      <w:tr w:rsidR="009B5602">
        <w:trPr>
          <w:trHeight w:val="1815"/>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Zaporedna številka</w:t>
            </w:r>
          </w:p>
        </w:tc>
        <w:tc>
          <w:tcPr>
            <w:tcW w:w="3828"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Povezani ukrep (reforma ali naložba)</w:t>
            </w:r>
          </w:p>
        </w:tc>
        <w:tc>
          <w:tcPr>
            <w:tcW w:w="1275"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Mejnik/cilj</w:t>
            </w:r>
          </w:p>
        </w:tc>
        <w:tc>
          <w:tcPr>
            <w:tcW w:w="4111"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Ime</w:t>
            </w:r>
          </w:p>
        </w:tc>
      </w:tr>
      <w:tr w:rsidR="009B5602">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3 – Trajnostni promet – Naložba 2: Spodbujanje čistega potniškega prometa</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dobavljenih čistih potniških tirnih vozil (tehtano)</w:t>
            </w:r>
          </w:p>
        </w:tc>
      </w:tr>
      <w:tr w:rsidR="009B5602">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4 – Razogljičenje industrije – Naložba 2: Zagotavljanje delovanja slovaškega okoljskega inšpektorata v povezavi z razogljičenjem </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Naložbe za povečanje zmogljivosti slovaškega inšpektorata za okolje </w:t>
            </w:r>
          </w:p>
        </w:tc>
      </w:tr>
      <w:tr w:rsidR="009B5602">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6 – Dostopnost, razvoj in kakovost vključujočeg</w:t>
            </w:r>
            <w:r>
              <w:rPr>
                <w:noProof/>
                <w:color w:val="000000"/>
              </w:rPr>
              <w:t>a izobraževanja – Reforma 4: Izvajanje orodij za preprečevanje zgodnjega opuščanja šolanja in prilagoditev študijskih programov tipa F</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Delež programov nižjega sekundarnega poklicnega izobraževanja (NSOV), optimiziran v odziv na potrebe trga dela </w:t>
            </w:r>
          </w:p>
        </w:tc>
      </w:tr>
      <w:tr w:rsidR="009B5602">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4</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6</w:t>
            </w:r>
            <w:r>
              <w:rPr>
                <w:noProof/>
                <w:color w:val="000000"/>
              </w:rPr>
              <w:t xml:space="preserve"> – Dostopnost, razvoj in kakovost vključujočega izobraževanja – Naložba 1: Odpravljanje ovir v šolskih stavbah </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Odprava arhitekturnih ovir večjih srednjih šol</w:t>
            </w:r>
          </w:p>
        </w:tc>
      </w:tr>
      <w:tr w:rsidR="009B5602">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5</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10 – Pritegnitev in ohranjanje talentov – Naložba 1: Podporna orodja in pomoč za </w:t>
            </w:r>
            <w:r>
              <w:rPr>
                <w:noProof/>
                <w:color w:val="000000"/>
              </w:rPr>
              <w:t>povratnike, visokokvalificirane delavce iz tretjih držav in njihove družinske člane ter tuje visokošolske študente, ki študirajo na Slovaškem</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Število tujcev, ki uporabljajo informacijski center IOM za migracije </w:t>
            </w:r>
          </w:p>
        </w:tc>
      </w:tr>
      <w:tr w:rsidR="009B5602">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6</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11 – Sodobno in dostopno zdravstveno</w:t>
            </w:r>
            <w:r>
              <w:rPr>
                <w:noProof/>
                <w:color w:val="000000"/>
              </w:rPr>
              <w:t xml:space="preserve"> varstvo – Reforma 3 Centralizacija upravljanja največjih bolnišnic</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bolnišnic, vključenih v centralni sistem upravljanja</w:t>
            </w:r>
          </w:p>
        </w:tc>
      </w:tr>
      <w:tr w:rsidR="009B5602">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7</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11 – Sodobno in dostopno zdravstveno varstvo – Naložba 4 Gradnja in rehabilitacija reševalnih postaj (storitve reševanj</w:t>
            </w:r>
            <w:r>
              <w:rPr>
                <w:noProof/>
                <w:color w:val="000000"/>
              </w:rPr>
              <w:t>a)</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zgrajenih ali obnovljenih reševalnih postaj</w:t>
            </w:r>
          </w:p>
        </w:tc>
      </w:tr>
      <w:tr w:rsidR="009B5602">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8</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12 – Humanitarno, sodobno in dostopno varstvo duševnega zdravja – Reforma 1: Usklajeno medresorsko sodelovanje in urejanje</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Ustanovitev dveh usklajevalnih teles za duševno zdravje</w:t>
            </w:r>
          </w:p>
        </w:tc>
      </w:tr>
      <w:tr w:rsidR="009B5602">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9</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12 –</w:t>
            </w:r>
            <w:r>
              <w:rPr>
                <w:noProof/>
                <w:color w:val="000000"/>
              </w:rPr>
              <w:t xml:space="preserve"> Humanitarno, sodobno in dostopno varstvo duševnega zdravja – Naložba 6: Vzpostavitev zbirke psihodiagnostičnih metod</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registriranih in standardiziranih psihoagnostičnih metod</w:t>
            </w:r>
          </w:p>
        </w:tc>
      </w:tr>
      <w:tr w:rsidR="009B5602">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10</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12 – Humanitarno, sodobno in dostopno varstvo duševnega zdravja </w:t>
            </w:r>
            <w:r>
              <w:rPr>
                <w:noProof/>
                <w:color w:val="000000"/>
              </w:rPr>
              <w:t>– Naložba 8: Usposabljanje osebja na področju duševnega zdravja</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Število delavcev v zdravstvenem sektorju, usposobljenih na področju duševnega zdravja </w:t>
            </w:r>
          </w:p>
        </w:tc>
      </w:tr>
      <w:tr w:rsidR="009B5602">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11</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13 – Dostopno in visokokakovostno dolgotrajno socialno-zdravstveno varstvo – Razširitev in obnov</w:t>
            </w:r>
            <w:r>
              <w:rPr>
                <w:noProof/>
                <w:color w:val="000000"/>
              </w:rPr>
              <w:t>itev zmogljivosti za oskrbo po zdravljenju in nego</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Razširitev in obnova ponudnikov zdravstvene nege na domu (kazalnik: število podprtih ponudnikov)</w:t>
            </w:r>
          </w:p>
        </w:tc>
      </w:tr>
      <w:tr w:rsidR="009B5602">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12</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13 – Dostopno in visokokakovostno dolgotrajno socialno-zdravstveno varstvo – Podaljšanje in obnovit</w:t>
            </w:r>
            <w:r>
              <w:rPr>
                <w:noProof/>
                <w:color w:val="000000"/>
              </w:rPr>
              <w:t xml:space="preserve">ev zmogljivosti za paliativno oskrbo </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Razširitev in obnova mobilnega omrežja za hospice (kazalnik: število novih in obnovljenih ponudnikov)</w:t>
            </w:r>
          </w:p>
        </w:tc>
      </w:tr>
      <w:tr w:rsidR="009B5602">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13</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14 – Izboljšanje poslovnega okolja – Reforma 1: Zmanjšanje regulativnega bremena za podjetja</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Pravilo 1 IN–2, predhodno vrednotenje za preprečevanje čezmernega prenašanja in naknadne ocene obstoječe ureditve </w:t>
            </w:r>
          </w:p>
        </w:tc>
      </w:tr>
      <w:tr w:rsidR="009B5602">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14</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15 – Reforma pravosodja – Naložba 2: Podporni instrumenti za reformo mreže sodišč – Poslovni register in centralizirani sistem upravljanj</w:t>
            </w:r>
            <w:r>
              <w:rPr>
                <w:noProof/>
                <w:color w:val="000000"/>
              </w:rPr>
              <w:t>a sodstva</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Razvoj in predaja IS – Centralizirani sistem za upravljanje pravosodja</w:t>
            </w:r>
          </w:p>
        </w:tc>
      </w:tr>
      <w:tr w:rsidR="009B5602">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15</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17 – Digitalna Slovaška – Naložba 1: Boljše storitve za državljane in podjetja</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razvitih in uvedenih rešitev e–uprave</w:t>
            </w:r>
          </w:p>
        </w:tc>
      </w:tr>
      <w:tr w:rsidR="009B5602">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16</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17 – Digitalna Slovaška – </w:t>
            </w:r>
            <w:r>
              <w:rPr>
                <w:noProof/>
                <w:color w:val="000000"/>
              </w:rPr>
              <w:t>Naložba 6: Krepitev preventivnih ukrepov, povečanje hitrosti odkrivanja in reševanja incidentov</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Varnostne revizije aplikacij v okolju javne uprave </w:t>
            </w:r>
          </w:p>
        </w:tc>
      </w:tr>
      <w:tr w:rsidR="009B5602">
        <w:trPr>
          <w:trHeight w:val="31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 </w:t>
            </w:r>
          </w:p>
        </w:tc>
        <w:tc>
          <w:tcPr>
            <w:tcW w:w="3828"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 </w:t>
            </w:r>
          </w:p>
        </w:tc>
        <w:tc>
          <w:tcPr>
            <w:tcW w:w="1275"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0000"/>
              </w:rPr>
            </w:pPr>
            <w:r>
              <w:rPr>
                <w:noProof/>
                <w:color w:val="000000"/>
              </w:rPr>
              <w:t>Znesek obroka</w:t>
            </w:r>
          </w:p>
        </w:tc>
        <w:tc>
          <w:tcPr>
            <w:tcW w:w="4111"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rPr>
                <w:rFonts w:eastAsia="Times New Roman" w:cs="Calibri"/>
                <w:noProof/>
                <w:color w:val="000000"/>
              </w:rPr>
            </w:pPr>
            <w:r>
              <w:rPr>
                <w:noProof/>
                <w:color w:val="000000"/>
              </w:rPr>
              <w:t xml:space="preserve"> 400 083 000 EUR.   </w:t>
            </w:r>
          </w:p>
        </w:tc>
      </w:tr>
    </w:tbl>
    <w:p w:rsidR="009B5602" w:rsidRDefault="009B5602">
      <w:pPr>
        <w:pStyle w:val="Text1"/>
        <w:rPr>
          <w:noProof/>
        </w:rPr>
      </w:pPr>
    </w:p>
    <w:p w:rsidR="009B5602" w:rsidRDefault="009B5602">
      <w:pPr>
        <w:pStyle w:val="Text1"/>
        <w:ind w:left="0"/>
        <w:rPr>
          <w:noProof/>
        </w:rPr>
      </w:pPr>
    </w:p>
    <w:p w:rsidR="009B5602" w:rsidRDefault="00886830">
      <w:pPr>
        <w:pStyle w:val="NumPar2"/>
        <w:numPr>
          <w:ilvl w:val="1"/>
          <w:numId w:val="49"/>
        </w:numPr>
        <w:rPr>
          <w:b/>
          <w:noProof/>
        </w:rPr>
      </w:pPr>
      <w:r>
        <w:rPr>
          <w:b/>
          <w:noProof/>
        </w:rPr>
        <w:t xml:space="preserve">Deveti obrok (nepovratna podpora): </w:t>
      </w:r>
    </w:p>
    <w:p w:rsidR="009B5602" w:rsidRDefault="009B5602">
      <w:pPr>
        <w:pStyle w:val="Text1"/>
        <w:rPr>
          <w:noProof/>
        </w:rPr>
      </w:pPr>
    </w:p>
    <w:tbl>
      <w:tblPr>
        <w:tblW w:w="10490" w:type="dxa"/>
        <w:tblInd w:w="-601" w:type="dxa"/>
        <w:tblLook w:val="04A0" w:firstRow="1" w:lastRow="0" w:firstColumn="1" w:lastColumn="0" w:noHBand="0" w:noVBand="1"/>
      </w:tblPr>
      <w:tblGrid>
        <w:gridCol w:w="1276"/>
        <w:gridCol w:w="3828"/>
        <w:gridCol w:w="1275"/>
        <w:gridCol w:w="4111"/>
      </w:tblGrid>
      <w:tr w:rsidR="009B5602">
        <w:trPr>
          <w:trHeight w:val="915"/>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Zaporedna številka</w:t>
            </w:r>
          </w:p>
        </w:tc>
        <w:tc>
          <w:tcPr>
            <w:tcW w:w="3828"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Povezani ukrep (reforma ali naložba)</w:t>
            </w:r>
          </w:p>
        </w:tc>
        <w:tc>
          <w:tcPr>
            <w:tcW w:w="1275"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Mejnik/cilj</w:t>
            </w:r>
          </w:p>
        </w:tc>
        <w:tc>
          <w:tcPr>
            <w:tcW w:w="4111"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Ime</w:t>
            </w:r>
          </w:p>
        </w:tc>
      </w:tr>
      <w:tr w:rsidR="009B5602">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5 – Prilagajanje podnebnim spremembam – Naložba 1: Prilagajanje regij podnebnim spremembam s poudarkom na ohranjanju narave in razvoju biotske raznovrstnosti</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Nepremičninska poravnava z zasebnimi </w:t>
            </w:r>
            <w:r>
              <w:rPr>
                <w:noProof/>
                <w:color w:val="000000"/>
              </w:rPr>
              <w:t>lastniki zemljišč (na zemljišču, naseljenem v ha)</w:t>
            </w:r>
          </w:p>
        </w:tc>
      </w:tr>
      <w:tr w:rsidR="009B5602">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6 – Dostopnost, razvoj in kakovost vključujočega izobraževanja – Reforma 5: Podpiranje odprave segregacije v šolah</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Začetek veljavnosti zakonodajne opredelitve segregacije v šolah</w:t>
            </w:r>
          </w:p>
        </w:tc>
      </w:tr>
      <w:tr w:rsidR="009B5602">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6 – </w:t>
            </w:r>
            <w:r>
              <w:rPr>
                <w:noProof/>
                <w:color w:val="000000"/>
              </w:rPr>
              <w:t>Dostopnost, razvoj in kakovost vključujočega izobraževanja – Reforma 1: Zagotavljanje pogojev za izvajanje obveznega predšolskega izobraževanja za otroke od petega leta starosti dalje in uvedba zakonske pravice do mesta v vrtcu ali drugih izvajalcih predšo</w:t>
            </w:r>
            <w:r>
              <w:rPr>
                <w:noProof/>
                <w:color w:val="000000"/>
              </w:rPr>
              <w:t>lskega izobraževanja od tretjega leta starosti dalje</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novozgrajenih zmogljivosti</w:t>
            </w:r>
          </w:p>
        </w:tc>
      </w:tr>
      <w:tr w:rsidR="009B5602">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4</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6 – Dostopnost, razvoj in kakovost vključujočega izobraževanja – Reforma 2: Opredelitev koncepta posebnih izobraževalnih potreb otrok in učencev ter razvoj mode</w:t>
            </w:r>
            <w:r>
              <w:rPr>
                <w:noProof/>
                <w:color w:val="000000"/>
              </w:rPr>
              <w:t>la upravičenih podpornih ukrepov na področju izobraževanja in izobraževanja, vključno z njihovim sistemom financiranja</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usposobljenih učiteljev in specializiranega osebja</w:t>
            </w:r>
          </w:p>
        </w:tc>
      </w:tr>
      <w:tr w:rsidR="009B5602">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5</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6 – Dostopnost, razvoj in kakovost vključujočega izobraževanja – </w:t>
            </w:r>
            <w:r>
              <w:rPr>
                <w:noProof/>
                <w:color w:val="000000"/>
              </w:rPr>
              <w:t>Reforma 5: Podpiranje odprave segregacije v šolah</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rPr>
                <w:rFonts w:eastAsia="Times New Roman" w:cs="Calibri"/>
                <w:noProof/>
                <w:color w:val="000000"/>
              </w:rPr>
            </w:pPr>
            <w:r>
              <w:rPr>
                <w:noProof/>
                <w:color w:val="000000"/>
              </w:rPr>
              <w:t>Odstotek šol, ki uporabljajo standarde za odpravo segregacije, ki izhajajo iz sprejete metodologije</w:t>
            </w:r>
          </w:p>
        </w:tc>
      </w:tr>
      <w:tr w:rsidR="009B5602">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6</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7 – Izobraževanje za 21. stoletje – Reforma 1: Izobraževalna vsebina in reforma oblike – Reforma u</w:t>
            </w:r>
            <w:r>
              <w:rPr>
                <w:noProof/>
                <w:color w:val="000000"/>
              </w:rPr>
              <w:t>čnih načrtov in učbenikov</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Osnovne šole, ki izvajajo nov učni načrt (v odstotkih) </w:t>
            </w:r>
          </w:p>
        </w:tc>
      </w:tr>
      <w:tr w:rsidR="009B5602">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7</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7 – Izobraževanje za 21. stoletje – Reforma 1: Izobraževalna vsebina in reforma oblike – Reforma učnih načrtov in učbenikov</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Uvedba spletnega matura (končni izpit</w:t>
            </w:r>
            <w:r>
              <w:rPr>
                <w:noProof/>
                <w:color w:val="000000"/>
              </w:rPr>
              <w:t xml:space="preserve"> za diplomante višjega sekundarnega izobraževanja)</w:t>
            </w:r>
          </w:p>
        </w:tc>
      </w:tr>
      <w:tr w:rsidR="009B5602">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8</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10 – Pritegnitev in ohranjanje talentov – Naložba 4: Spodbujanje internacionalizacije v akademskem okolju</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podprtih projektov za spodbujanje ali razvoj internacionalizacije univerz in razisk</w:t>
            </w:r>
            <w:r>
              <w:rPr>
                <w:noProof/>
                <w:color w:val="000000"/>
              </w:rPr>
              <w:t>ovalnih ustanov</w:t>
            </w:r>
          </w:p>
        </w:tc>
      </w:tr>
      <w:tr w:rsidR="009B5602">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9</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11 – Sodobno in dostopno zdravstveno varstvo – Reforma 1 Optimizacija bolnišnične mreže (ZN)</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Delež obnovljenih bolnišnic (pooblaščenih v okviru splošnih in specializiranih bolnišnic) v okviru nove bolnišnične mreže</w:t>
            </w:r>
          </w:p>
        </w:tc>
      </w:tr>
      <w:tr w:rsidR="009B5602">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10</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11 – Sodobno in dostopno zdravstveno varstvo – Naložba 1 Podpora odprtju novega osnovnega zdravstvenega varstva </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Število ambulant primarnega zdravstvenega varstva, podprtih s pilotnim programom </w:t>
            </w:r>
          </w:p>
        </w:tc>
      </w:tr>
      <w:tr w:rsidR="009B5602">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11</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11 – Sodobno in dostopno zdravstveno varstvo – Nalož</w:t>
            </w:r>
            <w:r>
              <w:rPr>
                <w:noProof/>
                <w:color w:val="000000"/>
              </w:rPr>
              <w:t>ba 2 Novo bolnišnično omrežje – Gradnja, rekonstrukcija in oprema</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Postelje, ki so na voljo v nadgrajenih bolnišnicah </w:t>
            </w:r>
          </w:p>
        </w:tc>
      </w:tr>
      <w:tr w:rsidR="009B5602">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12</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11 – Sodobno in dostopno zdravstveno varstvo – Naložba 3 Digitalizacija v zdravstvu</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Število bolnišnic, povezanih s centralnim sistemom ERP </w:t>
            </w:r>
          </w:p>
        </w:tc>
      </w:tr>
      <w:tr w:rsidR="009B5602">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13</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12 – Humanitarno, sodobno in dostopno varstvo duševnega zdravja – Naložba 2: Vzpostavitev centrov za pridržanje</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Zmogljivost centrov za pridržanje pacientov</w:t>
            </w:r>
          </w:p>
        </w:tc>
      </w:tr>
      <w:tr w:rsidR="009B5602">
        <w:trPr>
          <w:trHeight w:val="8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14</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12 – Humanitarno, sodobno in dostopno varstvo duševnega zdravja – Naložba 3: Izgradnjo psihosocialnih centrov; Naložba 4: Dokončanje mreže vmesnih psihiatričnih objektov; Naložba 5: Ustanovitev specializiranih centrov za motnje avtističnega spektra </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w:t>
            </w:r>
            <w:r>
              <w:rPr>
                <w:noProof/>
                <w:color w:val="000000"/>
              </w:rPr>
              <w:t>tevilo ustanovljenih centrov za duševno zdravje v skupnosti</w:t>
            </w:r>
          </w:p>
        </w:tc>
      </w:tr>
      <w:tr w:rsidR="009B5602">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15</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12 – Humanitarno, sodobno in dostopno varstvo duševnega zdravja – Naložba 7: Humanizacija institucionalnega psihiatričnega varstva</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Zmogljivost pacientov v pretvorjenih prostorih v </w:t>
            </w:r>
            <w:r>
              <w:rPr>
                <w:noProof/>
                <w:color w:val="000000"/>
              </w:rPr>
              <w:t>ustanovah za psihiatrično nego.</w:t>
            </w:r>
          </w:p>
        </w:tc>
      </w:tr>
      <w:tr w:rsidR="009B5602">
        <w:trPr>
          <w:trHeight w:val="1271"/>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16</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13 – Dostopno in visokokakovostno dolgotrajno socialno-zdravstveno varstvo – Podaljšanje in obnovitev zmogljivosti za paliativno oskrbo</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Razširitev in obnova zmogljivosti za paliativno oskrbo na domu (kazalnik: </w:t>
            </w:r>
            <w:r>
              <w:rPr>
                <w:noProof/>
                <w:color w:val="000000"/>
              </w:rPr>
              <w:t>število ustvarjenih in obnovljenih ležišč)</w:t>
            </w:r>
          </w:p>
        </w:tc>
      </w:tr>
      <w:tr w:rsidR="009B5602">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17</w:t>
            </w:r>
          </w:p>
        </w:tc>
        <w:tc>
          <w:tcPr>
            <w:tcW w:w="3828"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13 – Dostopno in visokokakovostno dolgotrajno socialno-zdravstveno varstvo – Reforma vključevanja in financiranja dolgotrajnega socialnega in zdravstvenega varstva</w:t>
            </w:r>
          </w:p>
        </w:tc>
        <w:tc>
          <w:tcPr>
            <w:tcW w:w="1275"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11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Nov sistem financiranja socialnih </w:t>
            </w:r>
            <w:r>
              <w:rPr>
                <w:noProof/>
                <w:color w:val="000000"/>
              </w:rPr>
              <w:t>storitev – uvedba osebnega proračuna</w:t>
            </w:r>
          </w:p>
        </w:tc>
      </w:tr>
      <w:tr w:rsidR="009B5602">
        <w:trPr>
          <w:trHeight w:val="31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 </w:t>
            </w:r>
          </w:p>
        </w:tc>
        <w:tc>
          <w:tcPr>
            <w:tcW w:w="3828"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0000"/>
              </w:rPr>
            </w:pPr>
            <w:r>
              <w:rPr>
                <w:noProof/>
                <w:color w:val="000000"/>
              </w:rPr>
              <w:t> </w:t>
            </w:r>
          </w:p>
        </w:tc>
        <w:tc>
          <w:tcPr>
            <w:tcW w:w="1275"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0000"/>
              </w:rPr>
            </w:pPr>
            <w:r>
              <w:rPr>
                <w:noProof/>
                <w:color w:val="000000"/>
              </w:rPr>
              <w:t>Znesek obroka</w:t>
            </w:r>
          </w:p>
        </w:tc>
        <w:tc>
          <w:tcPr>
            <w:tcW w:w="4111"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rPr>
                <w:rFonts w:eastAsia="Times New Roman" w:cs="Calibri"/>
                <w:noProof/>
                <w:color w:val="000000"/>
              </w:rPr>
            </w:pPr>
            <w:r>
              <w:rPr>
                <w:noProof/>
                <w:color w:val="000000"/>
              </w:rPr>
              <w:t xml:space="preserve"> 203 679 000 EUR.   </w:t>
            </w:r>
          </w:p>
        </w:tc>
      </w:tr>
    </w:tbl>
    <w:p w:rsidR="009B5602" w:rsidRDefault="009B5602">
      <w:pPr>
        <w:pStyle w:val="Text1"/>
        <w:ind w:left="0"/>
        <w:rPr>
          <w:noProof/>
        </w:rPr>
      </w:pPr>
    </w:p>
    <w:p w:rsidR="009B5602" w:rsidRDefault="00886830">
      <w:pPr>
        <w:pStyle w:val="NumPar2"/>
        <w:numPr>
          <w:ilvl w:val="1"/>
          <w:numId w:val="49"/>
        </w:numPr>
        <w:rPr>
          <w:b/>
          <w:noProof/>
        </w:rPr>
      </w:pPr>
      <w:r>
        <w:rPr>
          <w:b/>
          <w:noProof/>
        </w:rPr>
        <w:t xml:space="preserve">Deseti obrok (nepovratna podpora): </w:t>
      </w:r>
    </w:p>
    <w:p w:rsidR="009B5602" w:rsidRDefault="009B5602">
      <w:pPr>
        <w:pStyle w:val="NumPar2"/>
        <w:numPr>
          <w:ilvl w:val="0"/>
          <w:numId w:val="0"/>
        </w:numPr>
        <w:rPr>
          <w:noProof/>
          <w:lang w:val="fr-BE"/>
        </w:rPr>
      </w:pPr>
    </w:p>
    <w:tbl>
      <w:tblPr>
        <w:tblW w:w="10490" w:type="dxa"/>
        <w:tblInd w:w="-601" w:type="dxa"/>
        <w:tblLook w:val="04A0" w:firstRow="1" w:lastRow="0" w:firstColumn="1" w:lastColumn="0" w:noHBand="0" w:noVBand="1"/>
      </w:tblPr>
      <w:tblGrid>
        <w:gridCol w:w="1339"/>
        <w:gridCol w:w="3831"/>
        <w:gridCol w:w="1241"/>
        <w:gridCol w:w="4079"/>
      </w:tblGrid>
      <w:tr w:rsidR="009B5602">
        <w:trPr>
          <w:trHeight w:val="1380"/>
        </w:trPr>
        <w:tc>
          <w:tcPr>
            <w:tcW w:w="1339"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Zaporedna številka</w:t>
            </w:r>
          </w:p>
        </w:tc>
        <w:tc>
          <w:tcPr>
            <w:tcW w:w="3831"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Povezani ukrep (reforma ali naložba)</w:t>
            </w:r>
          </w:p>
        </w:tc>
        <w:tc>
          <w:tcPr>
            <w:tcW w:w="1241"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Mejnik/cilj</w:t>
            </w:r>
          </w:p>
        </w:tc>
        <w:tc>
          <w:tcPr>
            <w:tcW w:w="4079" w:type="dxa"/>
            <w:tcBorders>
              <w:top w:val="single" w:sz="8" w:space="0" w:color="auto"/>
              <w:left w:val="nil"/>
              <w:bottom w:val="single" w:sz="8" w:space="0" w:color="auto"/>
              <w:right w:val="single" w:sz="8" w:space="0" w:color="auto"/>
            </w:tcBorders>
            <w:shd w:val="clear" w:color="000000" w:fill="BDD7EE"/>
            <w:vAlign w:val="center"/>
            <w:hideMark/>
          </w:tcPr>
          <w:p w:rsidR="009B5602" w:rsidRDefault="00886830">
            <w:pPr>
              <w:spacing w:after="0" w:line="240" w:lineRule="auto"/>
              <w:jc w:val="center"/>
              <w:rPr>
                <w:rFonts w:eastAsia="Times New Roman" w:cs="Calibri"/>
                <w:b/>
                <w:bCs/>
                <w:noProof/>
                <w:color w:val="000000"/>
              </w:rPr>
            </w:pPr>
            <w:r>
              <w:rPr>
                <w:b/>
                <w:bCs/>
                <w:noProof/>
                <w:color w:val="000000"/>
              </w:rPr>
              <w:t>Ime</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 – Obnovljivi viri energije in energetska infrastruktura – </w:t>
            </w:r>
            <w:r>
              <w:rPr>
                <w:noProof/>
                <w:color w:val="000000"/>
              </w:rPr>
              <w:t>Naložba 1:  Izgradnja novih obnovljivih virov električne energije</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Zmogljivost novih obnovljivih virov energije  </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 – Obnovljivi viri energije in energetska infrastruktura – Naložba 2: Posodobitev obstoječih obnovljivih virov električne energije </w:t>
            </w:r>
            <w:r>
              <w:rPr>
                <w:noProof/>
                <w:color w:val="000000"/>
              </w:rPr>
              <w:t>(repowering)</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Obnovljena zmogljivost obnovljivih virov energije</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 – Obnovljivi viri energije in energetska infrastruktura – Naložba 3: Povečanje prožnosti elektroenergetskih sistemov za večje vključevanje obnovljivih virov energije </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Skupno pove</w:t>
            </w:r>
            <w:r>
              <w:rPr>
                <w:noProof/>
                <w:color w:val="000000"/>
              </w:rPr>
              <w:t xml:space="preserve">čanje zmogljivosti naprav za povečanje prožnosti energetskih sistemov </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4</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2 – Prenova stavb – Naložba 1: Izboljšanje energetske učinkovitosti družinskih hiš </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Število prenovljenih družinskih hiš, ki dosegajo vsaj 30-odstotni prihranek primarne energije </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5</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2 – Prenova stavb – Naložba 2:  Prenova javnih zgodovinskih stavb in stavb s seznama </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Površina (m²) obnovljenih javnih zgodovinskih in spomenik zaščiteni</w:t>
            </w:r>
            <w:r>
              <w:rPr>
                <w:noProof/>
                <w:color w:val="000000"/>
              </w:rPr>
              <w:t>h stavb</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6</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3 – Trajnostni promet – Reforma 2: Reforma javnega potniškega prometa</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okrožij, v katerih je vzpostavljena tarifna integracija, ki omogoča potovanje z več načini javnega prevoza ali prevozniki na vozovnico</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7</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3 – Trajnostni promet – </w:t>
            </w:r>
            <w:r>
              <w:rPr>
                <w:noProof/>
                <w:color w:val="000000"/>
              </w:rPr>
              <w:t>Naložba 1: Razvoj nizkoogljične prometne infrastrukture</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Dolžina nove kolesarske infrastrukture (km)</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8</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3 – Trajnostni promet – Naložba 1: Razvoj nizkoogljične prometne infrastrukture</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Dolžina čiste železniške infrastrukture za potniški promet, </w:t>
            </w:r>
            <w:r>
              <w:rPr>
                <w:noProof/>
                <w:color w:val="000000"/>
              </w:rPr>
              <w:t>obnovljene ali nadgrajene (v km utežena)</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9</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3 – Trajnostni promet – Naložba 1: Razvoj nizkoogljične prometne infrastrukture</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Dolžina odpremljenih odsekov železniških prog (km)</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10</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3 – Trajnostni promet – Naložba 3: Razvoj intermodalnega tovornega </w:t>
            </w:r>
            <w:r>
              <w:rPr>
                <w:noProof/>
                <w:color w:val="000000"/>
              </w:rPr>
              <w:t>prometa</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Število intermodalnih prevoznih enot, nabavljenih v ekvivalentu dvajset čevljev  </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11</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3 – Trajnostni promet – Naložba 4: Podpora razvoju infrastrukture za vozila na alternativna goriva </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delujočih polnilnih postaj ali črpalnih pos</w:t>
            </w:r>
            <w:r>
              <w:rPr>
                <w:noProof/>
                <w:color w:val="000000"/>
              </w:rPr>
              <w:t>taj za vodik.</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12</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4 – Razogljičenje industrije – Naložba 1:  Delovanje industrijskega sistema za razogljičenje</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 Zaključek izvajanja projektov razogljičenja industrije, ki se sofinancirajo iz sklada RRF</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13</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5 – Prilagajanje podnebnim spremembam – </w:t>
            </w:r>
            <w:r>
              <w:rPr>
                <w:noProof/>
                <w:color w:val="000000"/>
              </w:rPr>
              <w:t>Naložba 1: Prilagajanje regij podnebnim spremembam s poudarkom na ohranjanju narave in razvoju biotske raznovrstnosti</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Sanacija vodotokov (v km obnovljenih vodotokov)</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14</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7 – Izobraževanje za 21. stoletje – Naložba 2: Zaključek šolske infrastrukture</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w:t>
            </w:r>
            <w:r>
              <w:rPr>
                <w:noProof/>
                <w:color w:val="000000"/>
              </w:rPr>
              <w:t>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Odprava šol z dvojno izmeno </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15</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8 – Povečanje uspešnosti slovaških visokošolskih ustanov – Reforma 5: Koncentracija odličnih izobraževalnih in raziskovalnih zmogljivosti</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Zaključek postopka združitve raziskovalnih enot </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16</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8 – povečanje </w:t>
            </w:r>
            <w:r>
              <w:rPr>
                <w:noProof/>
                <w:color w:val="000000"/>
              </w:rPr>
              <w:t>uspešnosti slovaških visokošolskih ustanov – Naložbe1: podpora strateškemu razvoju univerz</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obnovljeno univerzitetno območje in kraj bivanja s prihranki primarne energije za več kot 30 % (v m²)</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17</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9 – Učinkovitejše upravljanje in krepitev financiranja</w:t>
            </w:r>
            <w:r>
              <w:rPr>
                <w:noProof/>
                <w:color w:val="000000"/>
              </w:rPr>
              <w:t xml:space="preserve"> na področju raziskav, razvoja in inovacij – Naložba 3: Odlična znanost</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Število podprtih odličnih raziskovalcev </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18</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9 – Učinkovitejše upravljanje in krepitev financiranja na področju raziskav, razvoja in inovacij – Naložba 1: Spodbujanje mednarodnega</w:t>
            </w:r>
            <w:r>
              <w:rPr>
                <w:noProof/>
                <w:color w:val="000000"/>
              </w:rPr>
              <w:t xml:space="preserve"> sodelovanja in udeležbe v projektih programa Obzorje Evropa in EIT</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Finančna podpora za vloge in sodelujoče projekte v programih Obzorje Evropa v okviru razpisov, financiranih iz sklada za okrevanje.</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19</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9 – Učinkovitejše upravljanje in krepitev </w:t>
            </w:r>
            <w:r>
              <w:rPr>
                <w:noProof/>
                <w:color w:val="000000"/>
              </w:rPr>
              <w:t>financiranja na področju raziskav, razvoja in inovacij – Naložba 2: Podpora sodelovanju med podjetji, akademskimi krogi in organizacijami za redke bolezni</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podprtih skupnih projektov in bonov</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20</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9 – Učinkovitejše upravljanje in krepitev financ</w:t>
            </w:r>
            <w:r>
              <w:rPr>
                <w:noProof/>
                <w:color w:val="000000"/>
              </w:rPr>
              <w:t>iranja na področju raziskav, razvoja in inovacij – Naložba 4: Raziskave in inovacije za razogljičenje gospodarstva</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zaključenih projektov, ki obravnavajo izzive zelenega prehoda</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21</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9 – Učinkovitejše upravljanje in krepitev financiranja na podr</w:t>
            </w:r>
            <w:r>
              <w:rPr>
                <w:noProof/>
                <w:color w:val="000000"/>
              </w:rPr>
              <w:t>očju raziskav, razvoja in inovacij – Naložba 5: Raziskave in inovacije za digitalizacijo gospodarstva</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zaključenih projektov na področju raziskav, razvoja in inovacij, ki obravnavajo izzive digitalne preobrazbe</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22</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9 – Učinkovitejše upravljanje</w:t>
            </w:r>
            <w:r>
              <w:rPr>
                <w:noProof/>
                <w:color w:val="000000"/>
              </w:rPr>
              <w:t xml:space="preserve"> in krepitev financiranja na področju raziskav, razvoja in inovacij – Naložba 6: Finančni instrumenti za podporo inovacijam</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Število podjetij, podprtih s finančnimi instrumenti </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23</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10 – Pritegnitev in ohranjanje talentov – Naložba 2: Krepitev odnosov </w:t>
            </w:r>
            <w:r>
              <w:rPr>
                <w:noProof/>
                <w:color w:val="000000"/>
              </w:rPr>
              <w:t>z diasporo, podpora državljanskim pobudam</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podprtih dogodkov za krepitev odnosov z diasporo</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24</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10 – Pritegnitev in ohranjanje talentov – Naložba 4: Spodbujanje internacionalizacije v akademskem okolju</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Meseci podprtih štipendijskih programov za tujo mobilnost </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25</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13 – Dostopno in visokokakovostno dolgotrajno socialno-zdravstveno varstvo – Naložba 1: Krepitev zmogljivosti socialnega varstva v skupnosti </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Povečanje zmogljivosti stanovanjskih storitev </w:t>
            </w:r>
            <w:r>
              <w:rPr>
                <w:noProof/>
                <w:color w:val="000000"/>
              </w:rPr>
              <w:t>v skupnosti in zdravstvenih in socialnih zmogljivosti z nizko zmogljivostjo (kazalnik: najmanjše število ustvarjenih mest)</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26</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13 – Dostopno in visokokakovostno dolgotrajno socialno-zdravstveno varstvo – Naložba 1: Krepitev zmogljivosti socialnega varstva </w:t>
            </w:r>
            <w:r>
              <w:rPr>
                <w:noProof/>
                <w:color w:val="000000"/>
              </w:rPr>
              <w:t xml:space="preserve">v skupnosti </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Povečanje zmogljivosti ambulantnih storitev (kazalnik: najmanjše število ustvarjenih mest)</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27</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13 – Dostopno in visokokakovostno dolgotrajno socialno-zdravstveno varstvo – Naložba 2: Razširitev in obnovitev zmogljivosti za oskrbo po </w:t>
            </w:r>
            <w:r>
              <w:rPr>
                <w:noProof/>
                <w:color w:val="000000"/>
              </w:rPr>
              <w:t>zdravljenju in nego</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Ustvarjanje postelj po oskrbi z rekonstrukcijo obstoječih akutnih in kroničnih postelj (kazalnik: najmanjše število obnovljenih postelj za oskrbo po zaprtju)</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28</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15 – Reforma pravosodja – Naložba 2: Digitalizacija in analitične zmo</w:t>
            </w:r>
            <w:r>
              <w:rPr>
                <w:noProof/>
                <w:color w:val="000000"/>
              </w:rPr>
              <w:t>gljivosti</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Posodobitev računalniške opreme sodišča za sodno osebje </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29</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15 – Reforma pravosodja – Naložba 2: Digitalizacija in analitične zmogljivosti</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Vzpostavitev analitične podporne platforme za dostop do sodne prakse na sodiščih</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30</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16 – Boj </w:t>
            </w:r>
            <w:r>
              <w:rPr>
                <w:noProof/>
                <w:color w:val="000000"/>
              </w:rPr>
              <w:t>proti korupciji in pranju denarja – Naložba 2: Opremljanje in digitalizacija policije – Avtomatiziran sistem za odkrivanje cestnoprometnih prekrškov</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Avtomatizacija sistema za odkrivanje prometnih prekrškov v polnem obratovanju</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31</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16 – Boj proti kor</w:t>
            </w:r>
            <w:r>
              <w:rPr>
                <w:noProof/>
                <w:color w:val="000000"/>
              </w:rPr>
              <w:t>upciji in pranju denarja – Naložba 3: Posodobitev požarnega in reševalnega sistema – vzpostavitev mreže integriranih varnostnih centrov</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Izgradnja in operacionalizacija integriranih varnostnih centrov</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32</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16 – Boj proti korupciji in pranju denarja – Na</w:t>
            </w:r>
            <w:r>
              <w:rPr>
                <w:noProof/>
                <w:color w:val="000000"/>
              </w:rPr>
              <w:t>ložba 3: Posodobitev požarnega in reševalnega sistema – prenova gasilskih postaj</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Posodobitev gasilskih postaj</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33</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16 – Boj proti korupciji in pranju denarja – Naložba 4: Krepitev upravne zmogljivosti na različnih ravneh upravljanja – vzpostavitev </w:t>
            </w:r>
            <w:r>
              <w:rPr>
                <w:noProof/>
                <w:color w:val="000000"/>
              </w:rPr>
              <w:t>platforme za specializirano usposabljanje</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Avtomatizirano specialistično usposabljanje za vse nove zaposlene za prvi stik</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34</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17 – Digitalna Slovaška – Naložba 1: Boljše storitve za državljane in podjetja</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Število razvitih in uvedenih rešitev </w:t>
            </w:r>
            <w:r>
              <w:rPr>
                <w:noProof/>
                <w:color w:val="000000"/>
              </w:rPr>
              <w:t>e–uprave</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35</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17 – Digitalna Slovaška – Naložba 2: Digitalna preobrazba opravljanja javnih storitev</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Digitalna preobrazba oddelkov za javno upravo </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36</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17 – Digitalna Slovaška – Naložba 4: Podpora projektom, namenjenim razvoju in uporabi vrhunskih </w:t>
            </w:r>
            <w:r>
              <w:rPr>
                <w:noProof/>
                <w:color w:val="000000"/>
              </w:rPr>
              <w:t>digitalnih tehnologij</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projektov za razvoj in uporabo vrhunskih digitalnih tehnologij</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37</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17 – Digitalna Slovaška – Naložba 5: Hitra nepovratna sredstva – hekatoni</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organiziranih hitrih dogodkov v zvezi z nepovratnimi sredstvi – hek</w:t>
            </w:r>
            <w:r>
              <w:rPr>
                <w:noProof/>
                <w:color w:val="000000"/>
              </w:rPr>
              <w:t>atoni</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38</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17 – Digitalna Slovaška – Reforma 5: Izboljšanje usposabljanja, znanj in spretnosti na področju kibernetske varnosti</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Število zaposlenih na področju informacijske tehnologije v javni upravi, usposobljenih za kibernetsko varnost </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39</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 xml:space="preserve">17 – </w:t>
            </w:r>
            <w:r>
              <w:rPr>
                <w:noProof/>
                <w:color w:val="000000"/>
              </w:rPr>
              <w:t>Digitalna Slovaška – Naložba 7: Izboljšanje digitalnih znanj in spretnosti starejših ter zagotavljanje tablic za starejše</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cilj</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Število starejših in prikrajšanih oseb, usposobljenih za osnovne digitalne spretnosti</w:t>
            </w:r>
          </w:p>
        </w:tc>
      </w:tr>
      <w:tr w:rsidR="009B5602">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40</w:t>
            </w:r>
          </w:p>
        </w:tc>
        <w:tc>
          <w:tcPr>
            <w:tcW w:w="383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18 – Zdrave, vzdržne in konkurenčne jav</w:t>
            </w:r>
            <w:r>
              <w:rPr>
                <w:noProof/>
                <w:color w:val="000000"/>
              </w:rPr>
              <w:t>ne finance – Reforma 3: Reforma upravljanja javnih naložb</w:t>
            </w:r>
          </w:p>
        </w:tc>
        <w:tc>
          <w:tcPr>
            <w:tcW w:w="1241"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mejnik</w:t>
            </w:r>
          </w:p>
        </w:tc>
        <w:tc>
          <w:tcPr>
            <w:tcW w:w="4079" w:type="dxa"/>
            <w:tcBorders>
              <w:top w:val="nil"/>
              <w:left w:val="nil"/>
              <w:bottom w:val="single" w:sz="8" w:space="0" w:color="auto"/>
              <w:right w:val="single" w:sz="8" w:space="0" w:color="auto"/>
            </w:tcBorders>
            <w:shd w:val="clear" w:color="000000" w:fill="C6EFCE"/>
            <w:vAlign w:val="center"/>
            <w:hideMark/>
          </w:tcPr>
          <w:p w:rsidR="009B5602" w:rsidRDefault="00886830">
            <w:pPr>
              <w:spacing w:after="0" w:line="240" w:lineRule="auto"/>
              <w:jc w:val="center"/>
              <w:rPr>
                <w:rFonts w:eastAsia="Times New Roman" w:cs="Calibri"/>
                <w:noProof/>
                <w:color w:val="000000"/>
              </w:rPr>
            </w:pPr>
            <w:r>
              <w:rPr>
                <w:noProof/>
                <w:color w:val="000000"/>
              </w:rPr>
              <w:t>uporaba metodologije za postopke za pripravo in prednostno razvrščanje naložb</w:t>
            </w:r>
          </w:p>
        </w:tc>
      </w:tr>
      <w:tr w:rsidR="009B5602">
        <w:trPr>
          <w:trHeight w:val="31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 </w:t>
            </w:r>
          </w:p>
        </w:tc>
        <w:tc>
          <w:tcPr>
            <w:tcW w:w="3831"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6100"/>
              </w:rPr>
            </w:pPr>
            <w:r>
              <w:rPr>
                <w:noProof/>
                <w:color w:val="006100"/>
              </w:rPr>
              <w:t> </w:t>
            </w:r>
          </w:p>
        </w:tc>
        <w:tc>
          <w:tcPr>
            <w:tcW w:w="1241"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jc w:val="center"/>
              <w:rPr>
                <w:rFonts w:eastAsia="Times New Roman" w:cs="Calibri"/>
                <w:noProof/>
                <w:color w:val="000000"/>
              </w:rPr>
            </w:pPr>
            <w:r>
              <w:rPr>
                <w:noProof/>
                <w:color w:val="000000"/>
              </w:rPr>
              <w:t>Znesek obroka</w:t>
            </w:r>
          </w:p>
        </w:tc>
        <w:tc>
          <w:tcPr>
            <w:tcW w:w="4079" w:type="dxa"/>
            <w:tcBorders>
              <w:top w:val="nil"/>
              <w:left w:val="nil"/>
              <w:bottom w:val="single" w:sz="8" w:space="0" w:color="auto"/>
              <w:right w:val="single" w:sz="8" w:space="0" w:color="auto"/>
            </w:tcBorders>
            <w:shd w:val="clear" w:color="000000" w:fill="C6EFCE"/>
            <w:noWrap/>
            <w:vAlign w:val="center"/>
            <w:hideMark/>
          </w:tcPr>
          <w:p w:rsidR="009B5602" w:rsidRDefault="00886830">
            <w:pPr>
              <w:spacing w:after="0" w:line="240" w:lineRule="auto"/>
              <w:rPr>
                <w:rFonts w:eastAsia="Times New Roman" w:cs="Calibri"/>
                <w:noProof/>
                <w:color w:val="000000"/>
              </w:rPr>
            </w:pPr>
            <w:r>
              <w:rPr>
                <w:noProof/>
                <w:color w:val="000000"/>
              </w:rPr>
              <w:t> 203 677 359 EUR.</w:t>
            </w:r>
          </w:p>
        </w:tc>
      </w:tr>
    </w:tbl>
    <w:p w:rsidR="009B5602" w:rsidRDefault="009B5602">
      <w:pPr>
        <w:ind w:left="-851"/>
        <w:rPr>
          <w:noProof/>
        </w:rPr>
      </w:pPr>
    </w:p>
    <w:p w:rsidR="009B5602" w:rsidRDefault="009B5602">
      <w:pPr>
        <w:spacing w:before="360" w:after="120" w:line="240" w:lineRule="auto"/>
        <w:jc w:val="both"/>
        <w:outlineLvl w:val="0"/>
        <w:rPr>
          <w:rFonts w:ascii="Times New Roman" w:hAnsi="Times New Roman"/>
          <w:noProof/>
          <w:sz w:val="24"/>
          <w:szCs w:val="24"/>
        </w:rPr>
        <w:sectPr w:rsidR="009B5602">
          <w:headerReference w:type="even" r:id="rId234"/>
          <w:headerReference w:type="default" r:id="rId235"/>
          <w:footerReference w:type="even" r:id="rId236"/>
          <w:footerReference w:type="default" r:id="rId237"/>
          <w:headerReference w:type="first" r:id="rId238"/>
          <w:footerReference w:type="first" r:id="rId239"/>
          <w:pgSz w:w="11907" w:h="16839"/>
          <w:pgMar w:top="1134" w:right="1418" w:bottom="1134" w:left="1418" w:header="709" w:footer="709" w:gutter="0"/>
          <w:cols w:space="720"/>
          <w:docGrid w:linePitch="360"/>
        </w:sectPr>
      </w:pPr>
    </w:p>
    <w:p w:rsidR="009B5602" w:rsidRDefault="00886830">
      <w:pPr>
        <w:rPr>
          <w:rFonts w:ascii="Times New Roman" w:hAnsi="Times New Roman"/>
          <w:b/>
          <w:noProof/>
          <w:sz w:val="24"/>
        </w:rPr>
      </w:pPr>
      <w:r>
        <w:rPr>
          <w:rFonts w:ascii="Times New Roman" w:hAnsi="Times New Roman"/>
          <w:b/>
          <w:bCs/>
          <w:noProof/>
          <w:sz w:val="24"/>
        </w:rPr>
        <w:t xml:space="preserve">ODDELEK 3: DODATNE UREDITVE </w:t>
      </w:r>
    </w:p>
    <w:p w:rsidR="009B5602" w:rsidRDefault="00886830">
      <w:pPr>
        <w:pStyle w:val="NormalLeft"/>
        <w:rPr>
          <w:b/>
          <w:noProof/>
        </w:rPr>
      </w:pPr>
      <w:r>
        <w:rPr>
          <w:b/>
          <w:noProof/>
        </w:rPr>
        <w:t>1. Ureditve za spremljanje in izvajanje načrta za okrevanje in odpornost</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 xml:space="preserve">Spremljanje in izvajanje načrta Slovaške za okrevanje in odpornost se izvaja v skladu z naslednjimi ureditvami: </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Slovaška republika za zagotovitev natančn</w:t>
      </w:r>
      <w:r>
        <w:rPr>
          <w:rFonts w:ascii="Times New Roman" w:hAnsi="Times New Roman"/>
          <w:noProof/>
          <w:sz w:val="24"/>
        </w:rPr>
        <w:t>o opredeljenih nalog, pristojnosti in pooblastil pripravlja poseben zakon o mehanizmu za okrevanje in odpornost ter o spremembi nekaterih zakonov („Zakon o mehanizmu za okrevanje in odpornost“ ali „Zakon o RRF“). Zakon naj bi med drugim urejal izbor upravi</w:t>
      </w:r>
      <w:r>
        <w:rPr>
          <w:rFonts w:ascii="Times New Roman" w:hAnsi="Times New Roman"/>
          <w:noProof/>
          <w:sz w:val="24"/>
        </w:rPr>
        <w:t>čencev in njihove odgovornosti, način izvajanja finančnih popravkov in nepravilnosti, nasprotja interesov in obdelavo osebnih podatkov. Prav tako naj bi uvedel ukrepe za zaščito finančnih interesov Evropske unije na ravni vsakega subjekta, vključenega v iz</w:t>
      </w:r>
      <w:r>
        <w:rPr>
          <w:rFonts w:ascii="Times New Roman" w:hAnsi="Times New Roman"/>
          <w:noProof/>
          <w:sz w:val="24"/>
        </w:rPr>
        <w:t>vajanje. Ureja spremljanje doseganja mejnikov in ciljev ter sistem zbiranja podatkov, ki zajema dejanske lastnike.</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Nacionalni organ za izvajanje in usklajevanje (NIKA) je točka „vse na enem mestu“ za izvajanje slovaškega načrta za okrevanje in odpornost. U</w:t>
      </w:r>
      <w:r>
        <w:rPr>
          <w:rFonts w:ascii="Times New Roman" w:hAnsi="Times New Roman"/>
          <w:noProof/>
          <w:sz w:val="24"/>
        </w:rPr>
        <w:t>sklajuje in usmerja izvajanje ter izvaja preglede izvršiteljev oporoke, posrednikov in upravičencev. Odgovoren je za spremljanje in ocenjevanje izvajanja načrta in doseganja mejnikov ter za zagotavljanje podatkov, zbranih na zahtevo, Komisiji.</w:t>
      </w:r>
    </w:p>
    <w:p w:rsidR="009B5602" w:rsidRDefault="009B5602">
      <w:pPr>
        <w:spacing w:before="120" w:after="120" w:line="240" w:lineRule="auto"/>
        <w:jc w:val="both"/>
        <w:rPr>
          <w:rFonts w:ascii="Times New Roman" w:hAnsi="Times New Roman"/>
          <w:noProof/>
          <w:sz w:val="24"/>
        </w:rPr>
      </w:pPr>
    </w:p>
    <w:p w:rsidR="009B5602" w:rsidRDefault="00886830">
      <w:pPr>
        <w:pStyle w:val="NormalLeft"/>
        <w:rPr>
          <w:b/>
          <w:noProof/>
        </w:rPr>
      </w:pPr>
      <w:r>
        <w:rPr>
          <w:b/>
          <w:noProof/>
        </w:rPr>
        <w:t>2. Ureditve</w:t>
      </w:r>
      <w:r>
        <w:rPr>
          <w:b/>
          <w:noProof/>
        </w:rPr>
        <w:t xml:space="preserve"> za zagotavljanje popolnega dostopa Komisije do osnovnih podatkov</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Nacionalni organ za izvajanje in usklajevanje (NIKA) je kot osrednji usklajevalni organ za slovaški načrt za okrevanje in odpornost ter njegovo izvajanje odgovoren za splošno usklajevanje in</w:t>
      </w:r>
      <w:r>
        <w:rPr>
          <w:rFonts w:ascii="Times New Roman" w:hAnsi="Times New Roman"/>
          <w:noProof/>
          <w:sz w:val="24"/>
        </w:rPr>
        <w:t xml:space="preserve"> spremljanje načrta. Zlasti deluje kot usklajevalni organ za spremljanje napredka pri mejnikih in ciljih, spremljanje in po potrebi izvajanje nadzornih in revizijskih dejavnosti ter za zagotavljanje poročanja in zahtevkov za plačila. Usklajuje poročanje o </w:t>
      </w:r>
      <w:r>
        <w:rPr>
          <w:rFonts w:ascii="Times New Roman" w:hAnsi="Times New Roman"/>
          <w:noProof/>
          <w:sz w:val="24"/>
        </w:rPr>
        <w:t>mejnikih in ciljnih vrednostih, ustreznih kazalnikih, pa tudi kvalitativnih finančnih informacijah in drugih podatkih, na primer o končnih prejemnikih. Do 30. septembra 2022 naj bi se kodiranje podatkov izvedlo z uporabo informacijskega sistema, imenovaneg</w:t>
      </w:r>
      <w:r>
        <w:rPr>
          <w:rFonts w:ascii="Times New Roman" w:hAnsi="Times New Roman"/>
          <w:noProof/>
          <w:sz w:val="24"/>
        </w:rPr>
        <w:t>a ISPO.</w:t>
      </w:r>
    </w:p>
    <w:p w:rsidR="009B5602" w:rsidRDefault="00886830">
      <w:pPr>
        <w:spacing w:before="120" w:after="120" w:line="240" w:lineRule="auto"/>
        <w:jc w:val="both"/>
        <w:rPr>
          <w:rFonts w:ascii="Times New Roman" w:hAnsi="Times New Roman"/>
          <w:noProof/>
          <w:sz w:val="24"/>
        </w:rPr>
      </w:pPr>
      <w:r>
        <w:rPr>
          <w:rFonts w:ascii="Times New Roman" w:hAnsi="Times New Roman"/>
          <w:noProof/>
          <w:sz w:val="24"/>
        </w:rPr>
        <w:t>V skladu s členom 24(2) Uredbe (EU) 2021/241 Slovaška po izpolnitvi ustreznih dogovorjenih mejnikov in ciljev iz oddelka 2.1 te priloge Komisiji predloži ustrezno utemeljen zahtevek za plačilo finančnega prispevka. Slovaška zagotovi, da ima Komisij</w:t>
      </w:r>
      <w:r>
        <w:rPr>
          <w:rFonts w:ascii="Times New Roman" w:hAnsi="Times New Roman"/>
          <w:noProof/>
          <w:sz w:val="24"/>
        </w:rPr>
        <w:t>a na zahtevo popoln dostop do zadevnih osnovnih podatkov, ki podpirajo ustrezno utemeljitev zahtevka za plačilo, tako za oceno zahtevka za plačilo v skladu s členom 24(3) Uredbe (EU) 2021/241 kot za namene revizije in kontrole.</w:t>
      </w:r>
    </w:p>
    <w:p w:rsidR="009B5602" w:rsidRDefault="009B5602">
      <w:pPr>
        <w:rPr>
          <w:noProof/>
        </w:rPr>
      </w:pPr>
    </w:p>
    <w:sectPr w:rsidR="009B5602">
      <w:headerReference w:type="even" r:id="rId240"/>
      <w:headerReference w:type="default" r:id="rId241"/>
      <w:footerReference w:type="even" r:id="rId242"/>
      <w:footerReference w:type="default" r:id="rId243"/>
      <w:headerReference w:type="first" r:id="rId244"/>
      <w:footerReference w:type="first" r:id="rId24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02" w:rsidRDefault="00886830">
      <w:pPr>
        <w:spacing w:after="0" w:line="240" w:lineRule="auto"/>
      </w:pPr>
      <w:r>
        <w:separator/>
      </w:r>
    </w:p>
  </w:endnote>
  <w:endnote w:type="continuationSeparator" w:id="0">
    <w:p w:rsidR="009B5602" w:rsidRDefault="00886830">
      <w:pPr>
        <w:spacing w:after="0" w:line="240" w:lineRule="auto"/>
      </w:pPr>
      <w:r>
        <w:continuationSeparator/>
      </w:r>
    </w:p>
  </w:endnote>
  <w:endnote w:type="continuationNotice" w:id="1">
    <w:p w:rsidR="009B5602" w:rsidRDefault="009B5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30" w:rsidRPr="00886830" w:rsidRDefault="00886830" w:rsidP="0088683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151</w:t>
    </w:r>
    <w: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161</w:t>
    </w:r>
    <w: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163</w:t>
    </w:r>
    <w: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pPr>
    <w:r>
      <w:rPr>
        <w:rFonts w:ascii="Arial" w:hAnsi="Arial"/>
        <w:b/>
        <w:sz w:val="48"/>
      </w:rPr>
      <w:tab/>
    </w:r>
    <w:r>
      <w:fldChar w:fldCharType="begin"/>
    </w:r>
    <w:r>
      <w:instrText xml:space="preserve"> PAGE  \* MERGEFORMAT </w:instrText>
    </w:r>
    <w:r>
      <w:fldChar w:fldCharType="separate"/>
    </w:r>
    <w:r>
      <w:rPr>
        <w:noProof/>
      </w:rPr>
      <w:t>10</w:t>
    </w:r>
    <w:r>
      <w:fldChar w:fldCharType="end"/>
    </w:r>
    <w:r>
      <w:tab/>
    </w:r>
    <w:r>
      <w:tab/>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165</w:t>
    </w:r>
    <w: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186</w:t>
    </w:r>
    <w:r>
      <w:fldChar w:fldCharType="end"/>
    </w: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187</w:t>
    </w:r>
    <w:r>
      <w:fldChar w:fldCharType="end"/>
    </w: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Landscape"/>
    </w:pPr>
    <w:r>
      <w:rPr>
        <w:rFonts w:ascii="Arial" w:hAnsi="Arial"/>
        <w:b/>
        <w:sz w:val="48"/>
      </w:rPr>
      <w:tab/>
    </w:r>
    <w:r>
      <w:fldChar w:fldCharType="begin"/>
    </w:r>
    <w:r>
      <w:instrText xml:space="preserve"> PAGE  \* MERGEFORMAT </w:instrText>
    </w:r>
    <w:r>
      <w:fldChar w:fldCharType="separate"/>
    </w:r>
    <w:r>
      <w:rPr>
        <w:noProof/>
      </w:rPr>
      <w:t>15</w:t>
    </w:r>
    <w:r>
      <w:fldChar w:fldCharType="end"/>
    </w:r>
    <w:r>
      <w:tab/>
    </w:r>
    <w: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Landscape"/>
      <w:jc w:val="center"/>
    </w:pPr>
    <w:r>
      <w:fldChar w:fldCharType="begin"/>
    </w:r>
    <w:r>
      <w:instrText xml:space="preserve"> PAGE  \* M</w:instrText>
    </w:r>
    <w:r>
      <w:instrText xml:space="preserve">ERGEFORMAT </w:instrText>
    </w:r>
    <w:r>
      <w:fldChar w:fldCharType="separate"/>
    </w:r>
    <w:r>
      <w:rPr>
        <w:noProof/>
      </w:rPr>
      <w:t>18</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Landscape"/>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30" w:rsidRPr="00886830" w:rsidRDefault="00886830" w:rsidP="00886830">
    <w:pPr>
      <w:pStyle w:val="FooterCoverPage"/>
      <w:rPr>
        <w:rFonts w:ascii="Arial" w:hAnsi="Arial" w:cs="Arial"/>
        <w:b/>
        <w:sz w:val="48"/>
      </w:rPr>
    </w:pPr>
    <w:r w:rsidRPr="00886830">
      <w:rPr>
        <w:rFonts w:ascii="Arial" w:hAnsi="Arial" w:cs="Arial"/>
        <w:b/>
        <w:sz w:val="48"/>
      </w:rPr>
      <w:t>SL</w:t>
    </w:r>
    <w:r w:rsidRPr="00886830">
      <w:rPr>
        <w:rFonts w:ascii="Arial" w:hAnsi="Arial" w:cs="Arial"/>
        <w:b/>
        <w:sz w:val="48"/>
      </w:rPr>
      <w:tab/>
    </w:r>
    <w:r w:rsidRPr="00886830">
      <w:rPr>
        <w:rFonts w:ascii="Arial" w:hAnsi="Arial" w:cs="Arial"/>
        <w:b/>
        <w:sz w:val="48"/>
      </w:rPr>
      <w:tab/>
    </w:r>
    <w:r w:rsidRPr="00886830">
      <w:tab/>
    </w:r>
    <w:r w:rsidRPr="00886830">
      <w:rPr>
        <w:rFonts w:ascii="Arial" w:hAnsi="Arial" w:cs="Arial"/>
        <w:b/>
        <w:sz w:val="48"/>
      </w:rPr>
      <w:t>SL</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Landscape"/>
    </w:pPr>
    <w:r>
      <w:rPr>
        <w:rFonts w:ascii="Arial" w:hAnsi="Arial"/>
        <w:b/>
        <w:sz w:val="48"/>
      </w:rPr>
      <w:tab/>
    </w:r>
    <w:r>
      <w:fldChar w:fldCharType="begin"/>
    </w:r>
    <w:r>
      <w:instrText xml:space="preserve"> PAGE  \* MERGEFORMAT </w:instrText>
    </w:r>
    <w:r>
      <w:fldChar w:fldCharType="separate"/>
    </w:r>
    <w:r>
      <w:rPr>
        <w:noProof/>
      </w:rPr>
      <w:t>25</w:t>
    </w:r>
    <w:r>
      <w:fldChar w:fldCharType="end"/>
    </w:r>
    <w:r>
      <w:tab/>
    </w:r>
    <w:r>
      <w:tab/>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Landscape"/>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Landscape"/>
      <w:jc w:val="center"/>
    </w:pPr>
    <w:r>
      <w:fldChar w:fldCharType="begin"/>
    </w:r>
    <w:r>
      <w:instrText xml:space="preserve"> PAGE  \* MERGEFORMAT </w:instrText>
    </w:r>
    <w:r>
      <w:fldChar w:fldCharType="separate"/>
    </w:r>
    <w:r>
      <w:rPr>
        <w:noProof/>
      </w:rPr>
      <w:t>27</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Landscape"/>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Landscape"/>
    </w:pPr>
    <w:r>
      <w:rPr>
        <w:rFonts w:ascii="Arial" w:hAnsi="Arial"/>
        <w:b/>
        <w:sz w:val="48"/>
      </w:rPr>
      <w:tab/>
    </w:r>
    <w:r>
      <w:fldChar w:fldCharType="begin"/>
    </w:r>
    <w:r>
      <w:instrText xml:space="preserve"> PAGE  \* MERGEFORMAT </w:instrText>
    </w:r>
    <w:r>
      <w:fldChar w:fldCharType="separate"/>
    </w:r>
    <w:r>
      <w:rPr>
        <w:noProof/>
      </w:rPr>
      <w:t>31</w:t>
    </w:r>
    <w:r>
      <w:fldChar w:fldCharType="end"/>
    </w:r>
    <w:r>
      <w:tab/>
    </w:r>
    <w:r>
      <w:tab/>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Landscape"/>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pPr>
    <w:r>
      <w:rPr>
        <w:rFonts w:ascii="Arial" w:hAnsi="Arial"/>
        <w:b/>
        <w:sz w:val="48"/>
      </w:rPr>
      <w:tab/>
    </w:r>
    <w:r>
      <w:fldChar w:fldCharType="begin"/>
    </w:r>
    <w:r>
      <w:instrText xml:space="preserve"> PAGE  \* MERGEFORMAT </w:instrText>
    </w:r>
    <w:r>
      <w:fldChar w:fldCharType="separate"/>
    </w:r>
    <w:r>
      <w:rPr>
        <w:noProof/>
      </w:rPr>
      <w:t>33</w:t>
    </w:r>
    <w:r>
      <w:fldChar w:fldCharType="end"/>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30" w:rsidRPr="00886830" w:rsidRDefault="00886830" w:rsidP="00886830">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37</w:t>
    </w:r>
    <w:r>
      <w:fldChar w:fldCharType="end"/>
    </w:r>
  </w:p>
  <w:p w:rsidR="009B5602" w:rsidRDefault="009B5602">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pPr>
    <w:r>
      <w:rPr>
        <w:rFonts w:ascii="Arial" w:hAnsi="Arial"/>
        <w:b/>
        <w:sz w:val="48"/>
      </w:rPr>
      <w:tab/>
    </w:r>
    <w:r>
      <w:fldChar w:fldCharType="begin"/>
    </w:r>
    <w:r>
      <w:instrText xml:space="preserve"> PAGE  \* MERGEFORMAT </w:instrText>
    </w:r>
    <w:r>
      <w:fldChar w:fldCharType="separate"/>
    </w:r>
    <w:r>
      <w:rPr>
        <w:noProof/>
      </w:rPr>
      <w:t>39</w:t>
    </w:r>
    <w:r>
      <w:fldChar w:fldCharType="end"/>
    </w:r>
    <w:r>
      <w:tab/>
    </w:r>
    <w:r>
      <w:tab/>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52</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pPr>
    <w:r>
      <w:rPr>
        <w:rFonts w:ascii="Arial" w:hAnsi="Arial"/>
        <w:b/>
        <w:sz w:val="48"/>
      </w:rPr>
      <w:tab/>
    </w:r>
    <w:r>
      <w:fldChar w:fldCharType="begin"/>
    </w:r>
    <w:r>
      <w:instrText xml:space="preserve"> PAGE  \* MERGEFORMAT </w:instrText>
    </w:r>
    <w:r>
      <w:fldChar w:fldCharType="separate"/>
    </w:r>
    <w:r>
      <w:rPr>
        <w:noProof/>
      </w:rPr>
      <w:t>54</w:t>
    </w:r>
    <w:r>
      <w:fldChar w:fldCharType="end"/>
    </w:r>
    <w:r>
      <w:tab/>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58</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pPr>
    <w:r>
      <w:rPr>
        <w:rFonts w:ascii="Arial" w:hAnsi="Arial"/>
        <w:b/>
        <w:sz w:val="48"/>
      </w:rPr>
      <w:tab/>
    </w:r>
    <w:r>
      <w:fldChar w:fldCharType="begin"/>
    </w:r>
    <w:r>
      <w:instrText xml:space="preserve"> PAGE  \* MERGEFORMAT </w:instrText>
    </w:r>
    <w:r>
      <w:fldChar w:fldCharType="separate"/>
    </w:r>
    <w:r>
      <w:rPr>
        <w:noProof/>
      </w:rPr>
      <w:t>60</w:t>
    </w:r>
    <w:r>
      <w:fldChar w:fldCharType="end"/>
    </w:r>
    <w:r>
      <w:tab/>
    </w:r>
    <w:r>
      <w:tab/>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1</w:t>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66</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pPr>
    <w:r>
      <w:rPr>
        <w:rFonts w:ascii="Arial" w:hAnsi="Arial"/>
        <w:b/>
        <w:sz w:val="48"/>
      </w:rPr>
      <w:tab/>
    </w:r>
    <w:r>
      <w:fldChar w:fldCharType="begin"/>
    </w:r>
    <w:r>
      <w:instrText xml:space="preserve"> PAGE  \* MERGEFORMAT </w:instrText>
    </w:r>
    <w:r>
      <w:fldChar w:fldCharType="separate"/>
    </w:r>
    <w:r>
      <w:rPr>
        <w:noProof/>
      </w:rPr>
      <w:t>71</w:t>
    </w:r>
    <w:r>
      <w:fldChar w:fldCharType="end"/>
    </w:r>
    <w:r>
      <w:tab/>
    </w:r>
    <w:r>
      <w:tab/>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81</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pPr>
    <w:r>
      <w:rPr>
        <w:rFonts w:ascii="Arial" w:hAnsi="Arial"/>
        <w:b/>
        <w:sz w:val="48"/>
      </w:rPr>
      <w:tab/>
    </w:r>
    <w:r>
      <w:fldChar w:fldCharType="begin"/>
    </w:r>
    <w:r>
      <w:instrText xml:space="preserve"> PAGE  \* MERGEFORMAT </w:instrText>
    </w:r>
    <w:r>
      <w:fldChar w:fldCharType="separate"/>
    </w:r>
    <w:r>
      <w:rPr>
        <w:noProof/>
      </w:rPr>
      <w:t>84</w:t>
    </w:r>
    <w:r>
      <w:fldChar w:fldCharType="end"/>
    </w:r>
    <w:r>
      <w:tab/>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89</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pPr>
    <w:r>
      <w:rPr>
        <w:rFonts w:ascii="Arial" w:hAnsi="Arial"/>
        <w:b/>
        <w:sz w:val="48"/>
      </w:rPr>
      <w:tab/>
    </w:r>
    <w:r>
      <w:fldChar w:fldCharType="begin"/>
    </w:r>
    <w:r>
      <w:instrText xml:space="preserve"> PAGE  \* MERGEFORMAT </w:instrText>
    </w:r>
    <w:r>
      <w:fldChar w:fldCharType="separate"/>
    </w:r>
    <w:r>
      <w:rPr>
        <w:noProof/>
      </w:rPr>
      <w:t>92</w:t>
    </w:r>
    <w:r>
      <w:fldChar w:fldCharType="end"/>
    </w:r>
    <w:r>
      <w:tab/>
    </w:r>
    <w:r>
      <w:tab/>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99</w:t>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pPr>
    <w:r>
      <w:rPr>
        <w:rFonts w:ascii="Arial" w:hAnsi="Arial"/>
        <w:b/>
        <w:sz w:val="48"/>
      </w:rPr>
      <w:tab/>
    </w:r>
    <w:r>
      <w:fldChar w:fldCharType="begin"/>
    </w:r>
    <w:r>
      <w:instrText xml:space="preserve"> PAGE  \* MERGEFORMAT </w:instrText>
    </w:r>
    <w:r>
      <w:fldChar w:fldCharType="separate"/>
    </w:r>
    <w:r>
      <w:rPr>
        <w:noProof/>
      </w:rPr>
      <w:t>102</w:t>
    </w:r>
    <w: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107</w:t>
    </w:r>
    <w: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pPr>
    <w:r>
      <w:rPr>
        <w:rFonts w:ascii="Arial" w:hAnsi="Arial"/>
        <w:b/>
        <w:sz w:val="48"/>
      </w:rPr>
      <w:tab/>
    </w:r>
    <w:r>
      <w:fldChar w:fldCharType="begin"/>
    </w:r>
    <w:r>
      <w:instrText xml:space="preserve"> PAGE  \* MERGEFORMAT </w:instrText>
    </w:r>
    <w:r>
      <w:fldChar w:fldCharType="separate"/>
    </w:r>
    <w:r>
      <w:rPr>
        <w:noProof/>
      </w:rPr>
      <w:t>110</w:t>
    </w:r>
    <w: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Landscape"/>
    </w:pPr>
    <w:r>
      <w:rPr>
        <w:rFonts w:ascii="Arial" w:hAnsi="Arial"/>
        <w:b/>
        <w:sz w:val="48"/>
      </w:rPr>
      <w:tab/>
    </w:r>
    <w:r>
      <w:fldChar w:fldCharType="begin"/>
    </w:r>
    <w:r>
      <w:instrText xml:space="preserve"> PAGE  \* MERGEFORMAT </w:instrText>
    </w:r>
    <w:r>
      <w:fldChar w:fldCharType="separate"/>
    </w:r>
    <w:r>
      <w:rPr>
        <w:noProof/>
      </w:rPr>
      <w:t>4</w:t>
    </w:r>
    <w:r>
      <w:fldChar w:fldCharType="end"/>
    </w:r>
    <w:r>
      <w:tab/>
    </w:r>
    <w:r>
      <w:tab/>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119</w:t>
    </w:r>
    <w: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pPr>
    <w:r>
      <w:rPr>
        <w:rFonts w:ascii="Arial" w:hAnsi="Arial"/>
        <w:b/>
        <w:sz w:val="48"/>
      </w:rPr>
      <w:tab/>
    </w:r>
    <w:r>
      <w:fldChar w:fldCharType="begin"/>
    </w:r>
    <w:r>
      <w:instrText xml:space="preserve"> PAGE  \* MERGEFORMAT </w:instrText>
    </w:r>
    <w:r>
      <w:fldChar w:fldCharType="separate"/>
    </w:r>
    <w:r>
      <w:rPr>
        <w:noProof/>
      </w:rPr>
      <w:t>121</w:t>
    </w:r>
    <w:r>
      <w:fldChar w:fldCharType="end"/>
    </w:r>
    <w:r>
      <w:tab/>
    </w:r>
    <w:r>
      <w:tab/>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126</w:t>
    </w:r>
    <w: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pPr>
    <w:r>
      <w:rPr>
        <w:rFonts w:ascii="Arial" w:hAnsi="Arial"/>
        <w:b/>
        <w:sz w:val="48"/>
      </w:rPr>
      <w:tab/>
    </w:r>
    <w:r>
      <w:fldChar w:fldCharType="begin"/>
    </w:r>
    <w:r>
      <w:instrText xml:space="preserve"> PAGE  \* MERGEFORMAT </w:instrText>
    </w:r>
    <w:r>
      <w:fldChar w:fldCharType="separate"/>
    </w:r>
    <w:r>
      <w:rPr>
        <w:noProof/>
      </w:rPr>
      <w:t>129</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Landscape"/>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133</w:t>
    </w:r>
    <w: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pPr>
    <w:r>
      <w:rPr>
        <w:rFonts w:ascii="Arial" w:hAnsi="Arial"/>
        <w:b/>
        <w:sz w:val="48"/>
      </w:rPr>
      <w:tab/>
    </w:r>
    <w:r>
      <w:fldChar w:fldCharType="begin"/>
    </w:r>
    <w:r>
      <w:instrText xml:space="preserve"> PAGE  \* MERGEFORMAT </w:instrText>
    </w:r>
    <w:r>
      <w:fldChar w:fldCharType="separate"/>
    </w:r>
    <w:r>
      <w:rPr>
        <w:noProof/>
      </w:rPr>
      <w:t>136</w:t>
    </w:r>
    <w:r>
      <w:fldChar w:fldCharType="end"/>
    </w:r>
    <w:r>
      <w:tab/>
    </w:r>
    <w:r>
      <w:tab/>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886830">
    <w:pPr>
      <w:pStyle w:val="Footer"/>
      <w:jc w:val="center"/>
    </w:pPr>
    <w:r>
      <w:fldChar w:fldCharType="begin"/>
    </w:r>
    <w:r>
      <w:instrText xml:space="preserve"> PAGE  \* MERGEFORMAT </w:instrText>
    </w:r>
    <w:r>
      <w:fldChar w:fldCharType="separate"/>
    </w:r>
    <w:r>
      <w:rPr>
        <w:noProof/>
      </w:rPr>
      <w:t>145</w:t>
    </w:r>
    <w: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02" w:rsidRDefault="00886830">
      <w:pPr>
        <w:spacing w:after="0" w:line="240" w:lineRule="auto"/>
      </w:pPr>
      <w:r>
        <w:separator/>
      </w:r>
    </w:p>
  </w:footnote>
  <w:footnote w:type="continuationSeparator" w:id="0">
    <w:p w:rsidR="009B5602" w:rsidRDefault="00886830">
      <w:pPr>
        <w:spacing w:after="0" w:line="240" w:lineRule="auto"/>
      </w:pPr>
      <w:r>
        <w:continuationSeparator/>
      </w:r>
    </w:p>
  </w:footnote>
  <w:footnote w:type="continuationNotice" w:id="1">
    <w:p w:rsidR="009B5602" w:rsidRDefault="009B56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30" w:rsidRPr="00886830" w:rsidRDefault="00886830" w:rsidP="0088683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Landscap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Landscap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Landscap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30" w:rsidRPr="00886830" w:rsidRDefault="00886830" w:rsidP="00886830">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Landscap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Landscap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Landscap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Landscape"/>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Landscape"/>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Landscape"/>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30" w:rsidRPr="00886830" w:rsidRDefault="00886830" w:rsidP="00886830">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Landscape"/>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Landscape"/>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02" w:rsidRDefault="009B5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E140CA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5A627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C2027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788A4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5413E96"/>
    <w:multiLevelType w:val="hybridMultilevel"/>
    <w:tmpl w:val="58A8A16C"/>
    <w:lvl w:ilvl="0" w:tplc="C94C1BBC">
      <w:start w:val="3"/>
      <w:numFmt w:val="bullet"/>
      <w:lvlText w:val="–"/>
      <w:lvlJc w:val="left"/>
      <w:pPr>
        <w:ind w:left="1210" w:hanging="360"/>
      </w:pPr>
      <w:rPr>
        <w:rFonts w:ascii="Times New Roman" w:eastAsia="Calibri" w:hAnsi="Times New Roman" w:cs="Times New Roman" w:hint="default"/>
      </w:rPr>
    </w:lvl>
    <w:lvl w:ilvl="1" w:tplc="080C0003">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9" w15:restartNumberingAfterBreak="0">
    <w:nsid w:val="083800CE"/>
    <w:multiLevelType w:val="hybridMultilevel"/>
    <w:tmpl w:val="1A349196"/>
    <w:lvl w:ilvl="0" w:tplc="8DD21384">
      <w:start w:val="1"/>
      <w:numFmt w:val="bullet"/>
      <w:lvlText w:val="·"/>
      <w:lvlJc w:val="left"/>
      <w:pPr>
        <w:ind w:left="720" w:hanging="360"/>
      </w:pPr>
      <w:rPr>
        <w:rFonts w:ascii="Symbol" w:hAnsi="Symbol" w:hint="default"/>
      </w:rPr>
    </w:lvl>
    <w:lvl w:ilvl="1" w:tplc="30E2C636">
      <w:start w:val="1"/>
      <w:numFmt w:val="bullet"/>
      <w:lvlText w:val="o"/>
      <w:lvlJc w:val="left"/>
      <w:pPr>
        <w:ind w:left="1440" w:hanging="360"/>
      </w:pPr>
      <w:rPr>
        <w:rFonts w:ascii="Courier New" w:hAnsi="Courier New" w:hint="default"/>
      </w:rPr>
    </w:lvl>
    <w:lvl w:ilvl="2" w:tplc="9170EEEA">
      <w:start w:val="1"/>
      <w:numFmt w:val="bullet"/>
      <w:lvlText w:val=""/>
      <w:lvlJc w:val="left"/>
      <w:pPr>
        <w:ind w:left="2160" w:hanging="360"/>
      </w:pPr>
      <w:rPr>
        <w:rFonts w:ascii="Wingdings" w:hAnsi="Wingdings" w:hint="default"/>
      </w:rPr>
    </w:lvl>
    <w:lvl w:ilvl="3" w:tplc="41FE1CAA">
      <w:start w:val="1"/>
      <w:numFmt w:val="bullet"/>
      <w:lvlText w:val=""/>
      <w:lvlJc w:val="left"/>
      <w:pPr>
        <w:ind w:left="2880" w:hanging="360"/>
      </w:pPr>
      <w:rPr>
        <w:rFonts w:ascii="Symbol" w:hAnsi="Symbol" w:hint="default"/>
      </w:rPr>
    </w:lvl>
    <w:lvl w:ilvl="4" w:tplc="1E9A7426">
      <w:start w:val="1"/>
      <w:numFmt w:val="bullet"/>
      <w:lvlText w:val="o"/>
      <w:lvlJc w:val="left"/>
      <w:pPr>
        <w:ind w:left="3600" w:hanging="360"/>
      </w:pPr>
      <w:rPr>
        <w:rFonts w:ascii="Courier New" w:hAnsi="Courier New" w:hint="default"/>
      </w:rPr>
    </w:lvl>
    <w:lvl w:ilvl="5" w:tplc="5AC227AC">
      <w:start w:val="1"/>
      <w:numFmt w:val="bullet"/>
      <w:lvlText w:val=""/>
      <w:lvlJc w:val="left"/>
      <w:pPr>
        <w:ind w:left="4320" w:hanging="360"/>
      </w:pPr>
      <w:rPr>
        <w:rFonts w:ascii="Wingdings" w:hAnsi="Wingdings" w:hint="default"/>
      </w:rPr>
    </w:lvl>
    <w:lvl w:ilvl="6" w:tplc="7480F6E2">
      <w:start w:val="1"/>
      <w:numFmt w:val="bullet"/>
      <w:lvlText w:val=""/>
      <w:lvlJc w:val="left"/>
      <w:pPr>
        <w:ind w:left="5040" w:hanging="360"/>
      </w:pPr>
      <w:rPr>
        <w:rFonts w:ascii="Symbol" w:hAnsi="Symbol" w:hint="default"/>
      </w:rPr>
    </w:lvl>
    <w:lvl w:ilvl="7" w:tplc="D878EFB0">
      <w:start w:val="1"/>
      <w:numFmt w:val="bullet"/>
      <w:lvlText w:val="o"/>
      <w:lvlJc w:val="left"/>
      <w:pPr>
        <w:ind w:left="5760" w:hanging="360"/>
      </w:pPr>
      <w:rPr>
        <w:rFonts w:ascii="Courier New" w:hAnsi="Courier New" w:hint="default"/>
      </w:rPr>
    </w:lvl>
    <w:lvl w:ilvl="8" w:tplc="C0143F40">
      <w:start w:val="1"/>
      <w:numFmt w:val="bullet"/>
      <w:lvlText w:val=""/>
      <w:lvlJc w:val="left"/>
      <w:pPr>
        <w:ind w:left="6480" w:hanging="360"/>
      </w:pPr>
      <w:rPr>
        <w:rFonts w:ascii="Wingdings" w:hAnsi="Wingdings" w:hint="default"/>
      </w:rPr>
    </w:lvl>
  </w:abstractNum>
  <w:abstractNum w:abstractNumId="10" w15:restartNumberingAfterBreak="0">
    <w:nsid w:val="10F4203F"/>
    <w:multiLevelType w:val="hybridMultilevel"/>
    <w:tmpl w:val="53A08C80"/>
    <w:lvl w:ilvl="0" w:tplc="6B261C98">
      <w:start w:val="1"/>
      <w:numFmt w:val="bullet"/>
      <w:lvlText w:val="-"/>
      <w:lvlJc w:val="left"/>
      <w:pPr>
        <w:ind w:left="720" w:hanging="360"/>
      </w:pPr>
      <w:rPr>
        <w:rFonts w:ascii="Times New Roman" w:eastAsia="Times New Roman" w:hAnsi="Times New Roman" w:cs="Times New Roman" w:hint="default"/>
        <w:color w:val="000000"/>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CB348F1"/>
    <w:multiLevelType w:val="hybridMultilevel"/>
    <w:tmpl w:val="57B0724E"/>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2550"/>
        </w:tabs>
        <w:ind w:left="2550" w:hanging="850"/>
      </w:pPr>
    </w:lvl>
    <w:lvl w:ilvl="1">
      <w:start w:val="1"/>
      <w:numFmt w:val="decimal"/>
      <w:pStyle w:val="NumPar2"/>
      <w:lvlText w:val="%1.%2."/>
      <w:lvlJc w:val="left"/>
      <w:pPr>
        <w:tabs>
          <w:tab w:val="num" w:pos="2550"/>
        </w:tabs>
        <w:ind w:left="2550" w:hanging="850"/>
      </w:pPr>
    </w:lvl>
    <w:lvl w:ilvl="2">
      <w:start w:val="1"/>
      <w:numFmt w:val="decimal"/>
      <w:pStyle w:val="NumPar3"/>
      <w:lvlText w:val="%1.%2.%3."/>
      <w:lvlJc w:val="left"/>
      <w:pPr>
        <w:tabs>
          <w:tab w:val="num" w:pos="2550"/>
        </w:tabs>
        <w:ind w:left="2550" w:hanging="850"/>
      </w:pPr>
    </w:lvl>
    <w:lvl w:ilvl="3">
      <w:start w:val="1"/>
      <w:numFmt w:val="decimal"/>
      <w:pStyle w:val="NumPar4"/>
      <w:lvlText w:val="%1.%2.%3.%4."/>
      <w:lvlJc w:val="left"/>
      <w:pPr>
        <w:tabs>
          <w:tab w:val="num" w:pos="2550"/>
        </w:tabs>
        <w:ind w:left="2550" w:hanging="850"/>
      </w:pPr>
    </w:lvl>
    <w:lvl w:ilvl="4">
      <w:start w:val="1"/>
      <w:numFmt w:val="lowerLetter"/>
      <w:lvlText w:val="(%5)"/>
      <w:lvlJc w:val="left"/>
      <w:pPr>
        <w:ind w:left="3500" w:hanging="360"/>
      </w:pPr>
    </w:lvl>
    <w:lvl w:ilvl="5">
      <w:start w:val="1"/>
      <w:numFmt w:val="lowerRoman"/>
      <w:lvlText w:val="(%6)"/>
      <w:lvlJc w:val="left"/>
      <w:pPr>
        <w:ind w:left="3860" w:hanging="360"/>
      </w:pPr>
    </w:lvl>
    <w:lvl w:ilvl="6">
      <w:start w:val="1"/>
      <w:numFmt w:val="decimal"/>
      <w:lvlText w:val="%7."/>
      <w:lvlJc w:val="left"/>
      <w:pPr>
        <w:ind w:left="4220" w:hanging="360"/>
      </w:pPr>
    </w:lvl>
    <w:lvl w:ilvl="7">
      <w:start w:val="1"/>
      <w:numFmt w:val="lowerLetter"/>
      <w:lvlText w:val="%8."/>
      <w:lvlJc w:val="left"/>
      <w:pPr>
        <w:ind w:left="4580" w:hanging="360"/>
      </w:pPr>
    </w:lvl>
    <w:lvl w:ilvl="8">
      <w:start w:val="1"/>
      <w:numFmt w:val="lowerRoman"/>
      <w:lvlText w:val="%9."/>
      <w:lvlJc w:val="left"/>
      <w:pPr>
        <w:ind w:left="4940" w:hanging="360"/>
      </w:pPr>
    </w:lvl>
  </w:abstractNum>
  <w:abstractNum w:abstractNumId="14" w15:restartNumberingAfterBreak="0">
    <w:nsid w:val="271210D2"/>
    <w:multiLevelType w:val="hybridMultilevel"/>
    <w:tmpl w:val="F2683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76551C"/>
    <w:multiLevelType w:val="hybridMultilevel"/>
    <w:tmpl w:val="B0ECF862"/>
    <w:lvl w:ilvl="0" w:tplc="DB0264F6">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316F3F01"/>
    <w:multiLevelType w:val="hybridMultilevel"/>
    <w:tmpl w:val="0A4A29A0"/>
    <w:lvl w:ilvl="0" w:tplc="2BC8EB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67382F"/>
    <w:multiLevelType w:val="hybridMultilevel"/>
    <w:tmpl w:val="6030A95A"/>
    <w:lvl w:ilvl="0" w:tplc="7FC6435C">
      <w:start w:val="1"/>
      <w:numFmt w:val="bullet"/>
      <w:lvlText w:val="·"/>
      <w:lvlJc w:val="left"/>
      <w:pPr>
        <w:ind w:left="720" w:hanging="360"/>
      </w:pPr>
      <w:rPr>
        <w:rFonts w:ascii="Symbol" w:hAnsi="Symbol" w:hint="default"/>
      </w:rPr>
    </w:lvl>
    <w:lvl w:ilvl="1" w:tplc="81CAC3CC">
      <w:start w:val="1"/>
      <w:numFmt w:val="bullet"/>
      <w:lvlText w:val="o"/>
      <w:lvlJc w:val="left"/>
      <w:pPr>
        <w:ind w:left="1440" w:hanging="360"/>
      </w:pPr>
      <w:rPr>
        <w:rFonts w:ascii="Courier New" w:hAnsi="Courier New" w:hint="default"/>
      </w:rPr>
    </w:lvl>
    <w:lvl w:ilvl="2" w:tplc="ECD2BE6A">
      <w:start w:val="1"/>
      <w:numFmt w:val="bullet"/>
      <w:lvlText w:val=""/>
      <w:lvlJc w:val="left"/>
      <w:pPr>
        <w:ind w:left="2160" w:hanging="360"/>
      </w:pPr>
      <w:rPr>
        <w:rFonts w:ascii="Wingdings" w:hAnsi="Wingdings" w:hint="default"/>
      </w:rPr>
    </w:lvl>
    <w:lvl w:ilvl="3" w:tplc="5CC41EDC">
      <w:start w:val="1"/>
      <w:numFmt w:val="bullet"/>
      <w:lvlText w:val=""/>
      <w:lvlJc w:val="left"/>
      <w:pPr>
        <w:ind w:left="2880" w:hanging="360"/>
      </w:pPr>
      <w:rPr>
        <w:rFonts w:ascii="Symbol" w:hAnsi="Symbol" w:hint="default"/>
      </w:rPr>
    </w:lvl>
    <w:lvl w:ilvl="4" w:tplc="4822933E">
      <w:start w:val="1"/>
      <w:numFmt w:val="bullet"/>
      <w:lvlText w:val="o"/>
      <w:lvlJc w:val="left"/>
      <w:pPr>
        <w:ind w:left="3600" w:hanging="360"/>
      </w:pPr>
      <w:rPr>
        <w:rFonts w:ascii="Courier New" w:hAnsi="Courier New" w:hint="default"/>
      </w:rPr>
    </w:lvl>
    <w:lvl w:ilvl="5" w:tplc="3A34400E">
      <w:start w:val="1"/>
      <w:numFmt w:val="bullet"/>
      <w:lvlText w:val=""/>
      <w:lvlJc w:val="left"/>
      <w:pPr>
        <w:ind w:left="4320" w:hanging="360"/>
      </w:pPr>
      <w:rPr>
        <w:rFonts w:ascii="Wingdings" w:hAnsi="Wingdings" w:hint="default"/>
      </w:rPr>
    </w:lvl>
    <w:lvl w:ilvl="6" w:tplc="E1EEF0D4">
      <w:start w:val="1"/>
      <w:numFmt w:val="bullet"/>
      <w:lvlText w:val=""/>
      <w:lvlJc w:val="left"/>
      <w:pPr>
        <w:ind w:left="5040" w:hanging="360"/>
      </w:pPr>
      <w:rPr>
        <w:rFonts w:ascii="Symbol" w:hAnsi="Symbol" w:hint="default"/>
      </w:rPr>
    </w:lvl>
    <w:lvl w:ilvl="7" w:tplc="AF504168">
      <w:start w:val="1"/>
      <w:numFmt w:val="bullet"/>
      <w:lvlText w:val="o"/>
      <w:lvlJc w:val="left"/>
      <w:pPr>
        <w:ind w:left="5760" w:hanging="360"/>
      </w:pPr>
      <w:rPr>
        <w:rFonts w:ascii="Courier New" w:hAnsi="Courier New" w:hint="default"/>
      </w:rPr>
    </w:lvl>
    <w:lvl w:ilvl="8" w:tplc="A442E3DA">
      <w:start w:val="1"/>
      <w:numFmt w:val="bullet"/>
      <w:lvlText w:val=""/>
      <w:lvlJc w:val="left"/>
      <w:pPr>
        <w:ind w:left="6480" w:hanging="360"/>
      </w:pPr>
      <w:rPr>
        <w:rFonts w:ascii="Wingdings" w:hAnsi="Wingdings" w:hint="default"/>
      </w:rPr>
    </w:lvl>
  </w:abstractNum>
  <w:abstractNum w:abstractNumId="20" w15:restartNumberingAfterBreak="0">
    <w:nsid w:val="3BE75B0D"/>
    <w:multiLevelType w:val="hybridMultilevel"/>
    <w:tmpl w:val="7B44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66434"/>
    <w:multiLevelType w:val="hybridMultilevel"/>
    <w:tmpl w:val="EBD4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4747F"/>
    <w:multiLevelType w:val="hybridMultilevel"/>
    <w:tmpl w:val="DA6AD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3B66896"/>
    <w:multiLevelType w:val="hybridMultilevel"/>
    <w:tmpl w:val="00C03238"/>
    <w:lvl w:ilvl="0" w:tplc="1FB49796">
      <w:start w:val="1"/>
      <w:numFmt w:val="bullet"/>
      <w:lvlText w:val="·"/>
      <w:lvlJc w:val="left"/>
      <w:pPr>
        <w:ind w:left="720" w:hanging="360"/>
      </w:pPr>
      <w:rPr>
        <w:rFonts w:ascii="Symbol" w:hAnsi="Symbol" w:hint="default"/>
      </w:rPr>
    </w:lvl>
    <w:lvl w:ilvl="1" w:tplc="C3D6903C">
      <w:start w:val="1"/>
      <w:numFmt w:val="bullet"/>
      <w:lvlText w:val="o"/>
      <w:lvlJc w:val="left"/>
      <w:pPr>
        <w:ind w:left="1440" w:hanging="360"/>
      </w:pPr>
      <w:rPr>
        <w:rFonts w:ascii="Courier New" w:hAnsi="Courier New" w:hint="default"/>
      </w:rPr>
    </w:lvl>
    <w:lvl w:ilvl="2" w:tplc="BF966412">
      <w:start w:val="1"/>
      <w:numFmt w:val="bullet"/>
      <w:lvlText w:val=""/>
      <w:lvlJc w:val="left"/>
      <w:pPr>
        <w:ind w:left="2160" w:hanging="360"/>
      </w:pPr>
      <w:rPr>
        <w:rFonts w:ascii="Wingdings" w:hAnsi="Wingdings" w:hint="default"/>
      </w:rPr>
    </w:lvl>
    <w:lvl w:ilvl="3" w:tplc="98903784">
      <w:start w:val="1"/>
      <w:numFmt w:val="bullet"/>
      <w:lvlText w:val=""/>
      <w:lvlJc w:val="left"/>
      <w:pPr>
        <w:ind w:left="2880" w:hanging="360"/>
      </w:pPr>
      <w:rPr>
        <w:rFonts w:ascii="Symbol" w:hAnsi="Symbol" w:hint="default"/>
      </w:rPr>
    </w:lvl>
    <w:lvl w:ilvl="4" w:tplc="4E02FE26">
      <w:start w:val="1"/>
      <w:numFmt w:val="bullet"/>
      <w:lvlText w:val="o"/>
      <w:lvlJc w:val="left"/>
      <w:pPr>
        <w:ind w:left="3600" w:hanging="360"/>
      </w:pPr>
      <w:rPr>
        <w:rFonts w:ascii="Courier New" w:hAnsi="Courier New" w:hint="default"/>
      </w:rPr>
    </w:lvl>
    <w:lvl w:ilvl="5" w:tplc="B8008522">
      <w:start w:val="1"/>
      <w:numFmt w:val="bullet"/>
      <w:lvlText w:val=""/>
      <w:lvlJc w:val="left"/>
      <w:pPr>
        <w:ind w:left="4320" w:hanging="360"/>
      </w:pPr>
      <w:rPr>
        <w:rFonts w:ascii="Wingdings" w:hAnsi="Wingdings" w:hint="default"/>
      </w:rPr>
    </w:lvl>
    <w:lvl w:ilvl="6" w:tplc="11EE35AE">
      <w:start w:val="1"/>
      <w:numFmt w:val="bullet"/>
      <w:lvlText w:val=""/>
      <w:lvlJc w:val="left"/>
      <w:pPr>
        <w:ind w:left="5040" w:hanging="360"/>
      </w:pPr>
      <w:rPr>
        <w:rFonts w:ascii="Symbol" w:hAnsi="Symbol" w:hint="default"/>
      </w:rPr>
    </w:lvl>
    <w:lvl w:ilvl="7" w:tplc="DCDA2EBC">
      <w:start w:val="1"/>
      <w:numFmt w:val="bullet"/>
      <w:lvlText w:val="o"/>
      <w:lvlJc w:val="left"/>
      <w:pPr>
        <w:ind w:left="5760" w:hanging="360"/>
      </w:pPr>
      <w:rPr>
        <w:rFonts w:ascii="Courier New" w:hAnsi="Courier New" w:hint="default"/>
      </w:rPr>
    </w:lvl>
    <w:lvl w:ilvl="8" w:tplc="378089C8">
      <w:start w:val="1"/>
      <w:numFmt w:val="bullet"/>
      <w:lvlText w:val=""/>
      <w:lvlJc w:val="left"/>
      <w:pPr>
        <w:ind w:left="6480" w:hanging="360"/>
      </w:pPr>
      <w:rPr>
        <w:rFonts w:ascii="Wingdings" w:hAnsi="Wingdings" w:hint="default"/>
      </w:rPr>
    </w:lvl>
  </w:abstractNum>
  <w:abstractNum w:abstractNumId="2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4AED2B8B"/>
    <w:multiLevelType w:val="hybridMultilevel"/>
    <w:tmpl w:val="471C5510"/>
    <w:lvl w:ilvl="0" w:tplc="CF5EF852">
      <w:start w:val="1"/>
      <w:numFmt w:val="bullet"/>
      <w:lvlText w:val="·"/>
      <w:lvlJc w:val="left"/>
      <w:pPr>
        <w:ind w:left="720" w:hanging="360"/>
      </w:pPr>
      <w:rPr>
        <w:rFonts w:ascii="Symbol" w:hAnsi="Symbol" w:hint="default"/>
      </w:rPr>
    </w:lvl>
    <w:lvl w:ilvl="1" w:tplc="ED0457AC">
      <w:start w:val="1"/>
      <w:numFmt w:val="bullet"/>
      <w:lvlText w:val="o"/>
      <w:lvlJc w:val="left"/>
      <w:pPr>
        <w:ind w:left="1440" w:hanging="360"/>
      </w:pPr>
      <w:rPr>
        <w:rFonts w:ascii="Courier New" w:hAnsi="Courier New" w:hint="default"/>
      </w:rPr>
    </w:lvl>
    <w:lvl w:ilvl="2" w:tplc="D47AEEBC">
      <w:start w:val="1"/>
      <w:numFmt w:val="bullet"/>
      <w:lvlText w:val=""/>
      <w:lvlJc w:val="left"/>
      <w:pPr>
        <w:ind w:left="2160" w:hanging="360"/>
      </w:pPr>
      <w:rPr>
        <w:rFonts w:ascii="Wingdings" w:hAnsi="Wingdings" w:hint="default"/>
      </w:rPr>
    </w:lvl>
    <w:lvl w:ilvl="3" w:tplc="39BC322E">
      <w:start w:val="1"/>
      <w:numFmt w:val="bullet"/>
      <w:lvlText w:val=""/>
      <w:lvlJc w:val="left"/>
      <w:pPr>
        <w:ind w:left="2880" w:hanging="360"/>
      </w:pPr>
      <w:rPr>
        <w:rFonts w:ascii="Symbol" w:hAnsi="Symbol" w:hint="default"/>
      </w:rPr>
    </w:lvl>
    <w:lvl w:ilvl="4" w:tplc="980C762E">
      <w:start w:val="1"/>
      <w:numFmt w:val="bullet"/>
      <w:lvlText w:val="o"/>
      <w:lvlJc w:val="left"/>
      <w:pPr>
        <w:ind w:left="3600" w:hanging="360"/>
      </w:pPr>
      <w:rPr>
        <w:rFonts w:ascii="Courier New" w:hAnsi="Courier New" w:hint="default"/>
      </w:rPr>
    </w:lvl>
    <w:lvl w:ilvl="5" w:tplc="3D1CE338">
      <w:start w:val="1"/>
      <w:numFmt w:val="bullet"/>
      <w:lvlText w:val=""/>
      <w:lvlJc w:val="left"/>
      <w:pPr>
        <w:ind w:left="4320" w:hanging="360"/>
      </w:pPr>
      <w:rPr>
        <w:rFonts w:ascii="Wingdings" w:hAnsi="Wingdings" w:hint="default"/>
      </w:rPr>
    </w:lvl>
    <w:lvl w:ilvl="6" w:tplc="70D4E4D2">
      <w:start w:val="1"/>
      <w:numFmt w:val="bullet"/>
      <w:lvlText w:val=""/>
      <w:lvlJc w:val="left"/>
      <w:pPr>
        <w:ind w:left="5040" w:hanging="360"/>
      </w:pPr>
      <w:rPr>
        <w:rFonts w:ascii="Symbol" w:hAnsi="Symbol" w:hint="default"/>
      </w:rPr>
    </w:lvl>
    <w:lvl w:ilvl="7" w:tplc="F67233A8">
      <w:start w:val="1"/>
      <w:numFmt w:val="bullet"/>
      <w:lvlText w:val="o"/>
      <w:lvlJc w:val="left"/>
      <w:pPr>
        <w:ind w:left="5760" w:hanging="360"/>
      </w:pPr>
      <w:rPr>
        <w:rFonts w:ascii="Courier New" w:hAnsi="Courier New" w:hint="default"/>
      </w:rPr>
    </w:lvl>
    <w:lvl w:ilvl="8" w:tplc="0E3A1082">
      <w:start w:val="1"/>
      <w:numFmt w:val="bullet"/>
      <w:lvlText w:val=""/>
      <w:lvlJc w:val="left"/>
      <w:pPr>
        <w:ind w:left="6480" w:hanging="360"/>
      </w:pPr>
      <w:rPr>
        <w:rFonts w:ascii="Wingdings" w:hAnsi="Wingdings" w:hint="default"/>
      </w:rPr>
    </w:lvl>
  </w:abstractNum>
  <w:abstractNum w:abstractNumId="28" w15:restartNumberingAfterBreak="0">
    <w:nsid w:val="4D574519"/>
    <w:multiLevelType w:val="hybridMultilevel"/>
    <w:tmpl w:val="12B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1F6ABF"/>
    <w:multiLevelType w:val="hybridMultilevel"/>
    <w:tmpl w:val="61347BFC"/>
    <w:lvl w:ilvl="0" w:tplc="C94C1BBC">
      <w:start w:val="3"/>
      <w:numFmt w:val="bullet"/>
      <w:lvlText w:val="–"/>
      <w:lvlJc w:val="left"/>
      <w:pPr>
        <w:ind w:left="1210" w:hanging="360"/>
      </w:pPr>
      <w:rPr>
        <w:rFonts w:ascii="Times New Roman" w:eastAsia="Calibri" w:hAnsi="Times New Roman" w:cs="Times New Roman"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9E6164A"/>
    <w:multiLevelType w:val="hybridMultilevel"/>
    <w:tmpl w:val="774E5854"/>
    <w:lvl w:ilvl="0" w:tplc="12A48E54">
      <w:start w:val="1"/>
      <w:numFmt w:val="bullet"/>
      <w:lvlText w:val="·"/>
      <w:lvlJc w:val="left"/>
      <w:pPr>
        <w:ind w:left="720" w:hanging="360"/>
      </w:pPr>
      <w:rPr>
        <w:rFonts w:ascii="Symbol" w:hAnsi="Symbol" w:hint="default"/>
      </w:rPr>
    </w:lvl>
    <w:lvl w:ilvl="1" w:tplc="BB16C39E">
      <w:start w:val="1"/>
      <w:numFmt w:val="bullet"/>
      <w:lvlText w:val="o"/>
      <w:lvlJc w:val="left"/>
      <w:pPr>
        <w:ind w:left="1440" w:hanging="360"/>
      </w:pPr>
      <w:rPr>
        <w:rFonts w:ascii="Courier New" w:hAnsi="Courier New" w:hint="default"/>
      </w:rPr>
    </w:lvl>
    <w:lvl w:ilvl="2" w:tplc="3DB60304">
      <w:start w:val="1"/>
      <w:numFmt w:val="bullet"/>
      <w:lvlText w:val=""/>
      <w:lvlJc w:val="left"/>
      <w:pPr>
        <w:ind w:left="2160" w:hanging="360"/>
      </w:pPr>
      <w:rPr>
        <w:rFonts w:ascii="Wingdings" w:hAnsi="Wingdings" w:hint="default"/>
      </w:rPr>
    </w:lvl>
    <w:lvl w:ilvl="3" w:tplc="FC866250">
      <w:start w:val="1"/>
      <w:numFmt w:val="bullet"/>
      <w:lvlText w:val=""/>
      <w:lvlJc w:val="left"/>
      <w:pPr>
        <w:ind w:left="2880" w:hanging="360"/>
      </w:pPr>
      <w:rPr>
        <w:rFonts w:ascii="Symbol" w:hAnsi="Symbol" w:hint="default"/>
      </w:rPr>
    </w:lvl>
    <w:lvl w:ilvl="4" w:tplc="FB348414">
      <w:start w:val="1"/>
      <w:numFmt w:val="bullet"/>
      <w:lvlText w:val="o"/>
      <w:lvlJc w:val="left"/>
      <w:pPr>
        <w:ind w:left="3600" w:hanging="360"/>
      </w:pPr>
      <w:rPr>
        <w:rFonts w:ascii="Courier New" w:hAnsi="Courier New" w:hint="default"/>
      </w:rPr>
    </w:lvl>
    <w:lvl w:ilvl="5" w:tplc="97226D14">
      <w:start w:val="1"/>
      <w:numFmt w:val="bullet"/>
      <w:lvlText w:val=""/>
      <w:lvlJc w:val="left"/>
      <w:pPr>
        <w:ind w:left="4320" w:hanging="360"/>
      </w:pPr>
      <w:rPr>
        <w:rFonts w:ascii="Wingdings" w:hAnsi="Wingdings" w:hint="default"/>
      </w:rPr>
    </w:lvl>
    <w:lvl w:ilvl="6" w:tplc="367E1066">
      <w:start w:val="1"/>
      <w:numFmt w:val="bullet"/>
      <w:lvlText w:val=""/>
      <w:lvlJc w:val="left"/>
      <w:pPr>
        <w:ind w:left="5040" w:hanging="360"/>
      </w:pPr>
      <w:rPr>
        <w:rFonts w:ascii="Symbol" w:hAnsi="Symbol" w:hint="default"/>
      </w:rPr>
    </w:lvl>
    <w:lvl w:ilvl="7" w:tplc="898661A4">
      <w:start w:val="1"/>
      <w:numFmt w:val="bullet"/>
      <w:lvlText w:val="o"/>
      <w:lvlJc w:val="left"/>
      <w:pPr>
        <w:ind w:left="5760" w:hanging="360"/>
      </w:pPr>
      <w:rPr>
        <w:rFonts w:ascii="Courier New" w:hAnsi="Courier New" w:hint="default"/>
      </w:rPr>
    </w:lvl>
    <w:lvl w:ilvl="8" w:tplc="48AEACB4">
      <w:start w:val="1"/>
      <w:numFmt w:val="bullet"/>
      <w:lvlText w:val=""/>
      <w:lvlJc w:val="left"/>
      <w:pPr>
        <w:ind w:left="6480" w:hanging="360"/>
      </w:pPr>
      <w:rPr>
        <w:rFonts w:ascii="Wingdings" w:hAnsi="Wingdings" w:hint="default"/>
      </w:rPr>
    </w:lvl>
  </w:abstractNum>
  <w:abstractNum w:abstractNumId="3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15:restartNumberingAfterBreak="0">
    <w:nsid w:val="5BFB66DB"/>
    <w:multiLevelType w:val="hybridMultilevel"/>
    <w:tmpl w:val="63B22BE4"/>
    <w:lvl w:ilvl="0" w:tplc="23A60898">
      <w:start w:val="1"/>
      <w:numFmt w:val="bullet"/>
      <w:lvlText w:val="·"/>
      <w:lvlJc w:val="left"/>
      <w:pPr>
        <w:ind w:left="720" w:hanging="360"/>
      </w:pPr>
      <w:rPr>
        <w:rFonts w:ascii="Symbol" w:hAnsi="Symbol" w:hint="default"/>
      </w:rPr>
    </w:lvl>
    <w:lvl w:ilvl="1" w:tplc="2138BDCA">
      <w:start w:val="1"/>
      <w:numFmt w:val="bullet"/>
      <w:lvlText w:val="o"/>
      <w:lvlJc w:val="left"/>
      <w:pPr>
        <w:ind w:left="1440" w:hanging="360"/>
      </w:pPr>
      <w:rPr>
        <w:rFonts w:ascii="Courier New" w:hAnsi="Courier New" w:hint="default"/>
      </w:rPr>
    </w:lvl>
    <w:lvl w:ilvl="2" w:tplc="74960E32">
      <w:start w:val="1"/>
      <w:numFmt w:val="bullet"/>
      <w:lvlText w:val=""/>
      <w:lvlJc w:val="left"/>
      <w:pPr>
        <w:ind w:left="2160" w:hanging="360"/>
      </w:pPr>
      <w:rPr>
        <w:rFonts w:ascii="Wingdings" w:hAnsi="Wingdings" w:hint="default"/>
      </w:rPr>
    </w:lvl>
    <w:lvl w:ilvl="3" w:tplc="1228C6DA">
      <w:start w:val="1"/>
      <w:numFmt w:val="bullet"/>
      <w:lvlText w:val=""/>
      <w:lvlJc w:val="left"/>
      <w:pPr>
        <w:ind w:left="2880" w:hanging="360"/>
      </w:pPr>
      <w:rPr>
        <w:rFonts w:ascii="Symbol" w:hAnsi="Symbol" w:hint="default"/>
      </w:rPr>
    </w:lvl>
    <w:lvl w:ilvl="4" w:tplc="0E226A60">
      <w:start w:val="1"/>
      <w:numFmt w:val="bullet"/>
      <w:lvlText w:val="o"/>
      <w:lvlJc w:val="left"/>
      <w:pPr>
        <w:ind w:left="3600" w:hanging="360"/>
      </w:pPr>
      <w:rPr>
        <w:rFonts w:ascii="Courier New" w:hAnsi="Courier New" w:hint="default"/>
      </w:rPr>
    </w:lvl>
    <w:lvl w:ilvl="5" w:tplc="6B7853A4">
      <w:start w:val="1"/>
      <w:numFmt w:val="bullet"/>
      <w:lvlText w:val=""/>
      <w:lvlJc w:val="left"/>
      <w:pPr>
        <w:ind w:left="4320" w:hanging="360"/>
      </w:pPr>
      <w:rPr>
        <w:rFonts w:ascii="Wingdings" w:hAnsi="Wingdings" w:hint="default"/>
      </w:rPr>
    </w:lvl>
    <w:lvl w:ilvl="6" w:tplc="24A06BC4">
      <w:start w:val="1"/>
      <w:numFmt w:val="bullet"/>
      <w:lvlText w:val=""/>
      <w:lvlJc w:val="left"/>
      <w:pPr>
        <w:ind w:left="5040" w:hanging="360"/>
      </w:pPr>
      <w:rPr>
        <w:rFonts w:ascii="Symbol" w:hAnsi="Symbol" w:hint="default"/>
      </w:rPr>
    </w:lvl>
    <w:lvl w:ilvl="7" w:tplc="B4047056">
      <w:start w:val="1"/>
      <w:numFmt w:val="bullet"/>
      <w:lvlText w:val="o"/>
      <w:lvlJc w:val="left"/>
      <w:pPr>
        <w:ind w:left="5760" w:hanging="360"/>
      </w:pPr>
      <w:rPr>
        <w:rFonts w:ascii="Courier New" w:hAnsi="Courier New" w:hint="default"/>
      </w:rPr>
    </w:lvl>
    <w:lvl w:ilvl="8" w:tplc="032ACD90">
      <w:start w:val="1"/>
      <w:numFmt w:val="bullet"/>
      <w:lvlText w:val=""/>
      <w:lvlJc w:val="left"/>
      <w:pPr>
        <w:ind w:left="6480" w:hanging="360"/>
      </w:pPr>
      <w:rPr>
        <w:rFonts w:ascii="Wingdings" w:hAnsi="Wingdings" w:hint="default"/>
      </w:rPr>
    </w:lvl>
  </w:abstractNum>
  <w:abstractNum w:abstractNumId="3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3840903"/>
    <w:multiLevelType w:val="hybridMultilevel"/>
    <w:tmpl w:val="E9EA4938"/>
    <w:lvl w:ilvl="0" w:tplc="6876FE28">
      <w:start w:val="1"/>
      <w:numFmt w:val="bullet"/>
      <w:lvlText w:val="·"/>
      <w:lvlJc w:val="left"/>
      <w:pPr>
        <w:ind w:left="720" w:hanging="360"/>
      </w:pPr>
      <w:rPr>
        <w:rFonts w:ascii="Symbol" w:hAnsi="Symbol" w:hint="default"/>
      </w:rPr>
    </w:lvl>
    <w:lvl w:ilvl="1" w:tplc="F7FE912C">
      <w:start w:val="1"/>
      <w:numFmt w:val="bullet"/>
      <w:lvlText w:val="o"/>
      <w:lvlJc w:val="left"/>
      <w:pPr>
        <w:ind w:left="1440" w:hanging="360"/>
      </w:pPr>
      <w:rPr>
        <w:rFonts w:ascii="Courier New" w:hAnsi="Courier New" w:hint="default"/>
      </w:rPr>
    </w:lvl>
    <w:lvl w:ilvl="2" w:tplc="B908DB5C">
      <w:start w:val="1"/>
      <w:numFmt w:val="bullet"/>
      <w:lvlText w:val=""/>
      <w:lvlJc w:val="left"/>
      <w:pPr>
        <w:ind w:left="2160" w:hanging="360"/>
      </w:pPr>
      <w:rPr>
        <w:rFonts w:ascii="Wingdings" w:hAnsi="Wingdings" w:hint="default"/>
      </w:rPr>
    </w:lvl>
    <w:lvl w:ilvl="3" w:tplc="06A647CE">
      <w:start w:val="1"/>
      <w:numFmt w:val="bullet"/>
      <w:lvlText w:val=""/>
      <w:lvlJc w:val="left"/>
      <w:pPr>
        <w:ind w:left="2880" w:hanging="360"/>
      </w:pPr>
      <w:rPr>
        <w:rFonts w:ascii="Symbol" w:hAnsi="Symbol" w:hint="default"/>
      </w:rPr>
    </w:lvl>
    <w:lvl w:ilvl="4" w:tplc="36D4DA56">
      <w:start w:val="1"/>
      <w:numFmt w:val="bullet"/>
      <w:lvlText w:val="o"/>
      <w:lvlJc w:val="left"/>
      <w:pPr>
        <w:ind w:left="3600" w:hanging="360"/>
      </w:pPr>
      <w:rPr>
        <w:rFonts w:ascii="Courier New" w:hAnsi="Courier New" w:hint="default"/>
      </w:rPr>
    </w:lvl>
    <w:lvl w:ilvl="5" w:tplc="B2306344">
      <w:start w:val="1"/>
      <w:numFmt w:val="bullet"/>
      <w:lvlText w:val=""/>
      <w:lvlJc w:val="left"/>
      <w:pPr>
        <w:ind w:left="4320" w:hanging="360"/>
      </w:pPr>
      <w:rPr>
        <w:rFonts w:ascii="Wingdings" w:hAnsi="Wingdings" w:hint="default"/>
      </w:rPr>
    </w:lvl>
    <w:lvl w:ilvl="6" w:tplc="BF686ABC">
      <w:start w:val="1"/>
      <w:numFmt w:val="bullet"/>
      <w:lvlText w:val=""/>
      <w:lvlJc w:val="left"/>
      <w:pPr>
        <w:ind w:left="5040" w:hanging="360"/>
      </w:pPr>
      <w:rPr>
        <w:rFonts w:ascii="Symbol" w:hAnsi="Symbol" w:hint="default"/>
      </w:rPr>
    </w:lvl>
    <w:lvl w:ilvl="7" w:tplc="3390898E">
      <w:start w:val="1"/>
      <w:numFmt w:val="bullet"/>
      <w:lvlText w:val="o"/>
      <w:lvlJc w:val="left"/>
      <w:pPr>
        <w:ind w:left="5760" w:hanging="360"/>
      </w:pPr>
      <w:rPr>
        <w:rFonts w:ascii="Courier New" w:hAnsi="Courier New" w:hint="default"/>
      </w:rPr>
    </w:lvl>
    <w:lvl w:ilvl="8" w:tplc="9FD8A56C">
      <w:start w:val="1"/>
      <w:numFmt w:val="bullet"/>
      <w:lvlText w:val=""/>
      <w:lvlJc w:val="left"/>
      <w:pPr>
        <w:ind w:left="6480" w:hanging="360"/>
      </w:pPr>
      <w:rPr>
        <w:rFonts w:ascii="Wingdings" w:hAnsi="Wingdings" w:hint="default"/>
      </w:rPr>
    </w:lvl>
  </w:abstractNum>
  <w:abstractNum w:abstractNumId="3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564676C"/>
    <w:multiLevelType w:val="hybridMultilevel"/>
    <w:tmpl w:val="F45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15:restartNumberingAfterBreak="0">
    <w:nsid w:val="69011131"/>
    <w:multiLevelType w:val="hybridMultilevel"/>
    <w:tmpl w:val="5FA8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57036B"/>
    <w:multiLevelType w:val="multilevel"/>
    <w:tmpl w:val="5690240C"/>
    <w:name w:val="NumPar2"/>
    <w:lvl w:ilvl="0">
      <w:start w:val="1"/>
      <w:numFmt w:val="decimal"/>
      <w:lvlText w:val="%1."/>
      <w:lvlJc w:val="left"/>
      <w:pPr>
        <w:ind w:left="-13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55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89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230" w:hanging="1800"/>
      </w:pPr>
      <w:rPr>
        <w:rFonts w:hint="default"/>
      </w:rPr>
    </w:lvl>
  </w:abstractNum>
  <w:abstractNum w:abstractNumId="42" w15:restartNumberingAfterBreak="0">
    <w:nsid w:val="709E295F"/>
    <w:multiLevelType w:val="hybridMultilevel"/>
    <w:tmpl w:val="C49E54D6"/>
    <w:lvl w:ilvl="0" w:tplc="00CE157E">
      <w:start w:val="1"/>
      <w:numFmt w:val="bullet"/>
      <w:lvlText w:val="·"/>
      <w:lvlJc w:val="left"/>
      <w:pPr>
        <w:ind w:left="720" w:hanging="360"/>
      </w:pPr>
      <w:rPr>
        <w:rFonts w:ascii="Symbol" w:hAnsi="Symbol" w:hint="default"/>
      </w:rPr>
    </w:lvl>
    <w:lvl w:ilvl="1" w:tplc="E5382716">
      <w:start w:val="1"/>
      <w:numFmt w:val="bullet"/>
      <w:lvlText w:val="o"/>
      <w:lvlJc w:val="left"/>
      <w:pPr>
        <w:ind w:left="1440" w:hanging="360"/>
      </w:pPr>
      <w:rPr>
        <w:rFonts w:ascii="Courier New" w:hAnsi="Courier New" w:hint="default"/>
      </w:rPr>
    </w:lvl>
    <w:lvl w:ilvl="2" w:tplc="021AEBE8">
      <w:start w:val="1"/>
      <w:numFmt w:val="bullet"/>
      <w:lvlText w:val=""/>
      <w:lvlJc w:val="left"/>
      <w:pPr>
        <w:ind w:left="2160" w:hanging="360"/>
      </w:pPr>
      <w:rPr>
        <w:rFonts w:ascii="Wingdings" w:hAnsi="Wingdings" w:hint="default"/>
      </w:rPr>
    </w:lvl>
    <w:lvl w:ilvl="3" w:tplc="E3D4EAEC">
      <w:start w:val="1"/>
      <w:numFmt w:val="bullet"/>
      <w:lvlText w:val=""/>
      <w:lvlJc w:val="left"/>
      <w:pPr>
        <w:ind w:left="2880" w:hanging="360"/>
      </w:pPr>
      <w:rPr>
        <w:rFonts w:ascii="Symbol" w:hAnsi="Symbol" w:hint="default"/>
      </w:rPr>
    </w:lvl>
    <w:lvl w:ilvl="4" w:tplc="0EDE967E">
      <w:start w:val="1"/>
      <w:numFmt w:val="bullet"/>
      <w:lvlText w:val="o"/>
      <w:lvlJc w:val="left"/>
      <w:pPr>
        <w:ind w:left="3600" w:hanging="360"/>
      </w:pPr>
      <w:rPr>
        <w:rFonts w:ascii="Courier New" w:hAnsi="Courier New" w:hint="default"/>
      </w:rPr>
    </w:lvl>
    <w:lvl w:ilvl="5" w:tplc="EB5E1184">
      <w:start w:val="1"/>
      <w:numFmt w:val="bullet"/>
      <w:lvlText w:val=""/>
      <w:lvlJc w:val="left"/>
      <w:pPr>
        <w:ind w:left="4320" w:hanging="360"/>
      </w:pPr>
      <w:rPr>
        <w:rFonts w:ascii="Wingdings" w:hAnsi="Wingdings" w:hint="default"/>
      </w:rPr>
    </w:lvl>
    <w:lvl w:ilvl="6" w:tplc="5AA87610">
      <w:start w:val="1"/>
      <w:numFmt w:val="bullet"/>
      <w:lvlText w:val=""/>
      <w:lvlJc w:val="left"/>
      <w:pPr>
        <w:ind w:left="5040" w:hanging="360"/>
      </w:pPr>
      <w:rPr>
        <w:rFonts w:ascii="Symbol" w:hAnsi="Symbol" w:hint="default"/>
      </w:rPr>
    </w:lvl>
    <w:lvl w:ilvl="7" w:tplc="E898D140">
      <w:start w:val="1"/>
      <w:numFmt w:val="bullet"/>
      <w:lvlText w:val="o"/>
      <w:lvlJc w:val="left"/>
      <w:pPr>
        <w:ind w:left="5760" w:hanging="360"/>
      </w:pPr>
      <w:rPr>
        <w:rFonts w:ascii="Courier New" w:hAnsi="Courier New" w:hint="default"/>
      </w:rPr>
    </w:lvl>
    <w:lvl w:ilvl="8" w:tplc="3072E41A">
      <w:start w:val="1"/>
      <w:numFmt w:val="bullet"/>
      <w:lvlText w:val=""/>
      <w:lvlJc w:val="left"/>
      <w:pPr>
        <w:ind w:left="6480" w:hanging="360"/>
      </w:pPr>
      <w:rPr>
        <w:rFonts w:ascii="Wingdings" w:hAnsi="Wingdings" w:hint="default"/>
      </w:rPr>
    </w:lvl>
  </w:abstractNum>
  <w:abstractNum w:abstractNumId="43" w15:restartNumberingAfterBreak="0">
    <w:nsid w:val="72991C8D"/>
    <w:multiLevelType w:val="hybridMultilevel"/>
    <w:tmpl w:val="EA08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CD2CB5"/>
    <w:multiLevelType w:val="hybridMultilevel"/>
    <w:tmpl w:val="AEBE2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35"/>
  </w:num>
  <w:num w:numId="11">
    <w:abstractNumId w:val="23"/>
  </w:num>
  <w:num w:numId="12">
    <w:abstractNumId w:val="39"/>
  </w:num>
  <w:num w:numId="13">
    <w:abstractNumId w:val="17"/>
  </w:num>
  <w:num w:numId="14">
    <w:abstractNumId w:val="24"/>
  </w:num>
  <w:num w:numId="15">
    <w:abstractNumId w:val="37"/>
  </w:num>
  <w:num w:numId="16">
    <w:abstractNumId w:val="11"/>
  </w:num>
  <w:num w:numId="17">
    <w:abstractNumId w:val="26"/>
  </w:num>
  <w:num w:numId="18">
    <w:abstractNumId w:val="32"/>
  </w:num>
  <w:num w:numId="19">
    <w:abstractNumId w:val="34"/>
  </w:num>
  <w:num w:numId="20">
    <w:abstractNumId w:val="16"/>
  </w:num>
  <w:num w:numId="21">
    <w:abstractNumId w:val="30"/>
  </w:num>
  <w:num w:numId="22">
    <w:abstractNumId w:val="43"/>
  </w:num>
  <w:num w:numId="23">
    <w:abstractNumId w:val="14"/>
  </w:num>
  <w:num w:numId="24">
    <w:abstractNumId w:val="28"/>
  </w:num>
  <w:num w:numId="25">
    <w:abstractNumId w:val="8"/>
  </w:num>
  <w:num w:numId="26">
    <w:abstractNumId w:val="20"/>
  </w:num>
  <w:num w:numId="27">
    <w:abstractNumId w:val="44"/>
  </w:num>
  <w:num w:numId="28">
    <w:abstractNumId w:val="36"/>
  </w:num>
  <w:num w:numId="29">
    <w:abstractNumId w:val="31"/>
  </w:num>
  <w:num w:numId="30">
    <w:abstractNumId w:val="29"/>
  </w:num>
  <w:num w:numId="31">
    <w:abstractNumId w:val="21"/>
  </w:num>
  <w:num w:numId="32">
    <w:abstractNumId w:val="38"/>
  </w:num>
  <w:num w:numId="33">
    <w:abstractNumId w:val="40"/>
  </w:num>
  <w:num w:numId="34">
    <w:abstractNumId w:val="9"/>
  </w:num>
  <w:num w:numId="35">
    <w:abstractNumId w:val="42"/>
  </w:num>
  <w:num w:numId="36">
    <w:abstractNumId w:val="19"/>
  </w:num>
  <w:num w:numId="37">
    <w:abstractNumId w:val="15"/>
  </w:num>
  <w:num w:numId="38">
    <w:abstractNumId w:val="12"/>
  </w:num>
  <w:num w:numId="39">
    <w:abstractNumId w:val="18"/>
  </w:num>
  <w:num w:numId="40">
    <w:abstractNumId w:val="22"/>
  </w:num>
  <w:num w:numId="41">
    <w:abstractNumId w:val="13"/>
  </w:num>
  <w:num w:numId="42">
    <w:abstractNumId w:val="33"/>
  </w:num>
  <w:num w:numId="43">
    <w:abstractNumId w:val="27"/>
  </w:num>
  <w:num w:numId="44">
    <w:abstractNumId w:val="25"/>
  </w:num>
  <w:num w:numId="45">
    <w:abstractNumId w:val="10"/>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ACCOMPAGNANT.CP" w:val="k"/>
    <w:docVar w:name="LW_ANNEX_NBR_FIRST" w:val="1"/>
    <w:docVar w:name="LW_ANNEX_NBR_LAST" w:val="1"/>
    <w:docVar w:name="LW_ANNEX_UNIQUE" w:val="1"/>
    <w:docVar w:name="LW_CORRIGENDUM" w:val="&lt;UNUSED&gt;"/>
    <w:docVar w:name="LW_COVERPAGE_EXISTS" w:val="True"/>
    <w:docVar w:name="LW_COVERPAGE_GUID" w:val="F41537C2-A234-4759-BF06-67DD6DF001FA"/>
    <w:docVar w:name="LW_COVERPAGE_TYPE" w:val="1"/>
    <w:docVar w:name="LW_CROSSREFERENCE" w:val="{SWD(2021) 161 final}"/>
    <w:docVar w:name="LW_DocType" w:val="NORMAL"/>
    <w:docVar w:name="LW_EMISSION" w:val="21.6.2021"/>
    <w:docVar w:name="LW_EMISSION_ISODATE" w:val="2021-06-21"/>
    <w:docVar w:name="LW_EMISSION_LOCATION" w:val="BRX"/>
    <w:docVar w:name="LW_EMISSION_PREFIX" w:val="Bruselj, "/>
    <w:docVar w:name="LW_EMISSION_SUFFIX" w:val=" "/>
    <w:docVar w:name="LW_ID_DOCTYPE_NONLW" w:val="CP-036"/>
    <w:docVar w:name="LW_LANGUE" w:val="SL"/>
    <w:docVar w:name="LW_LEVEL_OF_SENSITIVITY" w:val="Standard treatment"/>
    <w:docVar w:name="LW_NOM.INST" w:val="EVROPSKA KOMISIJA"/>
    <w:docVar w:name="LW_NOM.INST_JOINTDOC" w:val="&lt;EMPTY&gt;"/>
    <w:docVar w:name="LW_OBJETACTEPRINCIPAL.CP" w:val="o odobritvi ocene na\u269?rta za okrevanje in odpornost za Slova\u353?ko"/>
    <w:docVar w:name="LW_PART_NBR" w:val="1"/>
    <w:docVar w:name="LW_PART_NBR_TOTAL" w:val="1"/>
    <w:docVar w:name="LW_REF.INST.NEW" w:val="COM"/>
    <w:docVar w:name="LW_REF.INST.NEW_ADOPTED" w:val="final"/>
    <w:docVar w:name="LW_REF.INST.NEW_TEXT" w:val="(2021) 3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LOGA_x000b_"/>
    <w:docVar w:name="LW_TYPEACTEPRINCIPAL.CP" w:val="predlogu izvedbenega sklepa Sveta"/>
    <w:docVar w:name="LwApiVersions" w:val="LW4CoDe 1.23.0.0; LW 8.0, Build 20210114"/>
  </w:docVars>
  <w:rsids>
    <w:rsidRoot w:val="009B5602"/>
    <w:rsid w:val="00886830"/>
    <w:rsid w:val="009B5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AC27D68-26DD-4E45-A8E0-1CE5C6D0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sl-SI"/>
    </w:rPr>
  </w:style>
  <w:style w:type="paragraph" w:styleId="Heading1">
    <w:name w:val="heading 1"/>
    <w:basedOn w:val="Normal"/>
    <w:next w:val="Text1"/>
    <w:link w:val="Heading1Char"/>
    <w:uiPriority w:val="9"/>
    <w:qFormat/>
    <w:pPr>
      <w:keepNext/>
      <w:numPr>
        <w:numId w:val="15"/>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5"/>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semiHidden/>
    <w:unhideWhenUsed/>
    <w:qFormat/>
    <w:pPr>
      <w:keepNext/>
      <w:numPr>
        <w:ilvl w:val="2"/>
        <w:numId w:val="15"/>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semiHidden/>
    <w:unhideWhenUsed/>
    <w:qFormat/>
    <w:pPr>
      <w:keepNext/>
      <w:numPr>
        <w:ilvl w:val="3"/>
        <w:numId w:val="15"/>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rPr>
  </w:style>
  <w:style w:type="character" w:customStyle="1" w:styleId="Heading2Char">
    <w:name w:val="Heading 2 Char"/>
    <w:link w:val="Heading2"/>
    <w:uiPriority w:val="9"/>
    <w:semiHidden/>
    <w:rPr>
      <w:rFonts w:ascii="Times New Roman" w:eastAsia="Times New Roman" w:hAnsi="Times New Roman" w:cs="Times New Roman"/>
      <w:b/>
      <w:bCs/>
      <w:sz w:val="24"/>
      <w:szCs w:val="26"/>
    </w:rPr>
  </w:style>
  <w:style w:type="character" w:customStyle="1" w:styleId="Heading3Char">
    <w:name w:val="Heading 3 Char"/>
    <w:link w:val="Heading3"/>
    <w:uiPriority w:val="9"/>
    <w:semiHidden/>
    <w:rPr>
      <w:rFonts w:ascii="Times New Roman" w:eastAsia="Times New Roman" w:hAnsi="Times New Roman" w:cs="Times New Roman"/>
      <w:bCs/>
      <w:i/>
      <w:sz w:val="24"/>
    </w:rPr>
  </w:style>
  <w:style w:type="character" w:customStyle="1" w:styleId="Heading4Char">
    <w:name w:val="Heading 4 Char"/>
    <w:link w:val="Heading4"/>
    <w:uiPriority w:val="9"/>
    <w:semiHidden/>
    <w:rPr>
      <w:rFonts w:ascii="Times New Roman" w:eastAsia="Times New Roman" w:hAnsi="Times New Roman" w:cs="Times New Roman"/>
      <w:bCs/>
      <w:iCs/>
      <w:sz w:val="24"/>
    </w:rPr>
  </w:style>
  <w:style w:type="numbering" w:customStyle="1" w:styleId="NoList1">
    <w:name w:val="No List1"/>
    <w:next w:val="NoList"/>
    <w:uiPriority w:val="99"/>
    <w:semiHidden/>
    <w:unhideWhenUsed/>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sz w:val="20"/>
      <w:szCs w:val="20"/>
    </w:rPr>
  </w:style>
  <w:style w:type="character" w:customStyle="1" w:styleId="CommentTextChar">
    <w:name w:val="Comment Text Char"/>
    <w:link w:val="CommentText"/>
    <w:uiPriority w:val="99"/>
    <w:rPr>
      <w:rFonts w:ascii="Times New Roman"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Pr>
      <w:lang w:val="sl-SI"/>
    </w:rPr>
  </w:style>
  <w:style w:type="character" w:styleId="IntenseEmphasis">
    <w:name w:val="Intense Emphasis"/>
    <w:uiPriority w:val="21"/>
    <w:qFormat/>
    <w:rPr>
      <w:i/>
      <w:iCs/>
      <w:color w:val="4F81BD"/>
    </w:rPr>
  </w:style>
  <w:style w:type="paragraph" w:styleId="BalloonText">
    <w:name w:val="Balloon Text"/>
    <w:basedOn w:val="Normal"/>
    <w:link w:val="BalloonTextChar"/>
    <w:uiPriority w:val="99"/>
    <w:semiHidden/>
    <w:unhideWhenUsed/>
    <w:pPr>
      <w:spacing w:after="0" w:line="240" w:lineRule="auto"/>
      <w:jc w:val="both"/>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ListBullet">
    <w:name w:val="List Bullet"/>
    <w:basedOn w:val="Normal"/>
    <w:uiPriority w:val="99"/>
    <w:semiHidden/>
    <w:unhideWhenUsed/>
    <w:pPr>
      <w:numPr>
        <w:numId w:val="1"/>
      </w:numPr>
      <w:spacing w:before="120" w:after="120" w:line="240" w:lineRule="auto"/>
      <w:contextualSpacing/>
      <w:jc w:val="both"/>
    </w:pPr>
    <w:rPr>
      <w:rFonts w:ascii="Times New Roman" w:hAnsi="Times New Roman"/>
      <w:sz w:val="24"/>
    </w:rPr>
  </w:style>
  <w:style w:type="paragraph" w:styleId="ListBullet2">
    <w:name w:val="List Bullet 2"/>
    <w:basedOn w:val="Normal"/>
    <w:uiPriority w:val="99"/>
    <w:semiHidden/>
    <w:unhideWhenUsed/>
    <w:pPr>
      <w:numPr>
        <w:numId w:val="2"/>
      </w:numPr>
      <w:spacing w:before="120" w:after="120" w:line="240" w:lineRule="auto"/>
      <w:contextualSpacing/>
      <w:jc w:val="both"/>
    </w:pPr>
    <w:rPr>
      <w:rFonts w:ascii="Times New Roman" w:hAnsi="Times New Roman"/>
      <w:sz w:val="24"/>
    </w:rPr>
  </w:style>
  <w:style w:type="paragraph" w:styleId="ListBullet3">
    <w:name w:val="List Bullet 3"/>
    <w:basedOn w:val="Normal"/>
    <w:uiPriority w:val="99"/>
    <w:semiHidden/>
    <w:unhideWhenUsed/>
    <w:pPr>
      <w:numPr>
        <w:numId w:val="3"/>
      </w:numPr>
      <w:spacing w:before="120" w:after="120" w:line="240" w:lineRule="auto"/>
      <w:contextualSpacing/>
      <w:jc w:val="both"/>
    </w:pPr>
    <w:rPr>
      <w:rFonts w:ascii="Times New Roman" w:hAnsi="Times New Roman"/>
      <w:sz w:val="24"/>
    </w:rPr>
  </w:style>
  <w:style w:type="paragraph" w:styleId="ListBullet4">
    <w:name w:val="List Bullet 4"/>
    <w:basedOn w:val="Normal"/>
    <w:uiPriority w:val="99"/>
    <w:semiHidden/>
    <w:unhideWhenUsed/>
    <w:pPr>
      <w:numPr>
        <w:numId w:val="4"/>
      </w:numPr>
      <w:spacing w:before="120" w:after="120" w:line="240" w:lineRule="auto"/>
      <w:contextualSpacing/>
      <w:jc w:val="both"/>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rPr>
  </w:style>
  <w:style w:type="paragraph" w:styleId="Revision">
    <w:name w:val="Revision"/>
    <w:hidden/>
    <w:uiPriority w:val="99"/>
    <w:semiHidden/>
    <w:rPr>
      <w:rFonts w:ascii="Times New Roman" w:hAnsi="Times New Roman"/>
      <w:sz w:val="24"/>
      <w:szCs w:val="22"/>
      <w:lang w:val="sl-SI"/>
    </w:rPr>
  </w:style>
  <w:style w:type="paragraph" w:styleId="Caption">
    <w:name w:val="caption"/>
    <w:basedOn w:val="Normal"/>
    <w:next w:val="Normal"/>
    <w:uiPriority w:val="35"/>
    <w:semiHidden/>
    <w:unhideWhenUsed/>
    <w:qFormat/>
    <w:pPr>
      <w:spacing w:line="240" w:lineRule="auto"/>
      <w:jc w:val="both"/>
    </w:pPr>
    <w:rPr>
      <w:rFonts w:ascii="Times New Roman" w:hAnsi="Times New Roman"/>
      <w:i/>
      <w:iCs/>
      <w:color w:val="1F497D"/>
      <w:sz w:val="18"/>
      <w:szCs w:val="18"/>
    </w:rPr>
  </w:style>
  <w:style w:type="paragraph" w:styleId="TableofFigures">
    <w:name w:val="table of figures"/>
    <w:basedOn w:val="Normal"/>
    <w:next w:val="Normal"/>
    <w:uiPriority w:val="99"/>
    <w:semiHidden/>
    <w:unhideWhenUsed/>
    <w:pPr>
      <w:spacing w:before="120" w:after="0" w:line="240" w:lineRule="auto"/>
      <w:jc w:val="both"/>
    </w:pPr>
    <w:rPr>
      <w:rFonts w:ascii="Times New Roman" w:hAnsi="Times New Roman"/>
      <w:sz w:val="24"/>
    </w:rPr>
  </w:style>
  <w:style w:type="paragraph" w:styleId="ListNumber">
    <w:name w:val="List Number"/>
    <w:basedOn w:val="Normal"/>
    <w:uiPriority w:val="99"/>
    <w:semiHidden/>
    <w:unhideWhenUsed/>
    <w:pPr>
      <w:numPr>
        <w:numId w:val="6"/>
      </w:numPr>
      <w:spacing w:before="120" w:after="120" w:line="240" w:lineRule="auto"/>
      <w:contextualSpacing/>
      <w:jc w:val="both"/>
    </w:pPr>
    <w:rPr>
      <w:rFonts w:ascii="Times New Roman" w:hAnsi="Times New Roman"/>
      <w:sz w:val="24"/>
    </w:rPr>
  </w:style>
  <w:style w:type="paragraph" w:styleId="ListNumber2">
    <w:name w:val="List Number 2"/>
    <w:basedOn w:val="Normal"/>
    <w:uiPriority w:val="99"/>
    <w:semiHidden/>
    <w:unhideWhenUsed/>
    <w:pPr>
      <w:numPr>
        <w:numId w:val="7"/>
      </w:numPr>
      <w:spacing w:before="120" w:after="120" w:line="240" w:lineRule="auto"/>
      <w:contextualSpacing/>
      <w:jc w:val="both"/>
    </w:pPr>
    <w:rPr>
      <w:rFonts w:ascii="Times New Roman" w:hAnsi="Times New Roman"/>
      <w:sz w:val="24"/>
    </w:rPr>
  </w:style>
  <w:style w:type="paragraph" w:styleId="ListNumber3">
    <w:name w:val="List Number 3"/>
    <w:basedOn w:val="Normal"/>
    <w:uiPriority w:val="99"/>
    <w:semiHidden/>
    <w:unhideWhenUsed/>
    <w:pPr>
      <w:numPr>
        <w:numId w:val="8"/>
      </w:numPr>
      <w:spacing w:before="120" w:after="120" w:line="240" w:lineRule="auto"/>
      <w:contextualSpacing/>
      <w:jc w:val="both"/>
    </w:pPr>
    <w:rPr>
      <w:rFonts w:ascii="Times New Roman" w:hAnsi="Times New Roman"/>
      <w:sz w:val="24"/>
    </w:rPr>
  </w:style>
  <w:style w:type="paragraph" w:styleId="ListNumber4">
    <w:name w:val="List Number 4"/>
    <w:basedOn w:val="Normal"/>
    <w:uiPriority w:val="99"/>
    <w:semiHidden/>
    <w:unhideWhenUsed/>
    <w:pPr>
      <w:numPr>
        <w:numId w:val="9"/>
      </w:numPr>
      <w:spacing w:before="120" w:after="120" w:line="240" w:lineRule="auto"/>
      <w:contextualSpacing/>
      <w:jc w:val="both"/>
    </w:pPr>
    <w:rPr>
      <w:rFonts w:ascii="Times New Roman" w:hAnsi="Times New Roman"/>
      <w:sz w:val="24"/>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Text1">
    <w:name w:val="Text 1"/>
    <w:basedOn w:val="Normal"/>
    <w:pPr>
      <w:spacing w:before="120" w:after="120" w:line="240" w:lineRule="auto"/>
      <w:ind w:left="850"/>
      <w:jc w:val="both"/>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hAnsi="Times New Roman"/>
      <w:sz w:val="24"/>
    </w:rPr>
  </w:style>
  <w:style w:type="paragraph" w:customStyle="1" w:styleId="Text3">
    <w:name w:val="Text 3"/>
    <w:basedOn w:val="Normal"/>
    <w:pPr>
      <w:spacing w:before="120" w:after="120" w:line="240" w:lineRule="auto"/>
      <w:ind w:left="1984"/>
      <w:jc w:val="both"/>
    </w:pPr>
    <w:rPr>
      <w:rFonts w:ascii="Times New Roman" w:hAnsi="Times New Roman"/>
      <w:sz w:val="24"/>
    </w:rPr>
  </w:style>
  <w:style w:type="paragraph" w:customStyle="1" w:styleId="Text4">
    <w:name w:val="Text 4"/>
    <w:basedOn w:val="Normal"/>
    <w:pPr>
      <w:spacing w:before="120" w:after="120" w:line="240" w:lineRule="auto"/>
      <w:ind w:left="2551"/>
      <w:jc w:val="both"/>
    </w:pPr>
    <w:rPr>
      <w:rFonts w:ascii="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sz w:val="24"/>
    </w:rPr>
  </w:style>
  <w:style w:type="paragraph" w:customStyle="1" w:styleId="NormalLeft">
    <w:name w:val="Normal Left"/>
    <w:basedOn w:val="Normal"/>
    <w:pPr>
      <w:spacing w:before="120" w:after="120" w:line="240" w:lineRule="auto"/>
    </w:pPr>
    <w:rPr>
      <w:rFonts w:ascii="Times New Roman" w:hAnsi="Times New Roman"/>
      <w:sz w:val="24"/>
    </w:rPr>
  </w:style>
  <w:style w:type="paragraph" w:customStyle="1" w:styleId="NormalRight">
    <w:name w:val="Normal Right"/>
    <w:basedOn w:val="Normal"/>
    <w:pPr>
      <w:spacing w:before="120" w:after="120" w:line="240" w:lineRule="auto"/>
      <w:jc w:val="right"/>
    </w:pPr>
    <w:rPr>
      <w:rFonts w:ascii="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sz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sz w:val="24"/>
    </w:rPr>
  </w:style>
  <w:style w:type="paragraph" w:customStyle="1" w:styleId="NumPar1">
    <w:name w:val="NumPar 1"/>
    <w:basedOn w:val="Normal"/>
    <w:next w:val="Text1"/>
    <w:pPr>
      <w:numPr>
        <w:numId w:val="5"/>
      </w:numPr>
      <w:spacing w:before="120" w:after="120" w:line="240" w:lineRule="auto"/>
      <w:jc w:val="both"/>
    </w:pPr>
    <w:rPr>
      <w:rFonts w:ascii="Times New Roman" w:hAnsi="Times New Roman"/>
      <w:sz w:val="24"/>
    </w:rPr>
  </w:style>
  <w:style w:type="paragraph" w:customStyle="1" w:styleId="NumPar2">
    <w:name w:val="NumPar 2"/>
    <w:basedOn w:val="Normal"/>
    <w:next w:val="Text1"/>
    <w:pPr>
      <w:numPr>
        <w:ilvl w:val="1"/>
        <w:numId w:val="5"/>
      </w:numPr>
      <w:spacing w:before="120" w:after="120" w:line="240" w:lineRule="auto"/>
      <w:jc w:val="both"/>
    </w:pPr>
    <w:rPr>
      <w:rFonts w:ascii="Times New Roman" w:hAnsi="Times New Roman"/>
      <w:sz w:val="24"/>
    </w:rPr>
  </w:style>
  <w:style w:type="paragraph" w:customStyle="1" w:styleId="NumPar3">
    <w:name w:val="NumPar 3"/>
    <w:basedOn w:val="Normal"/>
    <w:next w:val="Text1"/>
    <w:pPr>
      <w:numPr>
        <w:ilvl w:val="2"/>
        <w:numId w:val="5"/>
      </w:numPr>
      <w:spacing w:before="120" w:after="120" w:line="240" w:lineRule="auto"/>
      <w:jc w:val="both"/>
    </w:pPr>
    <w:rPr>
      <w:rFonts w:ascii="Times New Roman" w:hAnsi="Times New Roman"/>
      <w:sz w:val="24"/>
    </w:rPr>
  </w:style>
  <w:style w:type="paragraph" w:customStyle="1" w:styleId="NumPar4">
    <w:name w:val="NumPar 4"/>
    <w:basedOn w:val="Normal"/>
    <w:next w:val="Text1"/>
    <w:pPr>
      <w:numPr>
        <w:ilvl w:val="3"/>
        <w:numId w:val="5"/>
      </w:numPr>
      <w:spacing w:before="120" w:after="120" w:line="240" w:lineRule="auto"/>
      <w:jc w:val="both"/>
    </w:pPr>
    <w:rPr>
      <w:rFonts w:ascii="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hAnsi="Times New Roman"/>
      <w:sz w:val="24"/>
    </w:rPr>
  </w:style>
  <w:style w:type="paragraph" w:customStyle="1" w:styleId="Point1number">
    <w:name w:val="Point 1 (number)"/>
    <w:basedOn w:val="Normal"/>
    <w:pPr>
      <w:numPr>
        <w:ilvl w:val="2"/>
        <w:numId w:val="16"/>
      </w:numPr>
      <w:spacing w:before="120" w:after="120" w:line="240" w:lineRule="auto"/>
      <w:jc w:val="both"/>
    </w:pPr>
    <w:rPr>
      <w:rFonts w:ascii="Times New Roman" w:hAnsi="Times New Roman"/>
      <w:sz w:val="24"/>
    </w:rPr>
  </w:style>
  <w:style w:type="paragraph" w:customStyle="1" w:styleId="Point2number">
    <w:name w:val="Point 2 (number)"/>
    <w:basedOn w:val="Normal"/>
    <w:pPr>
      <w:numPr>
        <w:ilvl w:val="4"/>
        <w:numId w:val="16"/>
      </w:numPr>
      <w:spacing w:before="120" w:after="120" w:line="240" w:lineRule="auto"/>
      <w:jc w:val="both"/>
    </w:pPr>
    <w:rPr>
      <w:rFonts w:ascii="Times New Roman" w:hAnsi="Times New Roman"/>
      <w:sz w:val="24"/>
    </w:rPr>
  </w:style>
  <w:style w:type="paragraph" w:customStyle="1" w:styleId="Point3number">
    <w:name w:val="Point 3 (number)"/>
    <w:basedOn w:val="Normal"/>
    <w:pPr>
      <w:numPr>
        <w:ilvl w:val="6"/>
        <w:numId w:val="16"/>
      </w:numPr>
      <w:spacing w:before="120" w:after="120" w:line="240" w:lineRule="auto"/>
      <w:jc w:val="both"/>
    </w:pPr>
    <w:rPr>
      <w:rFonts w:ascii="Times New Roman" w:hAnsi="Times New Roman"/>
      <w:sz w:val="24"/>
    </w:rPr>
  </w:style>
  <w:style w:type="paragraph" w:customStyle="1" w:styleId="Point0letter">
    <w:name w:val="Point 0 (letter)"/>
    <w:basedOn w:val="Normal"/>
    <w:pPr>
      <w:numPr>
        <w:ilvl w:val="1"/>
        <w:numId w:val="16"/>
      </w:numPr>
      <w:spacing w:before="120" w:after="120" w:line="240" w:lineRule="auto"/>
      <w:jc w:val="both"/>
    </w:pPr>
    <w:rPr>
      <w:rFonts w:ascii="Times New Roman" w:hAnsi="Times New Roman"/>
      <w:sz w:val="24"/>
    </w:rPr>
  </w:style>
  <w:style w:type="paragraph" w:customStyle="1" w:styleId="Point1letter">
    <w:name w:val="Point 1 (letter)"/>
    <w:basedOn w:val="Normal"/>
    <w:pPr>
      <w:numPr>
        <w:ilvl w:val="3"/>
        <w:numId w:val="16"/>
      </w:numPr>
      <w:spacing w:before="120" w:after="120" w:line="240" w:lineRule="auto"/>
      <w:jc w:val="both"/>
    </w:pPr>
    <w:rPr>
      <w:rFonts w:ascii="Times New Roman" w:hAnsi="Times New Roman"/>
      <w:sz w:val="24"/>
    </w:rPr>
  </w:style>
  <w:style w:type="paragraph" w:customStyle="1" w:styleId="Point2letter">
    <w:name w:val="Point 2 (letter)"/>
    <w:basedOn w:val="Normal"/>
    <w:pPr>
      <w:numPr>
        <w:ilvl w:val="5"/>
        <w:numId w:val="16"/>
      </w:numPr>
      <w:spacing w:before="120" w:after="120" w:line="240" w:lineRule="auto"/>
      <w:jc w:val="both"/>
    </w:pPr>
    <w:rPr>
      <w:rFonts w:ascii="Times New Roman" w:hAnsi="Times New Roman"/>
      <w:sz w:val="24"/>
    </w:rPr>
  </w:style>
  <w:style w:type="paragraph" w:customStyle="1" w:styleId="Point3letter">
    <w:name w:val="Point 3 (letter)"/>
    <w:basedOn w:val="Normal"/>
    <w:pPr>
      <w:numPr>
        <w:ilvl w:val="7"/>
        <w:numId w:val="16"/>
      </w:numPr>
      <w:spacing w:before="120" w:after="120" w:line="240" w:lineRule="auto"/>
      <w:jc w:val="both"/>
    </w:pPr>
    <w:rPr>
      <w:rFonts w:ascii="Times New Roman" w:hAnsi="Times New Roman"/>
      <w:sz w:val="24"/>
    </w:rPr>
  </w:style>
  <w:style w:type="paragraph" w:customStyle="1" w:styleId="Point4letter">
    <w:name w:val="Point 4 (letter)"/>
    <w:basedOn w:val="Normal"/>
    <w:pPr>
      <w:numPr>
        <w:ilvl w:val="8"/>
        <w:numId w:val="16"/>
      </w:numPr>
      <w:spacing w:before="120" w:after="120" w:line="240" w:lineRule="auto"/>
      <w:jc w:val="both"/>
    </w:pPr>
    <w:rPr>
      <w:rFonts w:ascii="Times New Roman" w:hAnsi="Times New Roman"/>
      <w:sz w:val="24"/>
    </w:rPr>
  </w:style>
  <w:style w:type="paragraph" w:customStyle="1" w:styleId="Bullet0">
    <w:name w:val="Bullet 0"/>
    <w:basedOn w:val="Normal"/>
    <w:pPr>
      <w:numPr>
        <w:numId w:val="17"/>
      </w:numPr>
      <w:spacing w:before="120" w:after="120" w:line="240" w:lineRule="auto"/>
      <w:jc w:val="both"/>
    </w:pPr>
    <w:rPr>
      <w:rFonts w:ascii="Times New Roman" w:hAnsi="Times New Roman"/>
      <w:sz w:val="24"/>
    </w:rPr>
  </w:style>
  <w:style w:type="paragraph" w:customStyle="1" w:styleId="Bullet1">
    <w:name w:val="Bullet 1"/>
    <w:basedOn w:val="Normal"/>
    <w:pPr>
      <w:numPr>
        <w:numId w:val="18"/>
      </w:numPr>
      <w:spacing w:before="120" w:after="120" w:line="240" w:lineRule="auto"/>
      <w:jc w:val="both"/>
    </w:pPr>
    <w:rPr>
      <w:rFonts w:ascii="Times New Roman" w:hAnsi="Times New Roman"/>
      <w:sz w:val="24"/>
    </w:rPr>
  </w:style>
  <w:style w:type="paragraph" w:customStyle="1" w:styleId="Bullet2">
    <w:name w:val="Bullet 2"/>
    <w:basedOn w:val="Normal"/>
    <w:pPr>
      <w:numPr>
        <w:numId w:val="19"/>
      </w:numPr>
      <w:spacing w:before="120" w:after="120" w:line="240" w:lineRule="auto"/>
      <w:jc w:val="both"/>
    </w:pPr>
    <w:rPr>
      <w:rFonts w:ascii="Times New Roman" w:hAnsi="Times New Roman"/>
      <w:sz w:val="24"/>
    </w:rPr>
  </w:style>
  <w:style w:type="paragraph" w:customStyle="1" w:styleId="Bullet3">
    <w:name w:val="Bullet 3"/>
    <w:basedOn w:val="Normal"/>
    <w:pPr>
      <w:numPr>
        <w:numId w:val="20"/>
      </w:numPr>
      <w:spacing w:before="120" w:after="120" w:line="240" w:lineRule="auto"/>
      <w:jc w:val="both"/>
    </w:pPr>
    <w:rPr>
      <w:rFonts w:ascii="Times New Roman" w:hAnsi="Times New Roman"/>
      <w:sz w:val="24"/>
    </w:rPr>
  </w:style>
  <w:style w:type="paragraph" w:customStyle="1" w:styleId="Bullet4">
    <w:name w:val="Bullet 4"/>
    <w:basedOn w:val="Normal"/>
    <w:pPr>
      <w:numPr>
        <w:numId w:val="21"/>
      </w:numPr>
      <w:spacing w:before="120" w:after="120" w:line="240" w:lineRule="auto"/>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sz w:val="24"/>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ind w:left="5103"/>
    </w:pPr>
    <w:rPr>
      <w:rFonts w:ascii="Times New Roman" w:hAnsi="Times New Roman"/>
      <w:sz w:val="28"/>
    </w:rPr>
  </w:style>
  <w:style w:type="paragraph" w:customStyle="1" w:styleId="DateMarking">
    <w:name w:val="DateMarking"/>
    <w:basedOn w:val="Normal"/>
    <w:pPr>
      <w:spacing w:after="0"/>
      <w:ind w:left="5103"/>
    </w:pPr>
    <w:rPr>
      <w:rFonts w:ascii="Times New Roman" w:hAnsi="Times New Roman"/>
      <w:i/>
      <w:sz w:val="28"/>
    </w:rPr>
  </w:style>
  <w:style w:type="paragraph" w:customStyle="1" w:styleId="ReleasableTo">
    <w:name w:val="ReleasableTo"/>
    <w:basedOn w:val="Normal"/>
    <w:pPr>
      <w:spacing w:after="0"/>
      <w:ind w:left="5103"/>
    </w:pPr>
    <w:rPr>
      <w:rFonts w:ascii="Times New Roman" w:hAnsi="Times New Roman"/>
      <w:i/>
      <w:sz w:val="28"/>
    </w:rPr>
  </w:style>
  <w:style w:type="paragraph" w:customStyle="1" w:styleId="Annexetitreexpos">
    <w:name w:val="Annexe titre (exposé)"/>
    <w:basedOn w:val="Normal"/>
    <w:next w:val="Normal"/>
    <w:pPr>
      <w:spacing w:before="120" w:after="120" w:line="240" w:lineRule="auto"/>
      <w:jc w:val="center"/>
    </w:pPr>
    <w:rPr>
      <w:rFonts w:ascii="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i/>
      <w:sz w:val="32"/>
    </w:rPr>
  </w:style>
  <w:style w:type="paragraph" w:customStyle="1" w:styleId="Considrant">
    <w:name w:val="Considérant"/>
    <w:basedOn w:val="Normal"/>
    <w:pPr>
      <w:tabs>
        <w:tab w:val="num" w:pos="709"/>
      </w:tabs>
      <w:spacing w:before="120" w:after="120" w:line="240" w:lineRule="auto"/>
      <w:ind w:left="709" w:hanging="709"/>
      <w:jc w:val="both"/>
    </w:pPr>
    <w:rPr>
      <w:rFonts w:ascii="Times New Roman" w:hAnsi="Times New Roman"/>
      <w:sz w:val="24"/>
    </w:rPr>
  </w:style>
  <w:style w:type="paragraph" w:customStyle="1" w:styleId="Corrigendum">
    <w:name w:val="Corrigendum"/>
    <w:basedOn w:val="Normal"/>
    <w:next w:val="Normal"/>
    <w:pPr>
      <w:spacing w:after="240" w:line="240" w:lineRule="auto"/>
    </w:pPr>
    <w:rPr>
      <w:rFonts w:ascii="Times New Roman" w:hAnsi="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sz w:val="24"/>
    </w:rPr>
  </w:style>
  <w:style w:type="paragraph" w:customStyle="1" w:styleId="Statut">
    <w:name w:val="Statut"/>
    <w:basedOn w:val="Normal"/>
    <w:next w:val="Typedudocument"/>
    <w:pPr>
      <w:spacing w:after="240" w:line="240" w:lineRule="auto"/>
      <w:jc w:val="center"/>
    </w:pPr>
    <w:rPr>
      <w:rFonts w:ascii="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sz w:val="24"/>
    </w:rPr>
  </w:style>
  <w:style w:type="paragraph" w:customStyle="1" w:styleId="Rfrencecroise">
    <w:name w:val="Référence croisée"/>
    <w:basedOn w:val="Normal"/>
    <w:pPr>
      <w:spacing w:after="0" w:line="240" w:lineRule="auto"/>
      <w:jc w:val="center"/>
    </w:pPr>
    <w:rPr>
      <w:rFonts w:ascii="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sz w:val="24"/>
    </w:rPr>
  </w:style>
  <w:style w:type="character" w:styleId="FollowedHyperlink">
    <w:name w:val="FollowedHyperlink"/>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B4C7E7" w:fill="BDD7EE"/>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2">
    <w:name w:val="xl72"/>
    <w:basedOn w:val="Normal"/>
    <w:pPr>
      <w:pBdr>
        <w:top w:val="single" w:sz="4" w:space="0" w:color="auto"/>
        <w:left w:val="single" w:sz="4" w:space="0" w:color="auto"/>
        <w:right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3">
    <w:name w:val="xl73"/>
    <w:basedOn w:val="Normal"/>
    <w:pPr>
      <w:pBdr>
        <w:top w:val="single" w:sz="4" w:space="0" w:color="auto"/>
        <w:right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pPr>
    <w:rPr>
      <w:rFonts w:ascii="Times New Roman" w:eastAsia="Times New Roman" w:hAnsi="Times New Roman"/>
      <w:color w:val="006100"/>
      <w:sz w:val="24"/>
      <w:szCs w:val="24"/>
    </w:rPr>
  </w:style>
  <w:style w:type="paragraph" w:customStyle="1" w:styleId="xl75">
    <w:name w:val="xl75"/>
    <w:basedOn w:val="Normal"/>
    <w:pPr>
      <w:pBdr>
        <w:top w:val="single" w:sz="4" w:space="0" w:color="auto"/>
        <w:left w:val="single" w:sz="4" w:space="0" w:color="auto"/>
        <w:bottom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6">
    <w:name w:val="xl76"/>
    <w:basedOn w:val="Normal"/>
    <w:pPr>
      <w:pBdr>
        <w:top w:val="single" w:sz="4" w:space="0" w:color="auto"/>
        <w:bottom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pPr>
      <w:pBdr>
        <w:top w:val="single" w:sz="4" w:space="0" w:color="auto"/>
        <w:bottom w:val="single" w:sz="4" w:space="0" w:color="auto"/>
        <w:right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8">
    <w:name w:val="xl78"/>
    <w:basedOn w:val="Normal"/>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79">
    <w:name w:val="xl79"/>
    <w:basedOn w:val="Normal"/>
    <w:pPr>
      <w:pBdr>
        <w:left w:val="single" w:sz="4" w:space="0" w:color="auto"/>
        <w:bottom w:val="single" w:sz="4" w:space="0" w:color="auto"/>
        <w:right w:val="single" w:sz="4" w:space="0" w:color="auto"/>
      </w:pBdr>
      <w:shd w:val="clear" w:color="CCFFCC" w:fill="C6EFCE"/>
      <w:spacing w:before="100" w:beforeAutospacing="1" w:after="100" w:afterAutospacing="1" w:line="240" w:lineRule="auto"/>
      <w:jc w:val="center"/>
    </w:pPr>
    <w:rPr>
      <w:rFonts w:ascii="Times New Roman" w:eastAsia="Times New Roman" w:hAnsi="Times New Roman"/>
      <w:color w:val="006100"/>
      <w:sz w:val="24"/>
      <w:szCs w:val="24"/>
    </w:rPr>
  </w:style>
  <w:style w:type="paragraph" w:customStyle="1" w:styleId="xl80">
    <w:name w:val="xl80"/>
    <w:basedOn w:val="Normal"/>
    <w:pPr>
      <w:pBdr>
        <w:left w:val="single" w:sz="4" w:space="0" w:color="auto"/>
        <w:bottom w:val="single" w:sz="4" w:space="0" w:color="auto"/>
        <w:right w:val="single" w:sz="4" w:space="0" w:color="auto"/>
      </w:pBdr>
      <w:shd w:val="clear" w:color="CCFFCC" w:fill="C6EFCE"/>
      <w:spacing w:before="100" w:beforeAutospacing="1" w:after="100" w:afterAutospacing="1" w:line="240" w:lineRule="auto"/>
    </w:pPr>
    <w:rPr>
      <w:rFonts w:ascii="Times New Roman" w:eastAsia="Times New Roman" w:hAnsi="Times New Roman"/>
      <w:color w:val="006100"/>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pPr>
    <w:rPr>
      <w:rFonts w:ascii="Times New Roman" w:eastAsia="Times New Roman" w:hAnsi="Times New Roman"/>
      <w:color w:val="006100"/>
      <w:sz w:val="24"/>
      <w:szCs w:val="24"/>
    </w:rPr>
  </w:style>
  <w:style w:type="paragraph" w:customStyle="1" w:styleId="xl82">
    <w:name w:val="xl82"/>
    <w:basedOn w:val="Normal"/>
    <w:pPr>
      <w:pBdr>
        <w:left w:val="single" w:sz="4" w:space="0" w:color="auto"/>
        <w:bottom w:val="single" w:sz="4" w:space="0" w:color="auto"/>
        <w:right w:val="single" w:sz="4" w:space="0" w:color="auto"/>
      </w:pBdr>
      <w:shd w:val="clear" w:color="CCFFCC" w:fill="C6EFCE"/>
      <w:spacing w:before="100" w:beforeAutospacing="1" w:after="100" w:afterAutospacing="1" w:line="240" w:lineRule="auto"/>
      <w:textAlignment w:val="top"/>
    </w:pPr>
    <w:rPr>
      <w:rFonts w:ascii="Times New Roman" w:eastAsia="Times New Roman" w:hAnsi="Times New Roman"/>
      <w:color w:val="006100"/>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jc w:val="center"/>
    </w:pPr>
    <w:rPr>
      <w:rFonts w:ascii="Times New Roman" w:eastAsia="Times New Roman" w:hAnsi="Times New Roman"/>
      <w:color w:val="006100"/>
      <w:sz w:val="24"/>
      <w:szCs w:val="24"/>
    </w:rPr>
  </w:style>
  <w:style w:type="paragraph" w:customStyle="1" w:styleId="xl84">
    <w:name w:val="xl84"/>
    <w:basedOn w:val="Normal"/>
    <w:pPr>
      <w:pBdr>
        <w:top w:val="single" w:sz="4" w:space="0" w:color="auto"/>
        <w:left w:val="single" w:sz="4" w:space="0" w:color="auto"/>
        <w:right w:val="single" w:sz="4" w:space="0" w:color="auto"/>
      </w:pBdr>
      <w:shd w:val="clear" w:color="CCFFCC" w:fill="C6EFCE"/>
      <w:spacing w:before="100" w:beforeAutospacing="1" w:after="100" w:afterAutospacing="1" w:line="240" w:lineRule="auto"/>
      <w:textAlignment w:val="top"/>
    </w:pPr>
    <w:rPr>
      <w:rFonts w:ascii="Times New Roman" w:eastAsia="Times New Roman" w:hAnsi="Times New Roman"/>
      <w:color w:val="006100"/>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textAlignment w:val="top"/>
    </w:pPr>
    <w:rPr>
      <w:rFonts w:ascii="Times New Roman" w:eastAsia="Times New Roman" w:hAnsi="Times New Roman"/>
      <w:color w:val="006100"/>
      <w:sz w:val="24"/>
      <w:szCs w:val="24"/>
    </w:rPr>
  </w:style>
  <w:style w:type="paragraph" w:customStyle="1" w:styleId="xl86">
    <w:name w:val="xl86"/>
    <w:basedOn w:val="Normal"/>
    <w:pPr>
      <w:spacing w:before="100" w:beforeAutospacing="1" w:after="100" w:afterAutospacing="1" w:line="240" w:lineRule="auto"/>
      <w:jc w:val="center"/>
    </w:pPr>
    <w:rPr>
      <w:rFonts w:ascii="Times New Roman" w:eastAsia="Times New Roman" w:hAnsi="Times New Roman"/>
      <w:color w:val="000000"/>
      <w:sz w:val="24"/>
      <w:szCs w:val="24"/>
    </w:rPr>
  </w:style>
  <w:style w:type="paragraph" w:customStyle="1" w:styleId="xl87">
    <w:name w:val="xl87"/>
    <w:basedOn w:val="Normal"/>
    <w:pPr>
      <w:pBdr>
        <w:top w:val="single" w:sz="4" w:space="0" w:color="auto"/>
        <w:bottom w:val="single" w:sz="4" w:space="0" w:color="auto"/>
        <w:right w:val="single" w:sz="4" w:space="0" w:color="auto"/>
      </w:pBdr>
      <w:shd w:val="clear" w:color="B4C7E7" w:fill="BDD7EE"/>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8">
    <w:name w:val="xl88"/>
    <w:basedOn w:val="Normal"/>
    <w:pPr>
      <w:spacing w:before="100" w:beforeAutospacing="1" w:after="100" w:afterAutospacing="1" w:line="240" w:lineRule="auto"/>
      <w:jc w:val="center"/>
    </w:pPr>
    <w:rPr>
      <w:rFonts w:ascii="Times New Roman" w:eastAsia="Times New Roman" w:hAnsi="Times New Roman"/>
      <w:color w:val="000000"/>
      <w:sz w:val="24"/>
      <w:szCs w:val="24"/>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style>
  <w:style w:type="character" w:customStyle="1" w:styleId="tabchar">
    <w:name w:val="tabchar"/>
    <w:basedOn w:val="DefaultParagraphFont"/>
  </w:style>
  <w:style w:type="paragraph" w:styleId="NormalWeb">
    <w:name w:val="Normal (Web)"/>
    <w:basedOn w:val="Normal"/>
    <w:uiPriority w:val="99"/>
    <w:semiHidden/>
    <w:unhideWhenUsed/>
    <w:pPr>
      <w:spacing w:before="120" w:after="120" w:line="240" w:lineRule="auto"/>
      <w:jc w:val="both"/>
    </w:pPr>
    <w:rPr>
      <w:rFonts w:ascii="Times New Roman" w:hAnsi="Times New Roman"/>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HTMLPreformattedChar">
    <w:name w:val="HTML Preformatted Char"/>
    <w:link w:val="HTMLPreformatted"/>
    <w:uiPriority w:val="99"/>
    <w:semiHidden/>
    <w:rPr>
      <w:rFonts w:ascii="Courier New" w:eastAsia="Times New Roman" w:hAnsi="Courier New" w:cs="Courier New"/>
      <w:sz w:val="20"/>
      <w:szCs w:val="20"/>
      <w:lang w:val="sl-SI" w:eastAsia="sk-SK"/>
    </w:rPr>
  </w:style>
  <w:style w:type="table" w:styleId="TableGrid">
    <w:name w:val="Table Grid"/>
    <w:basedOn w:val="TableNormal"/>
    <w:uiPriority w:val="59"/>
    <w:rPr>
      <w:lang w:val="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sl-SI"/>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outlineLvl w:val="0"/>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5073">
      <w:bodyDiv w:val="1"/>
      <w:marLeft w:val="0"/>
      <w:marRight w:val="0"/>
      <w:marTop w:val="0"/>
      <w:marBottom w:val="0"/>
      <w:divBdr>
        <w:top w:val="none" w:sz="0" w:space="0" w:color="auto"/>
        <w:left w:val="none" w:sz="0" w:space="0" w:color="auto"/>
        <w:bottom w:val="none" w:sz="0" w:space="0" w:color="auto"/>
        <w:right w:val="none" w:sz="0" w:space="0" w:color="auto"/>
      </w:divBdr>
    </w:div>
    <w:div w:id="550046156">
      <w:bodyDiv w:val="1"/>
      <w:marLeft w:val="0"/>
      <w:marRight w:val="0"/>
      <w:marTop w:val="0"/>
      <w:marBottom w:val="0"/>
      <w:divBdr>
        <w:top w:val="none" w:sz="0" w:space="0" w:color="auto"/>
        <w:left w:val="none" w:sz="0" w:space="0" w:color="auto"/>
        <w:bottom w:val="none" w:sz="0" w:space="0" w:color="auto"/>
        <w:right w:val="none" w:sz="0" w:space="0" w:color="auto"/>
      </w:divBdr>
    </w:div>
    <w:div w:id="605236040">
      <w:bodyDiv w:val="1"/>
      <w:marLeft w:val="0"/>
      <w:marRight w:val="0"/>
      <w:marTop w:val="0"/>
      <w:marBottom w:val="0"/>
      <w:divBdr>
        <w:top w:val="none" w:sz="0" w:space="0" w:color="auto"/>
        <w:left w:val="none" w:sz="0" w:space="0" w:color="auto"/>
        <w:bottom w:val="none" w:sz="0" w:space="0" w:color="auto"/>
        <w:right w:val="none" w:sz="0" w:space="0" w:color="auto"/>
      </w:divBdr>
    </w:div>
    <w:div w:id="617952145">
      <w:bodyDiv w:val="1"/>
      <w:marLeft w:val="0"/>
      <w:marRight w:val="0"/>
      <w:marTop w:val="0"/>
      <w:marBottom w:val="0"/>
      <w:divBdr>
        <w:top w:val="none" w:sz="0" w:space="0" w:color="auto"/>
        <w:left w:val="none" w:sz="0" w:space="0" w:color="auto"/>
        <w:bottom w:val="none" w:sz="0" w:space="0" w:color="auto"/>
        <w:right w:val="none" w:sz="0" w:space="0" w:color="auto"/>
      </w:divBdr>
    </w:div>
    <w:div w:id="688457106">
      <w:bodyDiv w:val="1"/>
      <w:marLeft w:val="0"/>
      <w:marRight w:val="0"/>
      <w:marTop w:val="0"/>
      <w:marBottom w:val="0"/>
      <w:divBdr>
        <w:top w:val="none" w:sz="0" w:space="0" w:color="auto"/>
        <w:left w:val="none" w:sz="0" w:space="0" w:color="auto"/>
        <w:bottom w:val="none" w:sz="0" w:space="0" w:color="auto"/>
        <w:right w:val="none" w:sz="0" w:space="0" w:color="auto"/>
      </w:divBdr>
    </w:div>
    <w:div w:id="694575399">
      <w:bodyDiv w:val="1"/>
      <w:marLeft w:val="0"/>
      <w:marRight w:val="0"/>
      <w:marTop w:val="0"/>
      <w:marBottom w:val="0"/>
      <w:divBdr>
        <w:top w:val="none" w:sz="0" w:space="0" w:color="auto"/>
        <w:left w:val="none" w:sz="0" w:space="0" w:color="auto"/>
        <w:bottom w:val="none" w:sz="0" w:space="0" w:color="auto"/>
        <w:right w:val="none" w:sz="0" w:space="0" w:color="auto"/>
      </w:divBdr>
    </w:div>
    <w:div w:id="799420005">
      <w:bodyDiv w:val="1"/>
      <w:marLeft w:val="0"/>
      <w:marRight w:val="0"/>
      <w:marTop w:val="0"/>
      <w:marBottom w:val="0"/>
      <w:divBdr>
        <w:top w:val="none" w:sz="0" w:space="0" w:color="auto"/>
        <w:left w:val="none" w:sz="0" w:space="0" w:color="auto"/>
        <w:bottom w:val="none" w:sz="0" w:space="0" w:color="auto"/>
        <w:right w:val="none" w:sz="0" w:space="0" w:color="auto"/>
      </w:divBdr>
    </w:div>
    <w:div w:id="897664336">
      <w:bodyDiv w:val="1"/>
      <w:marLeft w:val="0"/>
      <w:marRight w:val="0"/>
      <w:marTop w:val="0"/>
      <w:marBottom w:val="0"/>
      <w:divBdr>
        <w:top w:val="none" w:sz="0" w:space="0" w:color="auto"/>
        <w:left w:val="none" w:sz="0" w:space="0" w:color="auto"/>
        <w:bottom w:val="none" w:sz="0" w:space="0" w:color="auto"/>
        <w:right w:val="none" w:sz="0" w:space="0" w:color="auto"/>
      </w:divBdr>
    </w:div>
    <w:div w:id="962806410">
      <w:bodyDiv w:val="1"/>
      <w:marLeft w:val="0"/>
      <w:marRight w:val="0"/>
      <w:marTop w:val="0"/>
      <w:marBottom w:val="0"/>
      <w:divBdr>
        <w:top w:val="none" w:sz="0" w:space="0" w:color="auto"/>
        <w:left w:val="none" w:sz="0" w:space="0" w:color="auto"/>
        <w:bottom w:val="none" w:sz="0" w:space="0" w:color="auto"/>
        <w:right w:val="none" w:sz="0" w:space="0" w:color="auto"/>
      </w:divBdr>
    </w:div>
    <w:div w:id="1008752142">
      <w:bodyDiv w:val="1"/>
      <w:marLeft w:val="0"/>
      <w:marRight w:val="0"/>
      <w:marTop w:val="0"/>
      <w:marBottom w:val="0"/>
      <w:divBdr>
        <w:top w:val="none" w:sz="0" w:space="0" w:color="auto"/>
        <w:left w:val="none" w:sz="0" w:space="0" w:color="auto"/>
        <w:bottom w:val="none" w:sz="0" w:space="0" w:color="auto"/>
        <w:right w:val="none" w:sz="0" w:space="0" w:color="auto"/>
      </w:divBdr>
    </w:div>
    <w:div w:id="1027949554">
      <w:bodyDiv w:val="1"/>
      <w:marLeft w:val="0"/>
      <w:marRight w:val="0"/>
      <w:marTop w:val="0"/>
      <w:marBottom w:val="0"/>
      <w:divBdr>
        <w:top w:val="none" w:sz="0" w:space="0" w:color="auto"/>
        <w:left w:val="none" w:sz="0" w:space="0" w:color="auto"/>
        <w:bottom w:val="none" w:sz="0" w:space="0" w:color="auto"/>
        <w:right w:val="none" w:sz="0" w:space="0" w:color="auto"/>
      </w:divBdr>
    </w:div>
    <w:div w:id="1234199675">
      <w:bodyDiv w:val="1"/>
      <w:marLeft w:val="0"/>
      <w:marRight w:val="0"/>
      <w:marTop w:val="0"/>
      <w:marBottom w:val="0"/>
      <w:divBdr>
        <w:top w:val="none" w:sz="0" w:space="0" w:color="auto"/>
        <w:left w:val="none" w:sz="0" w:space="0" w:color="auto"/>
        <w:bottom w:val="none" w:sz="0" w:space="0" w:color="auto"/>
        <w:right w:val="none" w:sz="0" w:space="0" w:color="auto"/>
      </w:divBdr>
    </w:div>
    <w:div w:id="1309477704">
      <w:bodyDiv w:val="1"/>
      <w:marLeft w:val="0"/>
      <w:marRight w:val="0"/>
      <w:marTop w:val="0"/>
      <w:marBottom w:val="0"/>
      <w:divBdr>
        <w:top w:val="none" w:sz="0" w:space="0" w:color="auto"/>
        <w:left w:val="none" w:sz="0" w:space="0" w:color="auto"/>
        <w:bottom w:val="none" w:sz="0" w:space="0" w:color="auto"/>
        <w:right w:val="none" w:sz="0" w:space="0" w:color="auto"/>
      </w:divBdr>
    </w:div>
    <w:div w:id="1397902122">
      <w:bodyDiv w:val="1"/>
      <w:marLeft w:val="0"/>
      <w:marRight w:val="0"/>
      <w:marTop w:val="0"/>
      <w:marBottom w:val="0"/>
      <w:divBdr>
        <w:top w:val="none" w:sz="0" w:space="0" w:color="auto"/>
        <w:left w:val="none" w:sz="0" w:space="0" w:color="auto"/>
        <w:bottom w:val="none" w:sz="0" w:space="0" w:color="auto"/>
        <w:right w:val="none" w:sz="0" w:space="0" w:color="auto"/>
      </w:divBdr>
    </w:div>
    <w:div w:id="1489974430">
      <w:bodyDiv w:val="1"/>
      <w:marLeft w:val="0"/>
      <w:marRight w:val="0"/>
      <w:marTop w:val="0"/>
      <w:marBottom w:val="0"/>
      <w:divBdr>
        <w:top w:val="none" w:sz="0" w:space="0" w:color="auto"/>
        <w:left w:val="none" w:sz="0" w:space="0" w:color="auto"/>
        <w:bottom w:val="none" w:sz="0" w:space="0" w:color="auto"/>
        <w:right w:val="none" w:sz="0" w:space="0" w:color="auto"/>
      </w:divBdr>
    </w:div>
    <w:div w:id="1535079011">
      <w:bodyDiv w:val="1"/>
      <w:marLeft w:val="0"/>
      <w:marRight w:val="0"/>
      <w:marTop w:val="0"/>
      <w:marBottom w:val="0"/>
      <w:divBdr>
        <w:top w:val="none" w:sz="0" w:space="0" w:color="auto"/>
        <w:left w:val="none" w:sz="0" w:space="0" w:color="auto"/>
        <w:bottom w:val="none" w:sz="0" w:space="0" w:color="auto"/>
        <w:right w:val="none" w:sz="0" w:space="0" w:color="auto"/>
      </w:divBdr>
    </w:div>
    <w:div w:id="1616062013">
      <w:bodyDiv w:val="1"/>
      <w:marLeft w:val="0"/>
      <w:marRight w:val="0"/>
      <w:marTop w:val="0"/>
      <w:marBottom w:val="0"/>
      <w:divBdr>
        <w:top w:val="none" w:sz="0" w:space="0" w:color="auto"/>
        <w:left w:val="none" w:sz="0" w:space="0" w:color="auto"/>
        <w:bottom w:val="none" w:sz="0" w:space="0" w:color="auto"/>
        <w:right w:val="none" w:sz="0" w:space="0" w:color="auto"/>
      </w:divBdr>
    </w:div>
    <w:div w:id="1735202314">
      <w:bodyDiv w:val="1"/>
      <w:marLeft w:val="0"/>
      <w:marRight w:val="0"/>
      <w:marTop w:val="0"/>
      <w:marBottom w:val="0"/>
      <w:divBdr>
        <w:top w:val="none" w:sz="0" w:space="0" w:color="auto"/>
        <w:left w:val="none" w:sz="0" w:space="0" w:color="auto"/>
        <w:bottom w:val="none" w:sz="0" w:space="0" w:color="auto"/>
        <w:right w:val="none" w:sz="0" w:space="0" w:color="auto"/>
      </w:divBdr>
    </w:div>
    <w:div w:id="1851329101">
      <w:bodyDiv w:val="1"/>
      <w:marLeft w:val="0"/>
      <w:marRight w:val="0"/>
      <w:marTop w:val="0"/>
      <w:marBottom w:val="0"/>
      <w:divBdr>
        <w:top w:val="none" w:sz="0" w:space="0" w:color="auto"/>
        <w:left w:val="none" w:sz="0" w:space="0" w:color="auto"/>
        <w:bottom w:val="none" w:sz="0" w:space="0" w:color="auto"/>
        <w:right w:val="none" w:sz="0" w:space="0" w:color="auto"/>
      </w:divBdr>
    </w:div>
    <w:div w:id="1874416107">
      <w:bodyDiv w:val="1"/>
      <w:marLeft w:val="0"/>
      <w:marRight w:val="0"/>
      <w:marTop w:val="0"/>
      <w:marBottom w:val="0"/>
      <w:divBdr>
        <w:top w:val="none" w:sz="0" w:space="0" w:color="auto"/>
        <w:left w:val="none" w:sz="0" w:space="0" w:color="auto"/>
        <w:bottom w:val="none" w:sz="0" w:space="0" w:color="auto"/>
        <w:right w:val="none" w:sz="0" w:space="0" w:color="auto"/>
      </w:divBdr>
    </w:div>
    <w:div w:id="1950431679">
      <w:bodyDiv w:val="1"/>
      <w:marLeft w:val="0"/>
      <w:marRight w:val="0"/>
      <w:marTop w:val="0"/>
      <w:marBottom w:val="0"/>
      <w:divBdr>
        <w:top w:val="none" w:sz="0" w:space="0" w:color="auto"/>
        <w:left w:val="none" w:sz="0" w:space="0" w:color="auto"/>
        <w:bottom w:val="none" w:sz="0" w:space="0" w:color="auto"/>
        <w:right w:val="none" w:sz="0" w:space="0" w:color="auto"/>
      </w:divBdr>
    </w:div>
    <w:div w:id="2001300785">
      <w:bodyDiv w:val="1"/>
      <w:marLeft w:val="0"/>
      <w:marRight w:val="0"/>
      <w:marTop w:val="0"/>
      <w:marBottom w:val="0"/>
      <w:divBdr>
        <w:top w:val="none" w:sz="0" w:space="0" w:color="auto"/>
        <w:left w:val="none" w:sz="0" w:space="0" w:color="auto"/>
        <w:bottom w:val="none" w:sz="0" w:space="0" w:color="auto"/>
        <w:right w:val="none" w:sz="0" w:space="0" w:color="auto"/>
      </w:divBdr>
    </w:div>
    <w:div w:id="2009627114">
      <w:bodyDiv w:val="1"/>
      <w:marLeft w:val="0"/>
      <w:marRight w:val="0"/>
      <w:marTop w:val="0"/>
      <w:marBottom w:val="0"/>
      <w:divBdr>
        <w:top w:val="none" w:sz="0" w:space="0" w:color="auto"/>
        <w:left w:val="none" w:sz="0" w:space="0" w:color="auto"/>
        <w:bottom w:val="none" w:sz="0" w:space="0" w:color="auto"/>
        <w:right w:val="none" w:sz="0" w:space="0" w:color="auto"/>
      </w:divBdr>
    </w:div>
    <w:div w:id="21199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1" Type="http://schemas.openxmlformats.org/officeDocument/2006/relationships/footer" Target="footer5.xml"/><Relationship Id="rId42" Type="http://schemas.openxmlformats.org/officeDocument/2006/relationships/header" Target="header16.xml"/><Relationship Id="rId63" Type="http://schemas.openxmlformats.org/officeDocument/2006/relationships/footer" Target="footer26.xml"/><Relationship Id="rId84" Type="http://schemas.openxmlformats.org/officeDocument/2006/relationships/header" Target="header37.xml"/><Relationship Id="rId138" Type="http://schemas.openxmlformats.org/officeDocument/2006/relationships/header" Target="header64.xml"/><Relationship Id="rId159" Type="http://schemas.openxmlformats.org/officeDocument/2006/relationships/footer" Target="footer74.xml"/><Relationship Id="rId170" Type="http://schemas.openxmlformats.org/officeDocument/2006/relationships/footer" Target="footer79.xml"/><Relationship Id="rId191" Type="http://schemas.openxmlformats.org/officeDocument/2006/relationships/footer" Target="footer90.xml"/><Relationship Id="rId205" Type="http://schemas.openxmlformats.org/officeDocument/2006/relationships/header" Target="header98.xml"/><Relationship Id="rId226" Type="http://schemas.openxmlformats.org/officeDocument/2006/relationships/header" Target="header108.xml"/><Relationship Id="rId247" Type="http://schemas.openxmlformats.org/officeDocument/2006/relationships/theme" Target="theme/theme1.xml"/><Relationship Id="rId107" Type="http://schemas.openxmlformats.org/officeDocument/2006/relationships/footer" Target="footer48.xml"/><Relationship Id="rId11" Type="http://schemas.openxmlformats.org/officeDocument/2006/relationships/image" Target="media/image1.emf"/><Relationship Id="rId32" Type="http://schemas.openxmlformats.org/officeDocument/2006/relationships/footer" Target="footer10.xml"/><Relationship Id="rId53" Type="http://schemas.openxmlformats.org/officeDocument/2006/relationships/footer" Target="footer21.xml"/><Relationship Id="rId74" Type="http://schemas.openxmlformats.org/officeDocument/2006/relationships/footer" Target="footer31.xml"/><Relationship Id="rId128" Type="http://schemas.openxmlformats.org/officeDocument/2006/relationships/footer" Target="footer58.xml"/><Relationship Id="rId149" Type="http://schemas.openxmlformats.org/officeDocument/2006/relationships/footer" Target="footer69.xml"/><Relationship Id="rId5" Type="http://schemas.openxmlformats.org/officeDocument/2006/relationships/numbering" Target="numbering.xml"/><Relationship Id="rId95" Type="http://schemas.openxmlformats.org/officeDocument/2006/relationships/footer" Target="footer42.xml"/><Relationship Id="rId160" Type="http://schemas.openxmlformats.org/officeDocument/2006/relationships/header" Target="header75.xml"/><Relationship Id="rId181" Type="http://schemas.openxmlformats.org/officeDocument/2006/relationships/header" Target="header86.xml"/><Relationship Id="rId216" Type="http://schemas.openxmlformats.org/officeDocument/2006/relationships/header" Target="header103.xml"/><Relationship Id="rId237" Type="http://schemas.openxmlformats.org/officeDocument/2006/relationships/footer" Target="footer113.xml"/><Relationship Id="rId22" Type="http://schemas.openxmlformats.org/officeDocument/2006/relationships/header" Target="header6.xml"/><Relationship Id="rId43" Type="http://schemas.openxmlformats.org/officeDocument/2006/relationships/header" Target="header17.xml"/><Relationship Id="rId64" Type="http://schemas.openxmlformats.org/officeDocument/2006/relationships/header" Target="header27.xml"/><Relationship Id="rId118" Type="http://schemas.openxmlformats.org/officeDocument/2006/relationships/header" Target="header54.xml"/><Relationship Id="rId139" Type="http://schemas.openxmlformats.org/officeDocument/2006/relationships/header" Target="header65.xml"/><Relationship Id="rId85" Type="http://schemas.openxmlformats.org/officeDocument/2006/relationships/header" Target="header38.xml"/><Relationship Id="rId150" Type="http://schemas.openxmlformats.org/officeDocument/2006/relationships/header" Target="header70.xml"/><Relationship Id="rId171" Type="http://schemas.openxmlformats.org/officeDocument/2006/relationships/footer" Target="footer80.xml"/><Relationship Id="rId192" Type="http://schemas.openxmlformats.org/officeDocument/2006/relationships/header" Target="header91.xml"/><Relationship Id="rId206" Type="http://schemas.openxmlformats.org/officeDocument/2006/relationships/footer" Target="footer97.xml"/><Relationship Id="rId227" Type="http://schemas.openxmlformats.org/officeDocument/2006/relationships/footer" Target="footer108.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footer" Target="footer11.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08" Type="http://schemas.openxmlformats.org/officeDocument/2006/relationships/header" Target="header49.xml"/><Relationship Id="rId124" Type="http://schemas.openxmlformats.org/officeDocument/2006/relationships/header" Target="header57.xml"/><Relationship Id="rId129" Type="http://schemas.openxmlformats.org/officeDocument/2006/relationships/footer" Target="footer59.xml"/><Relationship Id="rId54" Type="http://schemas.openxmlformats.org/officeDocument/2006/relationships/header" Target="header22.xml"/><Relationship Id="rId70" Type="http://schemas.openxmlformats.org/officeDocument/2006/relationships/header" Target="header30.xml"/><Relationship Id="rId75" Type="http://schemas.openxmlformats.org/officeDocument/2006/relationships/footer" Target="footer32.xml"/><Relationship Id="rId91" Type="http://schemas.openxmlformats.org/officeDocument/2006/relationships/header" Target="header41.xml"/><Relationship Id="rId96" Type="http://schemas.openxmlformats.org/officeDocument/2006/relationships/header" Target="header43.xml"/><Relationship Id="rId140" Type="http://schemas.openxmlformats.org/officeDocument/2006/relationships/footer" Target="footer64.xml"/><Relationship Id="rId145" Type="http://schemas.openxmlformats.org/officeDocument/2006/relationships/header" Target="header68.xml"/><Relationship Id="rId161" Type="http://schemas.openxmlformats.org/officeDocument/2006/relationships/footer" Target="footer75.xml"/><Relationship Id="rId166" Type="http://schemas.openxmlformats.org/officeDocument/2006/relationships/header" Target="header78.xml"/><Relationship Id="rId182" Type="http://schemas.openxmlformats.org/officeDocument/2006/relationships/footer" Target="footer85.xml"/><Relationship Id="rId187" Type="http://schemas.openxmlformats.org/officeDocument/2006/relationships/header" Target="header89.xml"/><Relationship Id="rId217" Type="http://schemas.openxmlformats.org/officeDocument/2006/relationships/header" Target="header104.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footer" Target="footer100.xml"/><Relationship Id="rId233" Type="http://schemas.openxmlformats.org/officeDocument/2006/relationships/footer" Target="footer111.xml"/><Relationship Id="rId238" Type="http://schemas.openxmlformats.org/officeDocument/2006/relationships/header" Target="header114.xml"/><Relationship Id="rId23" Type="http://schemas.openxmlformats.org/officeDocument/2006/relationships/footer" Target="footer6.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119" Type="http://schemas.openxmlformats.org/officeDocument/2006/relationships/footer" Target="footer54.xml"/><Relationship Id="rId44" Type="http://schemas.openxmlformats.org/officeDocument/2006/relationships/footer" Target="footer16.xml"/><Relationship Id="rId60" Type="http://schemas.openxmlformats.org/officeDocument/2006/relationships/header" Target="header25.xml"/><Relationship Id="rId65" Type="http://schemas.openxmlformats.org/officeDocument/2006/relationships/footer" Target="footer27.xml"/><Relationship Id="rId81" Type="http://schemas.openxmlformats.org/officeDocument/2006/relationships/footer" Target="footer35.xml"/><Relationship Id="rId86" Type="http://schemas.openxmlformats.org/officeDocument/2006/relationships/footer" Target="footer37.xml"/><Relationship Id="rId130" Type="http://schemas.openxmlformats.org/officeDocument/2006/relationships/header" Target="header60.xml"/><Relationship Id="rId135" Type="http://schemas.openxmlformats.org/officeDocument/2006/relationships/footer" Target="footer62.xml"/><Relationship Id="rId151" Type="http://schemas.openxmlformats.org/officeDocument/2006/relationships/header" Target="header71.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172" Type="http://schemas.openxmlformats.org/officeDocument/2006/relationships/header" Target="header81.xml"/><Relationship Id="rId193" Type="http://schemas.openxmlformats.org/officeDocument/2006/relationships/header" Target="header92.xml"/><Relationship Id="rId202" Type="http://schemas.openxmlformats.org/officeDocument/2006/relationships/header" Target="header96.xml"/><Relationship Id="rId207" Type="http://schemas.openxmlformats.org/officeDocument/2006/relationships/footer" Target="footer98.xml"/><Relationship Id="rId223" Type="http://schemas.openxmlformats.org/officeDocument/2006/relationships/header" Target="header107.xml"/><Relationship Id="rId228" Type="http://schemas.openxmlformats.org/officeDocument/2006/relationships/header" Target="header109.xml"/><Relationship Id="rId244" Type="http://schemas.openxmlformats.org/officeDocument/2006/relationships/header" Target="header117.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4.xml"/><Relationship Id="rId109" Type="http://schemas.openxmlformats.org/officeDocument/2006/relationships/header" Target="header50.xml"/><Relationship Id="rId34" Type="http://schemas.openxmlformats.org/officeDocument/2006/relationships/header" Target="header12.xml"/><Relationship Id="rId50" Type="http://schemas.openxmlformats.org/officeDocument/2006/relationships/footer" Target="footer19.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4.xml"/><Relationship Id="rId104" Type="http://schemas.openxmlformats.org/officeDocument/2006/relationships/footer" Target="footer46.xml"/><Relationship Id="rId120" Type="http://schemas.openxmlformats.org/officeDocument/2006/relationships/header" Target="header55.xml"/><Relationship Id="rId125" Type="http://schemas.openxmlformats.org/officeDocument/2006/relationships/footer" Target="footer57.xml"/><Relationship Id="rId141" Type="http://schemas.openxmlformats.org/officeDocument/2006/relationships/footer" Target="footer65.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footer" Target="footer88.xml"/><Relationship Id="rId7" Type="http://schemas.openxmlformats.org/officeDocument/2006/relationships/settings" Target="settings.xml"/><Relationship Id="rId71" Type="http://schemas.openxmlformats.org/officeDocument/2006/relationships/footer" Target="footer30.xml"/><Relationship Id="rId92" Type="http://schemas.openxmlformats.org/officeDocument/2006/relationships/footer" Target="footer40.xml"/><Relationship Id="rId162" Type="http://schemas.openxmlformats.org/officeDocument/2006/relationships/header" Target="header76.xml"/><Relationship Id="rId183" Type="http://schemas.openxmlformats.org/officeDocument/2006/relationships/footer" Target="footer86.xml"/><Relationship Id="rId213" Type="http://schemas.openxmlformats.org/officeDocument/2006/relationships/footer" Target="footer101.xml"/><Relationship Id="rId218" Type="http://schemas.openxmlformats.org/officeDocument/2006/relationships/footer" Target="footer103.xml"/><Relationship Id="rId234" Type="http://schemas.openxmlformats.org/officeDocument/2006/relationships/header" Target="header112.xml"/><Relationship Id="rId239" Type="http://schemas.openxmlformats.org/officeDocument/2006/relationships/footer" Target="footer114.xm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header" Target="header7.xml"/><Relationship Id="rId40" Type="http://schemas.openxmlformats.org/officeDocument/2006/relationships/header" Target="header15.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footer" Target="footer49.xml"/><Relationship Id="rId115" Type="http://schemas.openxmlformats.org/officeDocument/2006/relationships/header" Target="header53.xml"/><Relationship Id="rId131" Type="http://schemas.openxmlformats.org/officeDocument/2006/relationships/footer" Target="footer60.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4.xml"/><Relationship Id="rId61" Type="http://schemas.openxmlformats.org/officeDocument/2006/relationships/header" Target="header26.xml"/><Relationship Id="rId82" Type="http://schemas.openxmlformats.org/officeDocument/2006/relationships/header" Target="header36.xml"/><Relationship Id="rId152" Type="http://schemas.openxmlformats.org/officeDocument/2006/relationships/footer" Target="footer70.xml"/><Relationship Id="rId173" Type="http://schemas.openxmlformats.org/officeDocument/2006/relationships/footer" Target="footer81.xml"/><Relationship Id="rId194" Type="http://schemas.openxmlformats.org/officeDocument/2006/relationships/footer" Target="footer91.xml"/><Relationship Id="rId199" Type="http://schemas.openxmlformats.org/officeDocument/2006/relationships/header" Target="header95.xml"/><Relationship Id="rId203" Type="http://schemas.openxmlformats.org/officeDocument/2006/relationships/footer" Target="footer96.xml"/><Relationship Id="rId208" Type="http://schemas.openxmlformats.org/officeDocument/2006/relationships/header" Target="header99.xml"/><Relationship Id="rId229" Type="http://schemas.openxmlformats.org/officeDocument/2006/relationships/header" Target="header110.xml"/><Relationship Id="rId19" Type="http://schemas.openxmlformats.org/officeDocument/2006/relationships/header" Target="header5.xml"/><Relationship Id="rId224" Type="http://schemas.openxmlformats.org/officeDocument/2006/relationships/footer" Target="footer106.xml"/><Relationship Id="rId240" Type="http://schemas.openxmlformats.org/officeDocument/2006/relationships/header" Target="header115.xml"/><Relationship Id="rId245" Type="http://schemas.openxmlformats.org/officeDocument/2006/relationships/footer" Target="footer117.xml"/><Relationship Id="rId14" Type="http://schemas.openxmlformats.org/officeDocument/2006/relationships/footer" Target="footer1.xml"/><Relationship Id="rId30" Type="http://schemas.openxmlformats.org/officeDocument/2006/relationships/header" Target="header10.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header" Target="header45.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8" Type="http://schemas.openxmlformats.org/officeDocument/2006/relationships/webSettings" Target="webSettings.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98" Type="http://schemas.openxmlformats.org/officeDocument/2006/relationships/footer" Target="footer43.xml"/><Relationship Id="rId121" Type="http://schemas.openxmlformats.org/officeDocument/2006/relationships/header" Target="header56.xml"/><Relationship Id="rId142" Type="http://schemas.openxmlformats.org/officeDocument/2006/relationships/header" Target="header66.xml"/><Relationship Id="rId163" Type="http://schemas.openxmlformats.org/officeDocument/2006/relationships/header" Target="header77.xml"/><Relationship Id="rId184" Type="http://schemas.openxmlformats.org/officeDocument/2006/relationships/header" Target="header87.xml"/><Relationship Id="rId189" Type="http://schemas.openxmlformats.org/officeDocument/2006/relationships/footer" Target="footer89.xml"/><Relationship Id="rId219" Type="http://schemas.openxmlformats.org/officeDocument/2006/relationships/footer" Target="footer104.xml"/><Relationship Id="rId3" Type="http://schemas.openxmlformats.org/officeDocument/2006/relationships/customXml" Target="../customXml/item3.xml"/><Relationship Id="rId214" Type="http://schemas.openxmlformats.org/officeDocument/2006/relationships/header" Target="header102.xml"/><Relationship Id="rId230" Type="http://schemas.openxmlformats.org/officeDocument/2006/relationships/footer" Target="footer109.xml"/><Relationship Id="rId235" Type="http://schemas.openxmlformats.org/officeDocument/2006/relationships/header" Target="header113.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79" Type="http://schemas.openxmlformats.org/officeDocument/2006/relationships/footer" Target="footer84.xml"/><Relationship Id="rId195" Type="http://schemas.openxmlformats.org/officeDocument/2006/relationships/footer" Target="footer92.xml"/><Relationship Id="rId209" Type="http://schemas.openxmlformats.org/officeDocument/2006/relationships/footer" Target="footer99.xml"/><Relationship Id="rId190" Type="http://schemas.openxmlformats.org/officeDocument/2006/relationships/header" Target="header90.xml"/><Relationship Id="rId204" Type="http://schemas.openxmlformats.org/officeDocument/2006/relationships/header" Target="header97.xml"/><Relationship Id="rId220" Type="http://schemas.openxmlformats.org/officeDocument/2006/relationships/header" Target="header105.xml"/><Relationship Id="rId225" Type="http://schemas.openxmlformats.org/officeDocument/2006/relationships/footer" Target="footer107.xml"/><Relationship Id="rId241" Type="http://schemas.openxmlformats.org/officeDocument/2006/relationships/header" Target="header116.xml"/><Relationship Id="rId246" Type="http://schemas.openxmlformats.org/officeDocument/2006/relationships/fontTable" Target="fontTable.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106" Type="http://schemas.openxmlformats.org/officeDocument/2006/relationships/header" Target="header48.xml"/><Relationship Id="rId127" Type="http://schemas.openxmlformats.org/officeDocument/2006/relationships/header" Target="header59.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78" Type="http://schemas.openxmlformats.org/officeDocument/2006/relationships/header" Target="header34.xml"/><Relationship Id="rId94" Type="http://schemas.openxmlformats.org/officeDocument/2006/relationships/header" Target="header42.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footer" Target="footer66.xml"/><Relationship Id="rId148" Type="http://schemas.openxmlformats.org/officeDocument/2006/relationships/header" Target="header69.xml"/><Relationship Id="rId164" Type="http://schemas.openxmlformats.org/officeDocument/2006/relationships/footer" Target="footer76.xml"/><Relationship Id="rId169" Type="http://schemas.openxmlformats.org/officeDocument/2006/relationships/header" Target="header80.xml"/><Relationship Id="rId185" Type="http://schemas.openxmlformats.org/officeDocument/2006/relationships/footer" Target="footer87.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85.xml"/><Relationship Id="rId210" Type="http://schemas.openxmlformats.org/officeDocument/2006/relationships/header" Target="header100.xml"/><Relationship Id="rId215" Type="http://schemas.openxmlformats.org/officeDocument/2006/relationships/footer" Target="footer102.xml"/><Relationship Id="rId236" Type="http://schemas.openxmlformats.org/officeDocument/2006/relationships/footer" Target="footer112.xml"/><Relationship Id="rId26" Type="http://schemas.openxmlformats.org/officeDocument/2006/relationships/footer" Target="footer7.xml"/><Relationship Id="rId231" Type="http://schemas.openxmlformats.org/officeDocument/2006/relationships/footer" Target="footer110.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54" Type="http://schemas.openxmlformats.org/officeDocument/2006/relationships/header" Target="header72.xml"/><Relationship Id="rId175" Type="http://schemas.openxmlformats.org/officeDocument/2006/relationships/header" Target="header83.xml"/><Relationship Id="rId196" Type="http://schemas.openxmlformats.org/officeDocument/2006/relationships/header" Target="header93.xml"/><Relationship Id="rId200" Type="http://schemas.openxmlformats.org/officeDocument/2006/relationships/footer" Target="footer94.xml"/><Relationship Id="rId16" Type="http://schemas.openxmlformats.org/officeDocument/2006/relationships/header" Target="header3.xml"/><Relationship Id="rId221" Type="http://schemas.openxmlformats.org/officeDocument/2006/relationships/footer" Target="footer105.xml"/><Relationship Id="rId242" Type="http://schemas.openxmlformats.org/officeDocument/2006/relationships/footer" Target="footer115.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211" Type="http://schemas.openxmlformats.org/officeDocument/2006/relationships/header" Target="header101.xml"/><Relationship Id="rId232" Type="http://schemas.openxmlformats.org/officeDocument/2006/relationships/header" Target="header111.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ARES_TRANSFERRED_BY xmlns="AA0C4121-4F5B-4B36-B887-483EE459F216" xsi:nil="true"/>
    <EC_ARES_NUMBER xmlns="AA0C4121-4F5B-4B36-B887-483EE459F216">
      <Url xsi:nil="true"/>
      <Description xsi:nil="true"/>
    </EC_ARES_NUMBER>
    <EC_Collab_Status xmlns="AA0C4121-4F5B-4B36-B887-483EE459F216">Not Started</EC_Collab_Status>
    <_Status xmlns="http://schemas.microsoft.com/sharepoint/v3/fields">Not Started</_Status>
    <EC_ARES_DATE_TRANSFERRED xmlns="AA0C4121-4F5B-4B36-B887-483EE459F216" xsi:nil="true"/>
    <EC_Collab_Reference xmlns="AA0C4121-4F5B-4B36-B887-483EE459F216" xsi:nil="true"/>
    <EC_Collab_DocumentLanguage xmlns="AA0C4121-4F5B-4B36-B887-483EE459F216">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BD26BE1A827574981DDDB018F76E185" ma:contentTypeVersion="0" ma:contentTypeDescription="Create a new document in this library." ma:contentTypeScope="" ma:versionID="86bf8b1a6c3adb6ea72162a6a5ae5115">
  <xsd:schema xmlns:xsd="http://www.w3.org/2001/XMLSchema" xmlns:xs="http://www.w3.org/2001/XMLSchema" xmlns:p="http://schemas.microsoft.com/office/2006/metadata/properties" xmlns:ns2="http://schemas.microsoft.com/sharepoint/v3/fields" xmlns:ns3="AA0C4121-4F5B-4B36-B887-483EE459F216" targetNamespace="http://schemas.microsoft.com/office/2006/metadata/properties" ma:root="true" ma:fieldsID="75794ce3a3bdfcb28256da7678b4dd51" ns2:_="" ns3:_="">
    <xsd:import namespace="http://schemas.microsoft.com/sharepoint/v3/fields"/>
    <xsd:import namespace="AA0C4121-4F5B-4B36-B887-483EE459F21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0C4121-4F5B-4B36-B887-483EE459F21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DD6B-0B28-4736-A80E-9652F1142B07}">
  <ds:schemaRefs>
    <ds:schemaRef ds:uri="http://schemas.microsoft.com/office/2006/metadata/properties"/>
    <ds:schemaRef ds:uri="http://schemas.microsoft.com/office/infopath/2007/PartnerControls"/>
    <ds:schemaRef ds:uri="AA0C4121-4F5B-4B36-B887-483EE459F216"/>
    <ds:schemaRef ds:uri="http://schemas.microsoft.com/sharepoint/v3/fields"/>
  </ds:schemaRefs>
</ds:datastoreItem>
</file>

<file path=customXml/itemProps2.xml><?xml version="1.0" encoding="utf-8"?>
<ds:datastoreItem xmlns:ds="http://schemas.openxmlformats.org/officeDocument/2006/customXml" ds:itemID="{08439633-D1E3-4117-B84E-2D9675891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0C4121-4F5B-4B36-B887-483EE459F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29600-5448-4A1D-A081-8FA68211A0E2}">
  <ds:schemaRefs>
    <ds:schemaRef ds:uri="http://schemas.microsoft.com/sharepoint/v3/contenttype/forms"/>
  </ds:schemaRefs>
</ds:datastoreItem>
</file>

<file path=customXml/itemProps4.xml><?xml version="1.0" encoding="utf-8"?>
<ds:datastoreItem xmlns:ds="http://schemas.openxmlformats.org/officeDocument/2006/customXml" ds:itemID="{3316B432-887F-43FE-B6DF-9019D0F2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188</Pages>
  <Words>46296</Words>
  <Characters>296296</Characters>
  <Application>Microsoft Office Word</Application>
  <DocSecurity>0</DocSecurity>
  <Lines>14109</Lines>
  <Paragraphs>4282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DUBUSSE Christine (TAXUD)</dc:creator>
  <cp:keywords/>
  <dc:description/>
  <cp:lastModifiedBy>PASCUAL IBANEZ Noelia (SG)</cp:lastModifiedBy>
  <cp:revision>23</cp:revision>
  <dcterms:created xsi:type="dcterms:W3CDTF">2021-06-15T15:26:00Z</dcterms:created>
  <dcterms:modified xsi:type="dcterms:W3CDTF">2021-06-22T11:52:00Z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7.0.1, Build 20200226</vt:lpwstr>
  </property>
  <property fmtid="{D5CDD505-2E9C-101B-9397-08002B2CF9AE}" pid="10" name="Created using">
    <vt:lpwstr>LW 7.0.1, Build 20200226</vt:lpwstr>
  </property>
  <property fmtid="{D5CDD505-2E9C-101B-9397-08002B2CF9AE}" pid="11" name="_LW_INVALIDATED__LW_INVALIDATED__LW_INVALIDATED_ContentTypeId">
    <vt:lpwstr>0x010100258AA79CEB83498886A3A08681123250008BD26BE1A827574981DDDB018F76E185</vt:lpwstr>
  </property>
</Properties>
</file>