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9D6C00D-2FFF-4F88-9389-90031617EE51" style="width:455.45pt;height:355.8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Rfrenceinterinstitutionnelle"/>
        <w:rPr>
          <w:noProof/>
        </w:rPr>
      </w:pPr>
      <w:r>
        <w:rPr>
          <w:noProof/>
        </w:rPr>
        <w:t>2021/0162 (NLE)</w:t>
      </w:r>
    </w:p>
    <w:p>
      <w:pPr>
        <w:pStyle w:val="Statut"/>
        <w:rPr>
          <w:noProof/>
        </w:rPr>
      </w:pPr>
      <w:r>
        <w:rPr>
          <w:noProof/>
        </w:rPr>
        <w:t>Javaslat</w:t>
      </w:r>
    </w:p>
    <w:p>
      <w:pPr>
        <w:pStyle w:val="Typedudocument"/>
        <w:rPr>
          <w:noProof/>
        </w:rPr>
      </w:pPr>
      <w:r>
        <w:rPr>
          <w:noProof/>
        </w:rPr>
        <w:t>A TANÁCS VÉGREHAJTÁSI HATÁROZATA</w:t>
      </w:r>
    </w:p>
    <w:p>
      <w:pPr>
        <w:pStyle w:val="Titreobjet"/>
        <w:rPr>
          <w:noProof/>
        </w:rPr>
      </w:pPr>
      <w:r>
        <w:rPr>
          <w:noProof/>
        </w:rPr>
        <w:t>Ausztria helyreállítási és rezilienciaépítési terve értékelésének jóváhagyásáról</w:t>
      </w:r>
    </w:p>
    <w:p>
      <w:pPr>
        <w:pStyle w:val="Institutionquiagit"/>
        <w:rPr>
          <w:noProof/>
          <w:szCs w:val="24"/>
        </w:rPr>
      </w:pPr>
      <w:r>
        <w:rPr>
          <w:noProof/>
        </w:rPr>
        <w:t>AZ EURÓPAI UNIÓ TANÁCSA,</w:t>
      </w:r>
    </w:p>
    <w:p>
      <w:pPr>
        <w:rPr>
          <w:noProof/>
          <w:szCs w:val="24"/>
        </w:rPr>
      </w:pPr>
      <w:r>
        <w:rPr>
          <w:noProof/>
        </w:rPr>
        <w:t xml:space="preserve">tekintettel az Európai Unió működéséről szóló szerződésre, </w:t>
      </w:r>
    </w:p>
    <w:p>
      <w:pPr>
        <w:rPr>
          <w:noProof/>
          <w:szCs w:val="24"/>
        </w:rPr>
      </w:pPr>
      <w:r>
        <w:rPr>
          <w:noProof/>
        </w:rPr>
        <w:t>tekintettel a Helyreállítási és Rezilienciaépítési Eszköz létrehozásáról szóló, 2021. február 12-i (EU) 2021/241 európai parlamenti és tanácsi rendeletre</w:t>
      </w:r>
      <w:r>
        <w:rPr>
          <w:rStyle w:val="FootnoteReference"/>
          <w:noProof/>
        </w:rPr>
        <w:footnoteReference w:id="2"/>
      </w:r>
      <w:r>
        <w:rPr>
          <w:noProof/>
        </w:rPr>
        <w:t xml:space="preserve"> és különösen annak 20. cikkére,</w:t>
      </w:r>
    </w:p>
    <w:p>
      <w:pPr>
        <w:rPr>
          <w:noProof/>
          <w:szCs w:val="24"/>
        </w:rPr>
      </w:pPr>
      <w:r>
        <w:rPr>
          <w:noProof/>
        </w:rPr>
        <w:t>tekintettel az Európai Bizottság javaslatára,</w:t>
      </w:r>
    </w:p>
    <w:p>
      <w:pPr>
        <w:rPr>
          <w:noProof/>
          <w:szCs w:val="24"/>
        </w:rPr>
      </w:pPr>
      <w:r>
        <w:rPr>
          <w:noProof/>
        </w:rPr>
        <w:t>mivel:</w:t>
      </w:r>
    </w:p>
    <w:p>
      <w:pPr>
        <w:pStyle w:val="ManualConsidrant"/>
        <w:rPr>
          <w:noProof/>
        </w:rPr>
      </w:pPr>
      <w:r>
        <w:t>(1)</w:t>
      </w:r>
      <w:r>
        <w:tab/>
      </w:r>
      <w:r>
        <w:rPr>
          <w:noProof/>
        </w:rPr>
        <w:t>A Covid19-járvány rendkívül káros hatást gyakorolt Ausztria gazdaságára, tovább súlyosbítva a világjárvány előtt is fennálló kihívásokat. 2019-ben Ausztria bruttó hazai terméke (egy főre jutó GDP) az uniós átlag 144 %-ának felelt meg. Ausztria reál-GDP-je 2020-ban 6,6 %-kal csökkent, és a Bizottság 2021. tavaszi előrejelzése szerint a GDP 2020-ban és 2021-ben halmozottan várhatóan 3,4 %-kal csökken. A középtávú gazdasági teljesítményre hatással lévő, régóta fennálló tényezők közé tartoznak különösen a népesség elöregedésével, a termelékenység viszonylag alacsony növekedésével, a munkát terhelő viszonylag magas adóteherrel és a munkaerő-potenciál optimálistól elmaradó kihasználásával kapcsolatos gazdasági és költségvetési kihívások.</w:t>
      </w:r>
    </w:p>
    <w:p>
      <w:pPr>
        <w:pStyle w:val="ManualConsidrant"/>
        <w:rPr>
          <w:noProof/>
        </w:rPr>
      </w:pPr>
      <w:r>
        <w:t>(2)</w:t>
      </w:r>
      <w:r>
        <w:tab/>
      </w:r>
      <w:r>
        <w:rPr>
          <w:noProof/>
        </w:rPr>
        <w:t>A Tanács 2019. július 9-én és 2020. július 20-án az európai szemeszter keretében ajánlásokat intézett Ausztriához. A Tanács különösen azt ajánlotta Ausztriának, hogy egyszerűsítse és észszerűsítse a költségvetési kapcsolatokat és feladatköröket, biztosítsa az egészségügyi, a tartós ápolási-gondozási és a nyugdíjrendszerek fenntarthatóságát, mozduljon el a munkát terhelő adóktól, és adószerkezetét alakítsa át úgy, hogy jobban támogassa a fenntartható növekedést, biztosítsa a világjárványra reagáló likviditás- és gazdaságtámogatási intézkedéseinek eredményes végrehajtását, ösztönözze az alacsonyan képzettek munkaerőpiaci eredményeit, támogassa a nők teljes munkaidős foglalkoztatását, biztosítsa az esélyegyenlőséget az oktatásban, és emelje az alapkészségek szintjét a hátrányos helyzetű csoportok, köztük a migráns hátterű személyek körében, a beruházásokat összpontosítsa a zöld és digitális átállásra, többek között a vállalkozásokra, a kutatásra és innovációra, az energiapolitikára és a közlekedésre, valamint csökkentse a vállalkozásokra nehezedő adminisztrációs és szabályozási terhet. Az említett országspecifikus ajánlások végrehajtása terén a helyreállítási és rezilienciaépítési terv benyújtásakor elért eredmények vizsgálata alapján a Bizottság megállapítja, hogy teljes mértékben teljesült az az ajánlás, miszerint az ország tegye meg a szükséges intézkedéseket Covid19-világjárvány hatékony kezelése, a gazdaság fenntartása és az elkövetkező helyreállítás támogatása érdekében. Jelentős előrelépés történt a likviditási és támogatási intézkedések eredményes végrehajtásának biztosítására vonatkozó ajánlás tekintetében, különösen a kis- és középvállalkozásoknál.</w:t>
      </w:r>
    </w:p>
    <w:p>
      <w:pPr>
        <w:pStyle w:val="ManualConsidrant"/>
        <w:rPr>
          <w:noProof/>
        </w:rPr>
      </w:pPr>
      <w:r>
        <w:t>(3)</w:t>
      </w:r>
      <w:r>
        <w:tab/>
      </w:r>
      <w:r>
        <w:rPr>
          <w:noProof/>
        </w:rPr>
        <w:t>[Az euróövezethez tartozó tagállamok gazdaságpolitikájára vonatkozó ajánlásában</w:t>
      </w:r>
      <w:r>
        <w:rPr>
          <w:rStyle w:val="FootnoteReference"/>
          <w:noProof/>
        </w:rPr>
        <w:footnoteReference w:id="3"/>
      </w:r>
      <w:r>
        <w:rPr>
          <w:noProof/>
        </w:rPr>
        <w:t xml:space="preserve"> a Tanács egyebek mellett azt ajánlotta az euróövezeti tagállamoknak, hogy – többek között helyreállítási és rezilienciaépítési terveik révén – biztosítsanak a gazdaság helyreállítását támogató szakpolitikai irányvonalat, és javítsák tovább a konvergenciát, a rezilienciát, valamint a fenntartható és inkluzív növekedést. A tanácsi ajánlás azt is tartalmazta, hogy erősítsék meg a nemzeti intézményi kereteket, biztosítsák a makroszintű pénzügyi stabilitást, valamint teljesítsék ki a gazdasági és monetáris uniót és erősítsék meg az euró nemzetközi szerepét.] [Ha e tanácsi végrehajtási határozat elfogadásáig nem fogadják el a tanácsi ajánlást, kérjük, távolítsa el ezt a preambulumbekezdést.]</w:t>
      </w:r>
    </w:p>
    <w:p>
      <w:pPr>
        <w:pStyle w:val="ManualConsidrant"/>
        <w:rPr>
          <w:noProof/>
        </w:rPr>
      </w:pPr>
      <w:r>
        <w:t>(4)</w:t>
      </w:r>
      <w:r>
        <w:tab/>
      </w:r>
      <w:r>
        <w:rPr>
          <w:noProof/>
        </w:rPr>
        <w:t>2021. április 30-án Ausztria az (EU) 2021/241 rendelet 18. cikke (1) bekezdésének megfelelően benyújtotta a Bizottságnak nemzeti helyreállítási és rezilienciaépítési tervét. A terv benyújtását a helyi és regionális önkormányzatok, a szociális partnerek, a civil társadalmi szervezetek, az ifjúsági szervezetek és más érdekelt felek bevonásával a nemzeti jogi kerettel összhangban lefolytatott konzultációs folyamat előzte meg. A helyreállítási és rezilienciaépítési tervek iránti nemzeti felelősségvállalás alátámasztja azok sikeres végrehajtását, tartós nemzeti szintű hatását és európai szintű hitelességét. Az említett rendelet 19. cikkének megfelelően a Bizottság a rendelet V. mellékletében foglalt értékelési iránymutatásokkal összhangban értékelte a helyreállítási és rezilienciaépítési terv relevanciáját, eredményességét, hatékonyságát és következetességét.</w:t>
      </w:r>
    </w:p>
    <w:p>
      <w:pPr>
        <w:pStyle w:val="ManualConsidrant"/>
        <w:rPr>
          <w:noProof/>
        </w:rPr>
      </w:pPr>
      <w:r>
        <w:t>(5)</w:t>
      </w:r>
      <w:r>
        <w:tab/>
      </w:r>
      <w:r>
        <w:rPr>
          <w:noProof/>
        </w:rPr>
        <w:t>A helyreállítási és rezilienciaépítési terveknek az (EU) 2021/241 rendelettel létrehozott Helyreállítási és Rezilienciaépítési Eszköz, valamint az (EU) 2020/2094 tanácsi rendelettel</w:t>
      </w:r>
      <w:r>
        <w:rPr>
          <w:rStyle w:val="FootnoteReference"/>
          <w:noProof/>
        </w:rPr>
        <w:footnoteReference w:id="4"/>
      </w:r>
      <w:r>
        <w:rPr>
          <w:noProof/>
        </w:rPr>
        <w:t xml:space="preserve"> létrehozott Európai Uniós Helyreállítási Eszköz általános célkitűzéseit kell követniük a Covid19-válságot követő helyreállítás támogatása érdekében. Elő kell mozdítaniuk az Unió gazdasági, társadalmi és területi kohézióját azáltal, hogy hozzájárulnak az (EU) 2021/241 rendelet 3. cikkében említett hat pillérhez.</w:t>
      </w:r>
    </w:p>
    <w:p>
      <w:pPr>
        <w:pStyle w:val="ManualConsidrant"/>
        <w:rPr>
          <w:noProof/>
        </w:rPr>
      </w:pPr>
      <w:r>
        <w:t>(6)</w:t>
      </w:r>
      <w:r>
        <w:tab/>
      </w:r>
      <w:r>
        <w:rPr>
          <w:noProof/>
        </w:rPr>
        <w:t>A tagállami helyreállítási és rezilienciaépítési tervek végrehajtása Unió-szerte összehangolt beruházási és reformtörekvéseket jelent majd. E reformok és beruházások összehangolt és egyidejű végrehajtása, valamint a határokon átnyúló projektek végrehajtása révén a reformok és beruházások kölcsönösen erősítik majd egymást, és pozitív továbbgyűrűző hatásokat eredményeznek az egész Unióban. Ezért az eszköz által a tagállamok növekedésére és munkahelyteremtésére gyakorolt hatás körülbelül egyharmada más tagállamokból eredő továbbgyűrűző hatásokból fog származni.</w:t>
      </w:r>
    </w:p>
    <w:p>
      <w:pPr>
        <w:rPr>
          <w:b/>
          <w:i/>
          <w:noProof/>
        </w:rPr>
      </w:pPr>
      <w:r>
        <w:rPr>
          <w:b/>
          <w:i/>
          <w:noProof/>
        </w:rPr>
        <w:t>A hat pillérhez hozzájáruló kiegyensúlyozott válasz</w:t>
      </w:r>
    </w:p>
    <w:p>
      <w:pPr>
        <w:pStyle w:val="ManualConsidrant"/>
        <w:rPr>
          <w:noProof/>
        </w:rPr>
      </w:pPr>
      <w:r>
        <w:t>(7)</w:t>
      </w:r>
      <w:r>
        <w:tab/>
      </w:r>
      <w:r>
        <w:rPr>
          <w:noProof/>
        </w:rPr>
        <w:t>Az (EU) 2021/241 rendelet 19. cikke (3) bekezdésének a) pontjával és V. mellékletének 2.1. pontjával összhangban a helyreállítási és rezilienciaépítési terv nagymértékben („A” minősítés) átfogó és kellően kiegyensúlyozott választ jelent a gazdasági és társadalmi helyzetre, ezáltal megfelelően hozzájárul az (EU) 2021/241 rendelet 3. cikkében említett hat pillér mindegyikéhez, és figyelembe veszi az érintett tagállam előtt álló konkrét kihívásokat és pénzügyi allokációját.</w:t>
      </w:r>
    </w:p>
    <w:p>
      <w:pPr>
        <w:pStyle w:val="ManualConsidrant"/>
        <w:rPr>
          <w:noProof/>
        </w:rPr>
      </w:pPr>
      <w:r>
        <w:t>(8)</w:t>
      </w:r>
      <w:r>
        <w:tab/>
      </w:r>
      <w:r>
        <w:rPr>
          <w:noProof/>
        </w:rPr>
        <w:t>Az osztrák helyreállítási és rezilienciaépítési terv a beruházások és reformok kiegyensúlyozott kombinációját tartalmazza, amely négy, Ausztria szempontjából releváns, széles területet ölel fel:</w:t>
      </w:r>
      <w:r>
        <w:rPr>
          <w:noProof/>
          <w:color w:val="000000" w:themeColor="text1"/>
        </w:rPr>
        <w:t xml:space="preserve"> </w:t>
      </w:r>
      <w:r>
        <w:rPr>
          <w:noProof/>
        </w:rPr>
        <w:t>i. fenntartható helyreállítás, ii. digitális helyreállítás, iii. tudásalapú helyreállítás és iv. igazságos helyreállítás. A terv középpontjában a zöld és digitális átállás áll, ideértve az olyan területekre irányuló nagyberuházásokat is, mint az épületek utólagos hőszigetelése, a kibocsátásmentes közlekedés és a nagy kapacitású széles sávú infrastruktúra. A terv olyan intézkedéseket tartalmaz, amelyek a reformokkal és a beruházásokkal jelentősen hozzájárulnak mind a hat pillérhez. Minden pillérrel számos intézkedés foglalkozik, ami biztosítja, hogy a pillér célkitűzéseit legalább egy – Ausztria szempontjából releváns – terület tevékenységei támogassák. Két pillért (zöld átállás; intelligens, fenntartható és inkluzív növekedés) mind a négy releváns területen támogatnak intézkedések, három pillért (digitális átalakulás; társadalmi és területi kohézió; a következő generációra vonatkozó szakpolitikák) pedig három terület intézkedései támogatnak. Az osztrák terv általános céljával összhangban a legtöbb intézkedés az intelligens, fenntartható és inkluzív növekedést támogatja, amelyet szorosan követ a zöld átállást, valamint a társadalmi és területi kohéziót támogató intézkedések száma.</w:t>
      </w:r>
    </w:p>
    <w:p>
      <w:pPr>
        <w:pStyle w:val="ManualConsidrant"/>
        <w:rPr>
          <w:noProof/>
        </w:rPr>
      </w:pPr>
      <w:r>
        <w:t>(9)</w:t>
      </w:r>
      <w:r>
        <w:tab/>
      </w:r>
      <w:r>
        <w:rPr>
          <w:noProof/>
        </w:rPr>
        <w:t>Az intelligens, fenntartható és inkluzív növekedést támogató intézkedések a terv egészében szerepelnek, és a következőkből állnak: két tervezett, jövőorientált technológiákra (mikroelektronika és hidrogén) kiterjedő, közös európai érdeket szolgáló fontos projekt (IPCEI), egy ökoszociális adóreform, intézkedések a vállalkozások finanszírozási lehetőségeinek beruházási bónusszal történő megerősítéséért, támogatás az energiaszegénység csökkentéséhez, valamint lépések az üzleti környezet liberalizálása érdekében. A társadalmi és területi kohéziót támogatják a nyugdíjrendszer reformjára irányuló intézkedések (amelyek várhatóan hozzájárulnak a nemek közötti nyugdíjszakadék és az időskori szegénység csökkentéséhez), valamint többek között a továbbképzési és átképzési tevékenységekbe való beruházások, az oktatási bónusz és a hátrányos helyzetű várandós nőknek nyújtott korai támogatás.</w:t>
      </w:r>
    </w:p>
    <w:p>
      <w:pPr>
        <w:pStyle w:val="ManualConsidrant"/>
        <w:rPr>
          <w:noProof/>
        </w:rPr>
      </w:pPr>
      <w:r>
        <w:t>(10)</w:t>
      </w:r>
      <w:r>
        <w:tab/>
      </w:r>
      <w:r>
        <w:rPr>
          <w:noProof/>
        </w:rPr>
        <w:t>Az egészségügyi, gazdasági, társadalmi és intézményi rezilienciával olyan intézkedések foglalkoznak, mint az első osztrák precíziós orvoslási intézet létrehozása, valamint a hátrányos helyzetű fiatal anyáknak és családjaiknak nyújtott célzott támogatás országos bevezetése, amelynek célja a társadalmi kirekesztődés kockázatának csökkentése. Az oktatási intézkedések várhatóan támogatják a tanulók digitális készségeinek fejlesztését, és elősegítik a kijárási korlátozások miatt elveszett tanulási lehetőségek helyreállítását, ezzel is hozzájárulva a következő nemzedék megerősítéséhez.</w:t>
      </w:r>
    </w:p>
    <w:p>
      <w:pPr>
        <w:rPr>
          <w:b/>
          <w:bCs/>
          <w:i/>
          <w:iCs/>
          <w:noProof/>
        </w:rPr>
      </w:pPr>
      <w:r>
        <w:rPr>
          <w:b/>
          <w:bCs/>
          <w:i/>
          <w:iCs/>
          <w:noProof/>
        </w:rPr>
        <w:t>Az országspecifikus ajánlásokban azonosított kihívások összességének vagy jelentős részének kezelése</w:t>
      </w:r>
    </w:p>
    <w:p>
      <w:pPr>
        <w:pStyle w:val="ManualConsidrant"/>
        <w:rPr>
          <w:noProof/>
        </w:rPr>
      </w:pPr>
      <w:r>
        <w:t>(11)</w:t>
      </w:r>
      <w:r>
        <w:tab/>
      </w:r>
      <w:r>
        <w:rPr>
          <w:noProof/>
        </w:rPr>
        <w:t>Az (EU) 2021/241 rendelet 19. cikke (3) bekezdésének b) pontjával és V. mellékletének 2.2. pontjával összhangban a helyreállítási és rezilienciaépítési terv várhatóan hozzájárul az Ausztriának címzett, releváns országspecifikus ajánlásokban, illetve a Bizottság által az európai szemeszter keretében hivatalosan elfogadott más releváns dokumentumokban azonosított kihívások összességének vagy jelentős részének eredményes kezeléséhez („A” minősítés), beleértve azok költségvetési vonatkozásait is. Megállapítható, hogy a világjárványra adott azonnali költségvetés-politikai válasszal kapcsolatos ajánlásokkal az osztrák helyreállítási és rezilienciaépítési terv nem foglalkozik, mindazonáltal Ausztria az általános mentesítési rendelkezéssel összhangban 2020-ban és 2021-ben megfelelő és kielégítő intézkedéseket hozott a gazdaság költségvetési eszközökkel történő azonnali támogatása érdekében.</w:t>
      </w:r>
    </w:p>
    <w:p>
      <w:pPr>
        <w:pStyle w:val="ManualConsidrant"/>
        <w:rPr>
          <w:noProof/>
        </w:rPr>
      </w:pPr>
      <w:r>
        <w:t>(12)</w:t>
      </w:r>
      <w:r>
        <w:tab/>
      </w:r>
      <w:r>
        <w:rPr>
          <w:noProof/>
        </w:rPr>
        <w:t>A terv számos egymást kölcsönösen erősítő reformot és beruházást tartalmaz, amelyek hozzájárulnak az Ausztriának címzett országspecifikus ajánlásokban felvázolt valamennyi gazdasági és társadalmi kihívás vagy azok jelentős részének eredményes kezeléséhez. Az adórendszer tervezett módosításait úgy kell megtervezni, hogy csökkentsék Ausztria üvegházhatásúgáz-kibocsátását, ugyanakkor hozzájáruljanak a munkát terhelő adóktól való elmozduláshoz, valamint az ökológiai és szociális szempontokat is figyelembe vegyék. A nők teljes munkaidős munkaerőpiaci részvételére várhatóan előnyösen fog hatni a minőségi gyermekgondozási létesítmények jobb kínálata. A terv intézkedései a nemek közötti nyugdíjszakadék régóta elismert kihívásával is foglalkoznak. Az energiahatékonyságba, a megújuló energiaforrásokba, az ipar dekarbonizációjába, a biológiai sokféleségbe és a körforgásos gazdaságba történő beruházások és a kapcsolódó reformok – többek között a megújuló energiaforrások támogatási keretének átalakítása és az olajjal működő fűtőrendszerek fokozatos lecserélése – várhatóan előmozdítják a zöld gazdaságra való átállást.</w:t>
      </w:r>
    </w:p>
    <w:p>
      <w:pPr>
        <w:pStyle w:val="ManualConsidrant"/>
        <w:rPr>
          <w:noProof/>
        </w:rPr>
      </w:pPr>
      <w:r>
        <w:t>(13)</w:t>
      </w:r>
      <w:r>
        <w:tab/>
      </w:r>
      <w:r>
        <w:rPr>
          <w:noProof/>
        </w:rPr>
        <w:t>A terv továbbá olyan társadalmi és gazdasági kihívásokkal is foglalkozik, amelyek a Covid19-válság során merültek fel vagy súlyosbodtak. A várakozások szerint egy sor aktív munkaerőpiaci intézkedés fogja kezelni az alacsony képzettségűek támogatása iránti megnövekedett igényt, és javítani a hátrányos helyzetű csoportok munkaerőpiaci lehetőségeit. Ilyen intézkedés az oktatási bónusz és az egyablakos ügyintézés a tartósan munkanélküli személyeknek, akik a foglalkoztatás és a befogadás számos akadályával küzdenek. Az iskolai fizikai jelenlét hiányát megszenvedő tanulóknak lehetőséget kell biztosítani arra, hogy olyan további tanulási környezetekben is részt vehessenek, ahol javulhat a tudásuk és kielégítő tanulási eredményeket érhetnek el. A helyszínek bezárása által sújtott kulturális ágazatnak is részesülnie kell a támogató intézkedésekből, ideértve a műtárgyak digitalizálását és a kulturális helyszínek felújítását. Az egyszeri adatszolgáltatás elve várhatóan enyhíti és egyszerűsíti a vállalatok adminisztratív terhét, mivel célja az inkompatibilis informatikai rendszerek okozta adminisztratív teher és megfelelési költségek csökkentése, valamint a beruházások ösztönzése.</w:t>
      </w:r>
    </w:p>
    <w:p>
      <w:pPr>
        <w:rPr>
          <w:b/>
          <w:i/>
          <w:noProof/>
        </w:rPr>
      </w:pPr>
      <w:r>
        <w:rPr>
          <w:b/>
          <w:i/>
          <w:noProof/>
        </w:rPr>
        <w:t>A növekedési potenciálhoz, a munkahelyteremtéshez, valamint a gazdasági, társadalmi és intézményi rezilienciához való hozzájárulás</w:t>
      </w:r>
    </w:p>
    <w:p>
      <w:pPr>
        <w:pStyle w:val="ManualConsidrant"/>
        <w:rPr>
          <w:noProof/>
        </w:rPr>
      </w:pPr>
      <w:r>
        <w:t>(14)</w:t>
      </w:r>
      <w:r>
        <w:tab/>
      </w:r>
      <w:r>
        <w:rPr>
          <w:noProof/>
        </w:rPr>
        <w:t>Az (EU) 2021/241 rendelet 19. cikke (3) bekezdésének c) pontjával és V. mellékletének 2.3. pontjával összhangban a helyreállítási és rezilienciaépítési terv várhatóan jelentős hatást gyakorol („A” minősítés) a növekedési potenciál megerősítésére, a munkahelyteremtésre, valamint az érintett tagállam gazdasági, társadalmi és intézményi rezilienciájára, hozzájárulva a szociális jogok európai pillérének végrehajtásához, többek között a gyermekekre és a fiatalokra vonatkozó szakpolitikák előmozdítása révén, valamint a Covid19-válság gazdasági és társadalmi hatásának enyhítéséhez, ezáltal fokozva az Unión belüli gazdasági, társadalmi és területi kohéziót és konvergenciát;</w:t>
      </w:r>
    </w:p>
    <w:p>
      <w:pPr>
        <w:pStyle w:val="ManualConsidrant"/>
        <w:rPr>
          <w:noProof/>
        </w:rPr>
      </w:pPr>
      <w:r>
        <w:t>(15)</w:t>
      </w:r>
      <w:r>
        <w:tab/>
      </w:r>
      <w:r>
        <w:rPr>
          <w:noProof/>
        </w:rPr>
        <w:t>A Bizottság szolgálatai által készített szimulációkból kiderül, hogy a terv alkalmas arra, hogy Ausztria GDP-jét 2026-ig a 0,4 % és 0,7 % közötti tartományban növelje</w:t>
      </w:r>
      <w:r>
        <w:rPr>
          <w:rStyle w:val="FootnoteReference"/>
          <w:noProof/>
          <w:szCs w:val="24"/>
        </w:rPr>
        <w:footnoteReference w:id="5"/>
      </w:r>
      <w:r>
        <w:rPr>
          <w:noProof/>
        </w:rPr>
        <w:t>. Az osztrák tervben a társadalmi kohézióra várhatóan pozitívan ható, és a kiszolgáltatott csoportok társadalmi és gazdasági kockázatait várhatóan csökkentő intézkedések elsősorban azok, amelyek javítják a hátrányos helyzetű csoportok munkaerőpiaci részvételi kilátásait. Az alacsony képzettségűek, a munkanélküliek és az inaktívak részesülhetnek a továbbképzési és átképzési intézkedések előnyeiből, amelyek várhatóan javítják foglalkoztathatóságukat. A szociális támogatási intézkedésekhez való könnyebb – egyablakos – hozzáféréssel a válság által leginkább sújtottak leküzdhetik a kihívásokat és növelhetik társadalmi részvételi lehetőségeiket.</w:t>
      </w:r>
    </w:p>
    <w:p>
      <w:pPr>
        <w:pStyle w:val="ManualConsidrant"/>
        <w:rPr>
          <w:noProof/>
        </w:rPr>
      </w:pPr>
      <w:r>
        <w:t>(16)</w:t>
      </w:r>
      <w:r>
        <w:tab/>
      </w:r>
      <w:r>
        <w:rPr>
          <w:noProof/>
        </w:rPr>
        <w:t>Konkrét intézkedések vannak tervbe véve arra is, hogy a gyermekek és a fiatalok leküzdhessék a távoktatásra való átállás hatásait. Nem minden tanuló és diák volt abban a helyzetben, hogy részesüljön online oktatásban, így tanulási folyamataikban sokan töréseket tapasztaltak. A pótlólagos tanórák felkínálása a válság által leginkább sújtottakat célozza meg. A szociális jogok európai pillérében meghatározott elvekkel összhangban álló intézkedések közé tartoznak – a minőségi oktatáshoz való jobb hozzáférésen kívül – a koragyermekkori nevelésre vonatkozó fokozott kínálat, valamint a nyugdíjrendszer egyenlőségét javító és a nemek közötti egyenlőséghez hozzájáruló intézkedések is.</w:t>
      </w:r>
    </w:p>
    <w:p>
      <w:pPr>
        <w:rPr>
          <w:b/>
          <w:i/>
          <w:noProof/>
        </w:rPr>
      </w:pPr>
      <w:r>
        <w:rPr>
          <w:b/>
          <w:i/>
          <w:noProof/>
        </w:rPr>
        <w:t>A jelentős károkozás elkerülése</w:t>
      </w:r>
    </w:p>
    <w:p>
      <w:pPr>
        <w:pStyle w:val="ManualConsidrant"/>
        <w:rPr>
          <w:noProof/>
        </w:rPr>
      </w:pPr>
      <w:r>
        <w:t>(17)</w:t>
      </w:r>
      <w:r>
        <w:tab/>
      </w:r>
      <w:r>
        <w:rPr>
          <w:noProof/>
        </w:rPr>
        <w:t>Az (EU) 2021/241 rendelet 19. cikke (3) bekezdésének d) pontjával és V. mellékletének 2.4. pontjával összhangban a helyreállítási és rezilienciaépítési terv várhatóan biztosítja, hogy a helyreállítási és rezilienciaépítési tervben foglalt reformok és beruházási projektek végrehajtására irányuló egyetlen intézkedés se okozzon jelentős kárt („A” minősítés) a környezeti célkitűzések tekintetében az (EU) 2020/852 európai parlamenti és tanácsi rendelet</w:t>
      </w:r>
      <w:r>
        <w:rPr>
          <w:rStyle w:val="FootnoteReference"/>
          <w:noProof/>
        </w:rPr>
        <w:footnoteReference w:id="6"/>
      </w:r>
      <w:r>
        <w:rPr>
          <w:noProof/>
        </w:rPr>
        <w:t xml:space="preserve"> 17. cikke értelmében (a jelentős károkozás elkerülését célzó elv).</w:t>
      </w:r>
    </w:p>
    <w:p>
      <w:pPr>
        <w:pStyle w:val="ManualConsidrant"/>
        <w:rPr>
          <w:noProof/>
        </w:rPr>
      </w:pPr>
      <w:r>
        <w:t>(18)</w:t>
      </w:r>
      <w:r>
        <w:tab/>
      </w:r>
      <w:r>
        <w:rPr>
          <w:noProof/>
        </w:rPr>
        <w:t>Az értékelést a jelentős károkozás elkerülését célzó elv alkalmazásáról szóló bizottsági technikai iránymutatás (2021/C 58/01) kétlépcsős megközelítésével végezték el. Kiterjed az (EU) 2020/852 rendelet 17. cikke szerinti hat környezetvédelmi célkitűzésre, nevezetesen az éghajlatváltozás mérséklésére, az éghajlatváltozáshoz való alkalmazkodásra, a vízi és tengeri erőforrások fenntartható használatára és védelmére, a körforgásos gazdaságra, a szennyezés megelőzésére és csökkentésére, valamint a biológiai sokféleség és az ökoszisztémák védelmére és helyreállítására. Azoknál az intézkedéseknél, ahol kockázatot azonosítottak, ezt az elvnek való teljes körű megfelelés érdekében konkrét és releváns intézkedésekkel kezelték. Az ipart a klímasemlegesség irányába átalakító pénzügyi támogatással kapcsolatban meg kell határozni egy mérföldkövet, hogy az uniós kibocsátáskereskedelmi rendszer hatálya alá tartozó iparágakban a nagyszabású, átalakító hatású projekteket megcélzó, közzétett felhívásokban a kapcsolódó jogosultsági feltételek is szerepeljenek.</w:t>
      </w:r>
    </w:p>
    <w:p>
      <w:pPr>
        <w:rPr>
          <w:noProof/>
        </w:rPr>
      </w:pPr>
      <w:r>
        <w:rPr>
          <w:b/>
          <w:i/>
          <w:noProof/>
        </w:rPr>
        <w:t>A zöld átálláshoz, többek között a biológiai sokféleség előmozdításához való hozzájárulás</w:t>
      </w:r>
    </w:p>
    <w:p>
      <w:pPr>
        <w:pStyle w:val="ManualConsidrant"/>
        <w:rPr>
          <w:noProof/>
        </w:rPr>
      </w:pPr>
      <w:r>
        <w:t>(19)</w:t>
      </w:r>
      <w:r>
        <w:tab/>
      </w:r>
      <w:r>
        <w:rPr>
          <w:noProof/>
        </w:rPr>
        <w:t>Az (EU) 2021/241 rendelet 19. cikke (3) bekezdésének e) pontjával és V. mellékletének 2.5. pontjával összhangban a helyreállítási és rezilienciaépítési terv olyan intézkedéseket tartalmaz, amelyek várhatóan nagymértékben („A” minősítés) hozzájárulnak a biológiai sokféleségre is kiterjedő zöld átálláshoz vagy az abból fakadó kihívások kezeléséhez. Az éghajlat-politikai célkitűzéseket támogató intézkedések az (EU) 2021/241 rendelet VII. mellékletében foglalt módszertannak megfelelő számítás szerint a terv teljes allokációjának megközelítőleg 58,7 %-át teszik ki. Az (EU) 2021/241 rendelet 17. cikkének megfelelően a helyreállítási és rezilienciaépítési terv összhangban van a 2021–2030 közötti időszakra szóló nemzeti energia- és klímatervben foglalt információkkal.</w:t>
      </w:r>
    </w:p>
    <w:p>
      <w:pPr>
        <w:pStyle w:val="ManualConsidrant"/>
        <w:rPr>
          <w:noProof/>
        </w:rPr>
      </w:pPr>
      <w:r>
        <w:t>(20)</w:t>
      </w:r>
      <w:r>
        <w:tab/>
      </w:r>
      <w:r>
        <w:rPr>
          <w:noProof/>
        </w:rPr>
        <w:t>A terv alkomponenseinek fele olyan beruházásokat tartalmaz, amelyek várhatóan hozzájárulnak az éghajlat-politikai célkitűzésekhez, és egyértelműen a szén-dioxid- kibocsátás csökkentésére összpontosulnak. Az intézkedések tehát összhangban vannak az osztrák nemzeti energia- és klímatervben azonosított kihívásokkal, és várhatóan hozzájárulnak a 2030-as energia- és éghajlat-politikai célok eléréséhez. A terv különösen a fenntartható mobilitásra, az épületekre és az iparra fókuszál, amelyek Ausztriában a legnagyobb üvegházhatásúgáz-kibocsátók között vannak. A mobilitást illetően egyes intézkedéseknek hozzá kell járulniuk a tömegközlekedésben használt járművek villamosításához, míg mások várhatóan a tömegközlekedési hálózatot teszik vonzóbbá, így ösztönözve az embereket a magánközlekedésről a tömegközlekedésre való áttérésre. Az ipari, többek között a nehézipari (például az uniós kibocsátáskereskedelmi rendszer hatálya alá tartozó létesítményekből) kibocsátást és a vállalkozások közlekedéséből származó kibocsátást egy beruházástámogatási rendszerrel kell kezelni. Emellett várhatóan csökkenteni fogja az épületek kibocsátását a gázzal és olajjal működő olajfűtőrendszerek fenntarthatóbb fűtőberendezésekkel való helyettesítését támogató célzott program.</w:t>
      </w:r>
    </w:p>
    <w:p>
      <w:pPr>
        <w:pStyle w:val="ManualConsidrant"/>
        <w:rPr>
          <w:noProof/>
        </w:rPr>
      </w:pPr>
      <w:r>
        <w:t>(21)</w:t>
      </w:r>
      <w:r>
        <w:tab/>
      </w:r>
      <w:r>
        <w:rPr>
          <w:noProof/>
        </w:rPr>
        <w:t>A környezetvédelmi célokat a terv várhatóan a körforgásos gazdaságot, a biológiai sokféleséget és az éghajlatváltozáshoz való alkalmazkodást támogató intézkedésekkel teljesíti. Várhatóan elősegíti az Unió környezetpolitikai céljainak elérését, valamint hozzájárul Ausztria biológiai sokféleségének, természetes szénelnyelőinek és Natura 2000 hálózatának javulásához, védelméhez és helyreállításához, ezáltal pedig a biológiai sokféleséggel kapcsolatos uniós és nemzeti stratégiákhoz.</w:t>
      </w:r>
      <w:r>
        <w:rPr>
          <w:rStyle w:val="normaltextrun"/>
          <w:noProof/>
          <w:color w:val="000000"/>
          <w:shd w:val="clear" w:color="auto" w:fill="FFFFFF"/>
        </w:rPr>
        <w:t xml:space="preserve"> A célzott új talajvédelmi stratégia várhatóan csökkenteni fogja a földhasználatot.</w:t>
      </w:r>
    </w:p>
    <w:p>
      <w:pPr>
        <w:rPr>
          <w:b/>
          <w:i/>
          <w:noProof/>
        </w:rPr>
      </w:pPr>
      <w:r>
        <w:rPr>
          <w:b/>
          <w:i/>
          <w:noProof/>
        </w:rPr>
        <w:t>A digitális átálláshoz való hozzájárulás</w:t>
      </w:r>
    </w:p>
    <w:p>
      <w:pPr>
        <w:pStyle w:val="ManualConsidrant"/>
        <w:rPr>
          <w:noProof/>
        </w:rPr>
      </w:pPr>
      <w:r>
        <w:t>(22)</w:t>
      </w:r>
      <w:r>
        <w:tab/>
      </w:r>
      <w:r>
        <w:rPr>
          <w:noProof/>
        </w:rPr>
        <w:t>Az (EU) 2021/241 rendelet 19. cikke (3) bekezdésének f) pontjával és V. mellékletének 2.6. pontjával összhangban a helyreállítási és rezilienciaépítési terv olyan intézkedéseket tartalmaz, amelyek nagymértékben („A” minősítés) hozzájárulnak a digitális átálláshoz vagy az abból fakadó kihívások kezeléséhez. A digitális célkitűzéseket támogató intézkedések az (EU) 2021/241 rendelet VII. mellékletében foglalt módszertannak megfelelő számítás szerint a terv teljes allokációjának megközelítőleg 52,8 %-át teszik ki.</w:t>
      </w:r>
    </w:p>
    <w:p>
      <w:pPr>
        <w:pStyle w:val="ManualConsidrant"/>
        <w:rPr>
          <w:noProof/>
        </w:rPr>
      </w:pPr>
      <w:r>
        <w:t>(23)</w:t>
      </w:r>
      <w:r>
        <w:tab/>
      </w:r>
      <w:r>
        <w:rPr>
          <w:noProof/>
        </w:rPr>
        <w:t>Ausztria terve várhatóan hozzájárul majd az ország digitalizálásához azáltal, hogy támogatja a gigabites átviteli sebességre képes hozzáférési hálózatok széles körű kiépítését, valamint biztosítja a jelenleg rosszul ellátott vagy hátrányos helyzetű és távoli területek jobb bekapcsolását. A tervben szereplő intézkedések összhangban vannak a 2030-ra és 2050-re vonatkozó digitális célokat meghatározó más osztrák keretekkel is, például a 2030-as szélessávú stratégiával (</w:t>
      </w:r>
      <w:r>
        <w:rPr>
          <w:i/>
          <w:noProof/>
        </w:rPr>
        <w:t>Breitbandstrategie 2030</w:t>
      </w:r>
      <w:r>
        <w:rPr>
          <w:noProof/>
        </w:rPr>
        <w:t>) vagy az osztrák digitális cselekvési tervvel (</w:t>
      </w:r>
      <w:r>
        <w:rPr>
          <w:i/>
          <w:noProof/>
        </w:rPr>
        <w:t>Digitaler Aktionsplan Austria</w:t>
      </w:r>
      <w:r>
        <w:rPr>
          <w:noProof/>
        </w:rPr>
        <w:t>). Az osztrák helyreállítási és rezilienciaépítési tervnek biztosítania kell, hogy a tanulók rendelkezzenek a megfelelő digitális eszközökkel, és a terv várhatóan javítja digitális készségeiket is, valamint elősegíti a digitális eszközök és módszerek fokozott használatát az oktatási és tanulási környezetben. Ez várhatóan hozzá fog járulni a Covid19-világjárvány miatt fokozottan előtérbe kerülő kihívások kezeléséhez, például annak a nehézségnek a legyőzéséhez, hogy a kijárási korlátozások idején valamennyi diák digitális oktatásban részesüljön.</w:t>
      </w:r>
    </w:p>
    <w:p>
      <w:pPr>
        <w:rPr>
          <w:b/>
          <w:i/>
          <w:noProof/>
        </w:rPr>
      </w:pPr>
      <w:r>
        <w:rPr>
          <w:b/>
          <w:i/>
          <w:noProof/>
        </w:rPr>
        <w:t>Tartós hatás</w:t>
      </w:r>
    </w:p>
    <w:p>
      <w:pPr>
        <w:pStyle w:val="ManualConsidrant"/>
        <w:rPr>
          <w:noProof/>
        </w:rPr>
      </w:pPr>
      <w:r>
        <w:t>(24)</w:t>
      </w:r>
      <w:r>
        <w:tab/>
      </w:r>
      <w:r>
        <w:rPr>
          <w:noProof/>
        </w:rPr>
        <w:t>Az (EU) 2021/241 rendelet 19. cikke (3) bekezdésének g) pontjával és V. mellékletének 2.7. pontjával összhangban a helyreállítási és rezilienciaépítési terv várhatóan nagymértékben („A” minősítés) tartós hatást gyakorol Ausztriára.</w:t>
      </w:r>
    </w:p>
    <w:p>
      <w:pPr>
        <w:pStyle w:val="ManualConsidrant"/>
        <w:rPr>
          <w:noProof/>
        </w:rPr>
      </w:pPr>
      <w:r>
        <w:t>(25)</w:t>
      </w:r>
      <w:r>
        <w:tab/>
      </w:r>
      <w:r>
        <w:rPr>
          <w:noProof/>
        </w:rPr>
        <w:t>Az osztrák terv számos olyan reformot tartalmaz, amelyek alkalmasak a tartós strukturális változások támogatására. Ezek közé tartozik az egészségügyi ellátórendszer reformja, amely nagyobb hangsúlyt fektet az alapellátásra, valamint az anyák és gyermekek egészségügyi ellátásának támogatása. A tervben szereplő egyéb intézkedések pedig várhatóan csökkentik a vállalkozások adminisztratív terheit és hozzájárulnak a közigazgatás digitalizálásához.</w:t>
      </w:r>
    </w:p>
    <w:p>
      <w:pPr>
        <w:pStyle w:val="ManualConsidrant"/>
        <w:rPr>
          <w:noProof/>
        </w:rPr>
      </w:pPr>
      <w:r>
        <w:t>(26)</w:t>
      </w:r>
      <w:r>
        <w:tab/>
      </w:r>
      <w:r>
        <w:rPr>
          <w:noProof/>
        </w:rPr>
        <w:t>A terv számos olyan beruházást tartalmaz, amelynek várhatóan tartós hatása lesz, különösen a zöld és digitális átállás tekintetében. A megújuló energiaforrások használatának növelésére irányuló intézkedések közé tartozik a környezetbarát fűtési rendszerekre való áttérés. Az épületfelújításoknak csökkenteniük kell az energiafelhasználást és a kapcsolódó kibocsátást. A nagy kapacitású széles sávú hálózatokba és egyéb infrastrukturális intézkedésekbe történő beruházások várhatóan megkönnyítik a digitális technológiák elterjedését, és támogatják a háztartásokat, az üzleti szektort és a közigazgatást a technológiai fejlődés legjobb kihasználásában. A terv tartós hatása a terv és más – többek között a kohéziós politikai alapokból finanszírozott – programok közötti szinergiákkal is fokozható, nevezetesen a területi kihívások mélyreható kezelésével, valamint a kiegyensúlyozott fejlődés előmozdításával.</w:t>
      </w:r>
    </w:p>
    <w:p>
      <w:pPr>
        <w:rPr>
          <w:rStyle w:val="eop"/>
          <w:b/>
          <w:i/>
          <w:noProof/>
        </w:rPr>
      </w:pPr>
      <w:r>
        <w:rPr>
          <w:rStyle w:val="eop"/>
          <w:b/>
          <w:i/>
          <w:noProof/>
        </w:rPr>
        <w:t>Nyomon követés és végrehajtás</w:t>
      </w:r>
    </w:p>
    <w:p>
      <w:pPr>
        <w:pStyle w:val="ManualConsidrant"/>
        <w:rPr>
          <w:noProof/>
        </w:rPr>
      </w:pPr>
      <w:r>
        <w:t>(27)</w:t>
      </w:r>
      <w:r>
        <w:tab/>
      </w:r>
      <w:r>
        <w:rPr>
          <w:noProof/>
        </w:rPr>
        <w:t>Az (EU) 2021/241 rendelet 19. cikke (3) bekezdésének h) pontjával és V. mellékletének 2.8. pontjával összhangban a helyreállítási és rezilienciaépítési tervben javasolt intézkedések várhatóan megfelelő módon („A” minősítés) biztosítják a terv eredményes nyomon követését és végrehajtását, a tervezett ütemtervre, mérföldkövekre és célokra, valamint a kapcsolódó mutatókra is kiterjedően.</w:t>
      </w:r>
    </w:p>
    <w:p>
      <w:pPr>
        <w:pStyle w:val="ManualConsidrant"/>
        <w:rPr>
          <w:noProof/>
        </w:rPr>
      </w:pPr>
      <w:r>
        <w:t>(28)</w:t>
      </w:r>
      <w:r>
        <w:tab/>
      </w:r>
      <w:r>
        <w:rPr>
          <w:noProof/>
        </w:rPr>
        <w:t>Az osztrák terv általános végrehajtását az osztrák pénzügyminisztériumnak kell felügyelnie. Megfelelő intézkedések történtek annak meghatározására, hogy a többi minisztérium és ügynökség hogyan felel a felelősségi körébe tartozó intézkedések végrehajtásáért, nyomon követéséért és jelentéséért. Az osztrák terv mérföldkövei és céljai megfelelő rendszert alkotnak a terv végrehajtásának nyomon követésére. Kellően egyértelműek és átfogóak ahhoz, hogy biztosítsák teljesítésük nyomon követését és ellenőrzését. A mérföldkövek és célok a rendelet 17. cikkének (2) bekezdése szerint támogatásra jogosult, már befejezett intézkedésekre is vonatkoznak. E mérföldkövek és célok tartósan kielégítő teljesítése szükséges a folyósítási kérelem indoklásához.</w:t>
      </w:r>
    </w:p>
    <w:p>
      <w:pPr>
        <w:pStyle w:val="ManualConsidrant"/>
        <w:rPr>
          <w:noProof/>
        </w:rPr>
      </w:pPr>
      <w:r>
        <w:t>(29)</w:t>
      </w:r>
      <w:r>
        <w:tab/>
      </w:r>
      <w:r>
        <w:rPr>
          <w:noProof/>
        </w:rPr>
        <w:t>Az osztrák hatóságok által leírt ellenőrzési mechanizmusok, adatgyűjtés és felelősségi körök kellően megbízhatónak tűnnek ahhoz, hogy a mérföldkövek és célok teljesülését követően megfelelően alátámasszák a kifizetési kérelmeket.</w:t>
      </w:r>
    </w:p>
    <w:p>
      <w:pPr>
        <w:pStyle w:val="ManualConsidrant"/>
        <w:rPr>
          <w:noProof/>
        </w:rPr>
      </w:pPr>
      <w:r>
        <w:t>(30)</w:t>
      </w:r>
      <w:r>
        <w:tab/>
      </w:r>
      <w:r>
        <w:rPr>
          <w:noProof/>
        </w:rPr>
        <w:t>A tagállamoknak biztosítaniuk kell, hogy az eszköz keretében nyújtott pénzügyi támogatást az (EU) 2021/241 rendelet 34. cikkével összhangban közöljék és elismerjék A technikai támogatási eszköz keretében a tagállamok technikai támogatást kérhetnek tervük végrehajtásához.</w:t>
      </w:r>
    </w:p>
    <w:p>
      <w:pPr>
        <w:rPr>
          <w:b/>
          <w:i/>
          <w:noProof/>
        </w:rPr>
      </w:pPr>
      <w:r>
        <w:rPr>
          <w:b/>
          <w:i/>
          <w:noProof/>
        </w:rPr>
        <w:t>Költségszámítás</w:t>
      </w:r>
    </w:p>
    <w:p>
      <w:pPr>
        <w:pStyle w:val="ManualConsidrant"/>
        <w:rPr>
          <w:noProof/>
        </w:rPr>
      </w:pPr>
      <w:r>
        <w:t>(31)</w:t>
      </w:r>
      <w:r>
        <w:tab/>
      </w:r>
      <w:r>
        <w:rPr>
          <w:noProof/>
        </w:rPr>
        <w:t>Az (EU) 2021/241 rendelet 19. cikke (3) bekezdésének i) pontjával és V. mellékletének 2.9. pontjával összhangban a helyreállítási és rezilienciaépítési terv becsült összköltségére vonatkozó, a tervben közölt indokolás közepes mértékben („B” minősítés) megfelel a következőknek: észszerű és valószerű, összhangban van a költséghatékonyság elvével és arányos a gazdaságra és a társadalomra gyakorolt várható hatással.</w:t>
      </w:r>
    </w:p>
    <w:p>
      <w:pPr>
        <w:pStyle w:val="ManualConsidrant"/>
        <w:rPr>
          <w:noProof/>
        </w:rPr>
      </w:pPr>
      <w:r>
        <w:t>(32)</w:t>
      </w:r>
      <w:r>
        <w:tab/>
      </w:r>
      <w:r>
        <w:rPr>
          <w:noProof/>
        </w:rPr>
        <w:t>Ausztria a helyreállítási és rezilienciaépítési tervben szereplő mind a 33 beruházásra vonatkozóan egyéni költségbecsléseket nyújtott be. Ausztria elegendő információt és bizonyítékot szolgáltatott arra vonatkozóan, hogy meglévő vagy tervezett uniós finanszírozás nem fedezi a helyreállítási és rezilienciaépítési tervnek az (EU) 2021/241 rendelet szerint finanszírozandó becsült összköltségét.</w:t>
      </w:r>
    </w:p>
    <w:p>
      <w:pPr>
        <w:pStyle w:val="ManualConsidrant"/>
        <w:rPr>
          <w:noProof/>
        </w:rPr>
      </w:pPr>
      <w:r>
        <w:t>(33)</w:t>
      </w:r>
      <w:r>
        <w:tab/>
      </w:r>
      <w:r>
        <w:rPr>
          <w:noProof/>
        </w:rPr>
        <w:t>Az egyéni költségbecslések és a kapcsolódó alátámasztó dokumentumok értékelése alapján a terv becsült összköltsége észszerűnek és valószerűnek tűnik. A tervvel együtt benyújtott egyéni költségbecslések többsége észszerűnek, érthetőnek és megalapozott alapfeltevéseken alapulónak lett értékelve. Az osztrák tervben szereplő költségbecslések többsége valószerűnek, a legfontosabb költségtényezők referenciaköltségeivel alátámasztottnak, egyértelmű bizonyítékokkal alátámasztottnak és hasonló reformokkal vagy beruházásokkal összhangban lévőnek tekinthető. Végül, a helyreállítási és rezilienciaépítési terv becsült összköltsége összhangban van a költséghatékonyság elvével és arányos a gazdaságra és a társadalomra gyakorolt várható hatással.</w:t>
      </w:r>
    </w:p>
    <w:p>
      <w:pPr>
        <w:rPr>
          <w:b/>
          <w:i/>
          <w:noProof/>
        </w:rPr>
      </w:pPr>
      <w:r>
        <w:rPr>
          <w:b/>
          <w:i/>
          <w:noProof/>
        </w:rPr>
        <w:t>A pénzügyi érdekek védelme</w:t>
      </w:r>
    </w:p>
    <w:p>
      <w:pPr>
        <w:pStyle w:val="ManualConsidrant"/>
        <w:rPr>
          <w:noProof/>
        </w:rPr>
      </w:pPr>
      <w:r>
        <w:t>(34)</w:t>
      </w:r>
      <w:r>
        <w:tab/>
      </w:r>
      <w:r>
        <w:rPr>
          <w:noProof/>
        </w:rPr>
        <w:t>Az (EU) 2021/241 rendelet 19. cikke (3) bekezdésének j) pontjával és V. mellékletének 2.10. pontjával összhangban a helyreállítási és rezilienciaépítési tervben javasolt intézkedések megfelelőek („A” minősítés) ahhoz, hogy megelőzzék, feltárják és korrigálják a korrupciót, a csalást és az összeférhetetlenséget az említett rendelet alapján biztosított források felhasználása során, és az intézkedések várhatóan eredményesen biztosítják az említett rendeletből és más uniós programokból származó kettős finanszírozás elkerülését. Ez nem érinti az uniós jognak való megfelelés előmozdítására és érvényesítésére szolgáló egyéb instrumentumok és eszközök alkalmazását, többek között a korrupció, a csalás és az összeférhetetlenségek megelőzése, feltárása és korrekciója, valamint az Unió pénzügyeinek az (EU) 2020/2092 európai parlamenti és tanácsi rendelettel összhangban történő védelme tekintetében.</w:t>
      </w:r>
    </w:p>
    <w:p>
      <w:pPr>
        <w:pStyle w:val="ManualConsidrant"/>
        <w:rPr>
          <w:noProof/>
        </w:rPr>
      </w:pPr>
      <w:r>
        <w:t>(35)</w:t>
      </w:r>
      <w:r>
        <w:tab/>
      </w:r>
      <w:r>
        <w:rPr>
          <w:noProof/>
        </w:rPr>
        <w:t>A terv részletesen leírja az ellenőrzési rendszert és azon rendelkezéseket, amelyeket az intézkedések alkalmazandó szabályok szerinti végrehajtásának biztosítása érdekében vezetnek be. A rendszer szilárd folyamatokon és struktúrákon alapul, a központi koordináló szerv pedig a pénzügyminisztérium.</w:t>
      </w:r>
      <w:r>
        <w:rPr>
          <w:rStyle w:val="normaltextrun"/>
          <w:noProof/>
          <w:color w:val="000000"/>
          <w:shd w:val="clear" w:color="auto" w:fill="FFFFFF"/>
        </w:rPr>
        <w:t xml:space="preserve"> A rendszer egyértelműen meghatározott szereplőket tartalmaz, ahol a végrehajtó ügynökségek felügyeletéért és ellenőrzéséért szakminisztériumok felelősek azokban az esetekben, amikor nem ők maguk hajtják végre az intézkedéseket. A szakminisztériumokat belső ellenőrzési egységeik ellenőrzik. </w:t>
      </w:r>
      <w:r>
        <w:rPr>
          <w:noProof/>
        </w:rPr>
        <w:t>A központi ellenőrző szerv az osztrák számvevőszék.</w:t>
      </w:r>
    </w:p>
    <w:p>
      <w:pPr>
        <w:pStyle w:val="ManualConsidrant"/>
        <w:rPr>
          <w:noProof/>
        </w:rPr>
      </w:pPr>
      <w:r>
        <w:t>(36)</w:t>
      </w:r>
      <w:r>
        <w:tab/>
      </w:r>
      <w:r>
        <w:rPr>
          <w:noProof/>
        </w:rPr>
        <w:t>A tervben meghatározott ellenőrzési és kontrollrendszer egyértelműen meghatározza a megfelelő funkciók elkülönítésének módját. Leírja a belső kontrollrendszeren belüli felelősségi köröket, és megadja a központi ellenőrző hatóság jogi megbízatását, kiemelve annak kormánytól való függetlenségét. A terv egyértelműen meghatározza a végrehajtó szervek és ügynökségek felelősségét a végső kedvezményezettekre vonatkozó adatok és más releváns információk összegyűjtésében és tárolásában (ideértve az ezen adatok ellenőrző szervek rendelkezésére bocsátásáról szóló intézkedéseket is), és rendelkezik a megfelelő nyilvántartások és adatbázisok használatáról is.</w:t>
      </w:r>
    </w:p>
    <w:p>
      <w:pPr>
        <w:pStyle w:val="ManualConsidrant"/>
        <w:rPr>
          <w:noProof/>
        </w:rPr>
      </w:pPr>
      <w:r>
        <w:t>(37)</w:t>
      </w:r>
      <w:r>
        <w:tab/>
      </w:r>
      <w:r>
        <w:rPr>
          <w:noProof/>
        </w:rPr>
        <w:t>A terv egyértelműen kimondja, hogy az osztrák ellenőrzési és kontrollrendszer igazgatási kapacitása elegendő a terv végrehajtásához. A szükséges intézkedések végrehajtásával az uniós alapok kezelésében tapasztalattal rendelkező meglévő struktúrákat kell megbízni.</w:t>
      </w:r>
    </w:p>
    <w:p>
      <w:pPr>
        <w:rPr>
          <w:b/>
          <w:i/>
          <w:noProof/>
        </w:rPr>
      </w:pPr>
      <w:r>
        <w:rPr>
          <w:b/>
          <w:i/>
          <w:noProof/>
        </w:rPr>
        <w:t>A terv koherenciája</w:t>
      </w:r>
    </w:p>
    <w:p>
      <w:pPr>
        <w:pStyle w:val="ManualConsidrant"/>
        <w:rPr>
          <w:noProof/>
        </w:rPr>
      </w:pPr>
      <w:r>
        <w:t>(38)</w:t>
      </w:r>
      <w:r>
        <w:tab/>
      </w:r>
      <w:r>
        <w:rPr>
          <w:noProof/>
        </w:rPr>
        <w:t>Az (EU) 2021/241 rendelet 19. cikke (3) bekezdésének k) pontjával és V. mellékletének 2.11. pontjával összhangban a terv nagymértékben („A” minősítés) olyan intézkedéseket tartalmaz a reformok és a közberuházási projektek végrehajtására vonatkozóan, amelyek koherens intézkedéseket jelentenek.</w:t>
      </w:r>
    </w:p>
    <w:p>
      <w:pPr>
        <w:pStyle w:val="ManualConsidrant"/>
        <w:rPr>
          <w:noProof/>
        </w:rPr>
      </w:pPr>
      <w:r>
        <w:t>(39)</w:t>
      </w:r>
      <w:r>
        <w:tab/>
      </w:r>
      <w:r>
        <w:rPr>
          <w:noProof/>
        </w:rPr>
        <w:t xml:space="preserve">A terv olyan kiegyensúlyozott reformokat és beruházásokat tartalmaz, amelyek nagymértékben erősítik egymást. </w:t>
      </w:r>
      <w:r>
        <w:rPr>
          <w:rStyle w:val="normaltextrun"/>
          <w:noProof/>
          <w:color w:val="000000"/>
          <w:bdr w:val="none" w:sz="0" w:space="0" w:color="auto" w:frame="1"/>
        </w:rPr>
        <w:t xml:space="preserve">A terv kialakítása biztosítja, hogy a beruházások és a reformok egyaránt hozzájáruljanak a hosszú távú strukturális kihívások kezelésének átfogó céljához, ugyanakkor a Covid19-világjárványhoz kapcsolódó kihívásokat is kezeljék. A terv ösztönzőket biztosít a zöld vagy digitális átálláshoz, például bevezet egy árat a szén-dioxidra vagy ösztönzi a fosszilis tüzelőanyaggal működő fűtési rendszerek cseréjét, miközben az energiaszegénység elleni küzdelem formájában figyelembe veszi a kapcsolódó társadalmi hatásokat is. </w:t>
      </w:r>
      <w:r>
        <w:rPr>
          <w:noProof/>
        </w:rPr>
        <w:t>A terv rendelkezik a jórészt alacsony képzettségűek átképzéséről és továbbképzéséről, egyúttal csökkenti az ilyen tevékenységekben való részvétel előtt álló akadályokat is. A strukturális változások – az egységes digitális hozzáférési pontoknak köszönhetően – várhatóan egyszerűsítik a vállalkozások adminisztratív kötelezettségeit, a beruházások pedig a digitális kapacitások nagymértékű növekedését fogják eredményezni.</w:t>
      </w:r>
    </w:p>
    <w:p>
      <w:pPr>
        <w:rPr>
          <w:b/>
          <w:i/>
          <w:noProof/>
        </w:rPr>
      </w:pPr>
      <w:r>
        <w:rPr>
          <w:b/>
          <w:i/>
          <w:noProof/>
        </w:rPr>
        <w:t>Egyenlőség</w:t>
      </w:r>
    </w:p>
    <w:p>
      <w:pPr>
        <w:pStyle w:val="ManualConsidrant"/>
        <w:rPr>
          <w:noProof/>
        </w:rPr>
      </w:pPr>
      <w:r>
        <w:t>(40)</w:t>
      </w:r>
      <w:r>
        <w:tab/>
      </w:r>
      <w:r>
        <w:rPr>
          <w:noProof/>
        </w:rPr>
        <w:t>Az osztrák terv egy sor olyan intézkedést tartalmaz, amelyek várhatóan kezelni fogják az ország előtt álló kihívásokat a nemek közötti egyenlőség és a mindenki számára biztosítandó esélyegyenlőség terén. A tervben mindenütt tükröződnek a nemek közötti egyenlőséggel kapcsolatos megfontolások. Az intézkedések közé tartoznak a nők munkaerőpiaci részvételének növelését – a kisgyermekkori nevelési és gondozási helyek számának növelésével – segítő reformok és beruházások. A terv a hátrányos helyzetű várandós nők egészségügyi szükségleteivel is foglalkozik. A kutatási ágazatra nézve célszámok is szerepelnek a természettudományos, technológiai, mérnöki és matematikai felsőfokú végzettséget szerző nőkre nézve. A nyugdíjrendszer változásaihoz kapcsolódó intézkedések várhatóan csökkentik a nemek közötti nyugdíjkülönbséget. A terv továbbá intézkedéseket tartalmaz a hátrányos helyzetű csoportok (például a migráns háttérrel rendelkezők) oktatási eredményeinek és készségszintjének javítására is.</w:t>
      </w:r>
    </w:p>
    <w:p>
      <w:pPr>
        <w:rPr>
          <w:b/>
          <w:i/>
          <w:noProof/>
        </w:rPr>
      </w:pPr>
      <w:r>
        <w:rPr>
          <w:b/>
          <w:i/>
          <w:noProof/>
        </w:rPr>
        <w:t>Biztonsági önértékelés</w:t>
      </w:r>
    </w:p>
    <w:p>
      <w:pPr>
        <w:pStyle w:val="ManualConsidrant"/>
        <w:rPr>
          <w:noProof/>
        </w:rPr>
      </w:pPr>
      <w:r>
        <w:t>(41)</w:t>
      </w:r>
      <w:r>
        <w:tab/>
      </w:r>
      <w:r>
        <w:rPr>
          <w:noProof/>
        </w:rPr>
        <w:t>Nem nyújtottak be biztonsági önértékelést, mivel azt Ausztria az (EU) 2021/241 rendelet 18. cikke (4) bekezdésének g) pontjával összhangban nem tekintette megfelelőnek.</w:t>
      </w:r>
    </w:p>
    <w:p>
      <w:pPr>
        <w:rPr>
          <w:b/>
          <w:i/>
          <w:noProof/>
        </w:rPr>
      </w:pPr>
      <w:r>
        <w:rPr>
          <w:b/>
          <w:i/>
          <w:noProof/>
        </w:rPr>
        <w:t>Határokon átnyúló és több országot érintő projektek</w:t>
      </w:r>
    </w:p>
    <w:p>
      <w:pPr>
        <w:pStyle w:val="ManualConsidrant"/>
        <w:rPr>
          <w:noProof/>
        </w:rPr>
      </w:pPr>
      <w:r>
        <w:t>(42)</w:t>
      </w:r>
      <w:r>
        <w:tab/>
      </w:r>
      <w:r>
        <w:rPr>
          <w:noProof/>
        </w:rPr>
        <w:t>Az osztrák terv két közös európai érdeket szolgáló fontos projektet tartalmaz. A mikroelektronikai és a konnektivitási projekttel várhatóan megerősödnek az olyan területek, mint az erősáramú elektronika, az érzékelők és a folyamattechnológiák, az olyan területeket, mint az innovatív hálózatok és a mikroelektronikai technológiák pedig tovább kell fejleszteni Európa stratégiai autonómiájának és energiahatékony megoldásainak támogatása érdekében. Az európai hidrogén-ökoszisztéma kiépítésére irányuló projekt várhatóan támogatni fogja a hidrogénfejlesztést, -tárolást és -felhasználást, különösen az energiaigényes iparágakban és a mobilitási ágazatban. Ez várhatóan az EU éghajlat-politikai célkitűzéseihez is hozzájárul majd.</w:t>
      </w:r>
    </w:p>
    <w:p>
      <w:pPr>
        <w:rPr>
          <w:b/>
          <w:i/>
          <w:noProof/>
        </w:rPr>
      </w:pPr>
      <w:r>
        <w:rPr>
          <w:b/>
          <w:i/>
          <w:noProof/>
        </w:rPr>
        <w:t>Konzultációs folyamat</w:t>
      </w:r>
    </w:p>
    <w:p>
      <w:pPr>
        <w:pStyle w:val="ManualConsidrant"/>
        <w:rPr>
          <w:noProof/>
        </w:rPr>
      </w:pPr>
      <w:r>
        <w:t>(43)</w:t>
      </w:r>
      <w:r>
        <w:tab/>
      </w:r>
      <w:r>
        <w:rPr>
          <w:noProof/>
        </w:rPr>
        <w:t>Az Ausztria által benyújtott összefoglaló alapján a terv elkészítése céljából konzultációra került sor helyi és regionális hatóságokkal, szociális partnerekkel, civil társadalmi szervezetekkel, ifjúsági szervezetekkel és más lényeges érdekelt felekkel. A terv részletesen bemutatja a 148 különböző szervezettől 2021. február 26-ig kapott 174 észrevétel témáit és nagyságrendjét. A terv azt is részletezi, hogy az érdekelt felek a tervben szereplő intézkedések közül melyeket támogatták. A releváns szereplők felelősségvállalásának biztosítása érdekében elengedhetetlen, hogy az érintett helyi hatóságokat és érdekelt feleket, köztük a szociális partnereket, bevonják a tervben foglalt beruházások és reformok végrehajtásába.</w:t>
      </w:r>
    </w:p>
    <w:p>
      <w:pPr>
        <w:rPr>
          <w:b/>
          <w:i/>
          <w:noProof/>
        </w:rPr>
      </w:pPr>
      <w:r>
        <w:rPr>
          <w:b/>
          <w:i/>
          <w:noProof/>
        </w:rPr>
        <w:t>Pozitív értékelés</w:t>
      </w:r>
    </w:p>
    <w:p>
      <w:pPr>
        <w:pStyle w:val="ManualConsidrant"/>
        <w:rPr>
          <w:noProof/>
        </w:rPr>
      </w:pPr>
      <w:r>
        <w:t>(44)</w:t>
      </w:r>
      <w:r>
        <w:tab/>
      </w:r>
      <w:r>
        <w:rPr>
          <w:noProof/>
        </w:rPr>
        <w:t>Az osztrák helyreállítási és rezilienciaépítési tervre vonatkozó, Bizottság általi pozitív értékelést követően, amely megállapította, hogy a terv kielégítő mértékben megfelel az (EU) 2021/241 rendeletben meghatározott értékelési kritériumoknak, az említett rendelet 20. cikkének (2) bekezdésével és V. mellékletével összhangban ebben a határozatban meg kell határozni a terv végrehajtásához szükséges reformokat és beruházási projekteke, a releváns mérföldköveket, célokat és mutatókat, valamint az Unió által a terv végrehajtásához vissza nem térítendő pénzügyi támogatás formájában rendelkezésre bocsátott összeget.</w:t>
      </w:r>
    </w:p>
    <w:p>
      <w:pPr>
        <w:rPr>
          <w:b/>
          <w:i/>
          <w:noProof/>
        </w:rPr>
      </w:pPr>
      <w:r>
        <w:rPr>
          <w:b/>
          <w:i/>
          <w:noProof/>
        </w:rPr>
        <w:t>Pénzügyi hozzájárulás</w:t>
      </w:r>
    </w:p>
    <w:p>
      <w:pPr>
        <w:pStyle w:val="ManualConsidrant"/>
        <w:rPr>
          <w:noProof/>
        </w:rPr>
      </w:pPr>
      <w:r>
        <w:t>(45)</w:t>
      </w:r>
      <w:r>
        <w:tab/>
      </w:r>
      <w:r>
        <w:rPr>
          <w:noProof/>
        </w:rPr>
        <w:t>Ausztria helyreállítási és rezilienciaépítési tervének becsült összköltsége 4 499 475 001 EUR. Mivel a helyreállítási és rezilienciaépítési terv kielégítő módon megfelel az (EU) 2021/241 rendeletben meghatározott értékelési kritériumoknak, továbbá mivel a helyreállítási és rezilienciaépítési terv becsült összköltsége magasabb az Ausztria számára rendelkezésre álló maximális pénzügyi hozzájárulással, az Ausztria helyreállítási és rezilienciaépítési tervéhez allokált pénzügyi hozzájárulásnak az Ausztria helyreállítási és rezilienciaépítési tervéhez rendelkezésre álló pénzügyi hozzájárulás teljes összegével kell egyenlőnek lennie. Az osztrák terv végrehajtása ezért a nemzeti költségvetésből nyújtott uniós támogatáson túl további összegeket is mozgósít.</w:t>
      </w:r>
    </w:p>
    <w:p>
      <w:pPr>
        <w:pStyle w:val="ManualConsidrant"/>
        <w:rPr>
          <w:noProof/>
        </w:rPr>
      </w:pPr>
      <w:r>
        <w:t>(46)</w:t>
      </w:r>
      <w:r>
        <w:tab/>
      </w:r>
      <w:r>
        <w:rPr>
          <w:noProof/>
        </w:rPr>
        <w:t>Az (EU) 2021/241 rendelet 11. cikkének (2) bekezdésével összhangban az Ausztriára vonatkozó maximális pénzügyi hozzájárulás kiszámítását 2022. június 30-ig aktualizálni kell. Ezért az említett rendelet 23. cikkének (1) bekezdésével összhangban Ausztria számára rendelkezésre kell bocsátani egy összeget, amely 2022. december 31-ig jogi kötelezettségvállalással terhelhető. Amennyiben a maximális pénzügyi hozzájárulás aktualizálása nyomán szükséges, a Tanácsnak a Bizottság javaslata alapján indokolatlan késedelem nélkül módosítania kell ezt a határozatot az aktualizált maximális pénzügyi hozzájárulás beillesztése érdekében.</w:t>
      </w:r>
    </w:p>
    <w:p>
      <w:pPr>
        <w:pStyle w:val="ManualConsidrant"/>
        <w:rPr>
          <w:noProof/>
        </w:rPr>
      </w:pPr>
      <w:r>
        <w:t>(47)</w:t>
      </w:r>
      <w:r>
        <w:tab/>
      </w:r>
      <w:r>
        <w:rPr>
          <w:noProof/>
        </w:rPr>
        <w:t>A nyújtandó támogatást a Bizottság által az (EU, Euratom) 2020/2053 tanácsi határozat</w:t>
      </w:r>
      <w:r>
        <w:rPr>
          <w:rStyle w:val="FootnoteReference"/>
          <w:noProof/>
        </w:rPr>
        <w:footnoteReference w:id="7"/>
      </w:r>
      <w:r>
        <w:rPr>
          <w:noProof/>
        </w:rPr>
        <w:t xml:space="preserve"> 5. cikke alapján az Unió nevében felvett kölcsönből kell finanszírozni. A támogatást részletekben kell kifizetni, mihelyt Ausztria kielégítő módon teljesítette a helyreállítási és rezilienciaépítési terv végrehajtásához kapcsolódóan azonosított releváns mérföldköveket és célokat.</w:t>
      </w:r>
    </w:p>
    <w:p>
      <w:pPr>
        <w:pStyle w:val="ManualConsidrant"/>
        <w:rPr>
          <w:noProof/>
        </w:rPr>
      </w:pPr>
      <w:r>
        <w:t>(48)</w:t>
      </w:r>
      <w:r>
        <w:tab/>
      </w:r>
      <w:r>
        <w:rPr>
          <w:noProof/>
        </w:rPr>
        <w:t>Ausztria a pénzügyi hozzájárulás 13 %-ának megfelelő előfinanszírozást kért. Az említett összeget a hatálybalépéstől függően és az (EU) 2021/241 rendelet 23. cikkének (1) bekezdésében előírt finanszírozási megállapodással összhangban kell Ausztria rendelkezésre bocsátani.</w:t>
      </w:r>
    </w:p>
    <w:p>
      <w:pPr>
        <w:pStyle w:val="ManualConsidrant"/>
        <w:rPr>
          <w:noProof/>
        </w:rPr>
      </w:pPr>
      <w:r>
        <w:t>(49)</w:t>
      </w:r>
      <w:r>
        <w:tab/>
      </w:r>
      <w:r>
        <w:rPr>
          <w:noProof/>
        </w:rPr>
        <w:t>Ez a határozat nem érinti az uniós forrásoknak az (EU) 2021/241 rendelettől eltérő bármely más uniós program keretében történő odaítélésével kapcsolatos eljárások kimenetelét, sem pedig a belső piac működésének torzulásával kapcsolatos, különösen a Szerződés 107. és 108. cikke alapján lefolytatandó eljárások eredményét. E határozat nem szünteti meg a tagállamokkal szembeni azon követelményt, hogy a Szerződés 108. cikkével összhangban értesítsék a Bizottságot az állami támogatások lehetséges eseteiről,</w:t>
      </w:r>
    </w:p>
    <w:p>
      <w:pPr>
        <w:pStyle w:val="Formuledadoption"/>
        <w:rPr>
          <w:noProof/>
        </w:rPr>
      </w:pPr>
      <w:r>
        <w:rPr>
          <w:noProof/>
        </w:rPr>
        <w:t>ELFOGADTA EZT A HATÁROZATOT:</w:t>
      </w:r>
    </w:p>
    <w:p>
      <w:pPr>
        <w:pStyle w:val="Titrearticle"/>
        <w:rPr>
          <w:noProof/>
        </w:rPr>
      </w:pPr>
      <w:r>
        <w:rPr>
          <w:noProof/>
        </w:rPr>
        <w:t>1. cikk</w:t>
      </w:r>
      <w:r>
        <w:rPr>
          <w:noProof/>
        </w:rPr>
        <w:br/>
        <w:t>A helyreállítási és rezilienciaépítési terv értékelésének jóváhagyása</w:t>
      </w:r>
    </w:p>
    <w:p>
      <w:pPr>
        <w:rPr>
          <w:i/>
          <w:noProof/>
        </w:rPr>
      </w:pPr>
      <w:r>
        <w:rPr>
          <w:noProof/>
        </w:rPr>
        <w:t>Ausztria helyreállítási és rezilienciaépítési tervének az (EU) 2021/241 rendelet 19. cikkének (3) bekezdésében előírt kritériumok szerinti értékelését a Tanács jóváhagyja. A helyreállítási és rezilienciaépítési terv szerinti reformokat és beruházási projekteket, a helyreállítási és rezilienciaépítési terv nyomon követésére és végrehajtására vonatkozó intézkedéseket és ütemtervet – beleértve a releváns mérföldköveket és célokat, a tervezett mérföldkövek és célok teljesítéséhez kapcsolódó releváns mutatókat, valamint a Bizottság számára az alapul szolgáló releváns adatokhoz való teljes körű hozzáférést biztosító szabályokat e határozat melléklete tartalmazza.</w:t>
      </w:r>
    </w:p>
    <w:p>
      <w:pPr>
        <w:pStyle w:val="Titrearticle"/>
        <w:rPr>
          <w:noProof/>
        </w:rPr>
      </w:pPr>
      <w:r>
        <w:rPr>
          <w:noProof/>
        </w:rPr>
        <w:t>2. cikk</w:t>
      </w:r>
      <w:r>
        <w:rPr>
          <w:noProof/>
        </w:rPr>
        <w:br/>
        <w:t>Pénzügyi hozzájárulás</w:t>
      </w:r>
    </w:p>
    <w:p>
      <w:pPr>
        <w:pStyle w:val="Point0"/>
        <w:rPr>
          <w:noProof/>
        </w:rPr>
      </w:pPr>
      <w:r>
        <w:rPr>
          <w:noProof/>
        </w:rPr>
        <w:t>(1)</w:t>
      </w:r>
      <w:r>
        <w:rPr>
          <w:noProof/>
        </w:rPr>
        <w:tab/>
        <w:t>Az Unió vissza nem térítendő támogatás formájában 3 461 398 824 EUR</w:t>
      </w:r>
      <w:r>
        <w:rPr>
          <w:rStyle w:val="FootnoteReference"/>
          <w:noProof/>
        </w:rPr>
        <w:footnoteReference w:id="8"/>
      </w:r>
      <w:r>
        <w:rPr>
          <w:noProof/>
        </w:rPr>
        <w:t xml:space="preserve"> összegű pénzügyi hozzájárulást bocsát Ausztria rendelkezésére. 2 230 734 344 EUR összeg 2022. december 31-ig áll rendelkezésre jogi kötelezettségvállalás céljából. Amennyiben az (EU) 2021/241 rendelet 11. cikkének (2) bekezdésében előírt aktualizálás Ausztriára vonatkozóan ezzel az összeggel egyenlő vagy annál nagyobb összeget állapít meg, további 1 230 664 480 EUR összeget kell rendelkezésre bocsátani, amely jogi kötelezettségvállalással 2023. január 1-jétől 2023. december 31-ig terhelhető.</w:t>
      </w:r>
    </w:p>
    <w:p>
      <w:pPr>
        <w:pStyle w:val="Point0"/>
        <w:rPr>
          <w:noProof/>
        </w:rPr>
      </w:pPr>
      <w:r>
        <w:rPr>
          <w:noProof/>
        </w:rPr>
        <w:t>(2)</w:t>
      </w:r>
      <w:r>
        <w:rPr>
          <w:noProof/>
        </w:rPr>
        <w:tab/>
        <w:t>A Bizottság az uniós pénzügyi hozzájárulást e határozat mellékletével összhangban részösszegekben bocsátja Ausztria rendelkezésére. A pénzügyi hozzájárulás 13 százalékának megfelelő összeget, azaz 449 981 847 EUR-t előfinanszírozási kifizetésként kell rendelkezésre bocsátani. Az előfinanszírozást és a részösszegeket a Bizottság egy vagy több részletben folyósíthatja. A részletek nagysága a finanszírozási források rendelkezésre állásától függ.</w:t>
      </w:r>
    </w:p>
    <w:p>
      <w:pPr>
        <w:pStyle w:val="Point0"/>
        <w:rPr>
          <w:i/>
          <w:noProof/>
        </w:rPr>
      </w:pPr>
      <w:r>
        <w:rPr>
          <w:noProof/>
        </w:rPr>
        <w:t>(3)</w:t>
      </w:r>
      <w:r>
        <w:rPr>
          <w:noProof/>
        </w:rPr>
        <w:tab/>
        <w:t>Az előfinanszírozást az (EU) 2021/241 rendelet 23. cikkének (1) bekezdésében előírt finanszírozási megállapodás hatálybalépésétől függően és azzal összhangban kell rendelkezésre bocsátani. Az előfinanszírozást a részösszegek kifizetéseit terhelő arányos levonással kell elszámolni.</w:t>
      </w:r>
    </w:p>
    <w:p>
      <w:pPr>
        <w:pStyle w:val="Point0"/>
        <w:rPr>
          <w:i/>
          <w:noProof/>
        </w:rPr>
      </w:pPr>
      <w:r>
        <w:rPr>
          <w:noProof/>
        </w:rPr>
        <w:t>(4)</w:t>
      </w:r>
      <w:r>
        <w:rPr>
          <w:noProof/>
        </w:rPr>
        <w:tab/>
        <w:t>A részösszegeknek a finanszírozási megállapodással összhangban történő rendelkezésre bocsátása a rendelkezésre álló finanszírozási forrásoktól és az (EU) 2021/241 rendelet 24. cikkével összhangban hozott bizottsági határozattól függ, amely szerint Ausztria kielégítően teljesítette a helyreállítási és rezilienciaépítési terv végrehajtásával kapcsolatban meghatározott releváns mérföldköveket és célokat. Az (1) bekezdésben említett jogi kötelezettségvállalások hatálybalépésétől függően a kifizetésre való jogosultság érdekében a mérföldköveket és célokat legkésőbb 2026. augusztus 31-ig teljesíteni kell.</w:t>
      </w:r>
    </w:p>
    <w:p>
      <w:pPr>
        <w:pStyle w:val="Titrearticle"/>
        <w:rPr>
          <w:noProof/>
        </w:rPr>
      </w:pPr>
      <w:r>
        <w:rPr>
          <w:noProof/>
        </w:rPr>
        <w:t>3. cikk</w:t>
      </w:r>
      <w:r>
        <w:rPr>
          <w:noProof/>
        </w:rPr>
        <w:br/>
        <w:t>Címzettek</w:t>
      </w:r>
    </w:p>
    <w:p>
      <w:pPr>
        <w:rPr>
          <w:noProof/>
        </w:rPr>
      </w:pPr>
      <w:r>
        <w:rPr>
          <w:noProof/>
        </w:rPr>
        <w:t>Ennek a határozatnak az Osztrák Köztársaság a címzettje.</w:t>
      </w:r>
    </w:p>
    <w:p>
      <w:pPr>
        <w:pStyle w:val="Fait"/>
        <w:rPr>
          <w:noProof/>
        </w:rPr>
      </w:pPr>
      <w:r>
        <w:t>Kelt Brüsszelben, -án/-én.</w:t>
      </w:r>
    </w:p>
    <w:p>
      <w:pPr>
        <w:pStyle w:val="Institutionquisigne"/>
        <w:rPr>
          <w:noProof/>
        </w:rPr>
      </w:pPr>
      <w:r>
        <w:rPr>
          <w:noProof/>
        </w:rPr>
        <w:tab/>
        <w:t>a Tanács részéről</w:t>
      </w:r>
    </w:p>
    <w:p>
      <w:pPr>
        <w:pStyle w:val="Personnequisigne"/>
        <w:rPr>
          <w:noProof/>
        </w:rPr>
      </w:pPr>
      <w:r>
        <w:rPr>
          <w:noProof/>
        </w:rPr>
        <w:tab/>
        <w:t>az elnök</w:t>
      </w:r>
    </w:p>
    <w:sectPr>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HL L 57., 2021.2.18., 17. o.</w:t>
      </w:r>
    </w:p>
  </w:footnote>
  <w:footnote w:id="3">
    <w:p>
      <w:pPr>
        <w:pStyle w:val="FootnoteText"/>
      </w:pPr>
      <w:r>
        <w:rPr>
          <w:rStyle w:val="FootnoteReference"/>
        </w:rPr>
        <w:footnoteRef/>
      </w:r>
      <w:r>
        <w:tab/>
        <w:t xml:space="preserve">Az Európai Tanács általi jóváhagyást követően a Tanács általi végleges elfogadásra vár. Az eurócsoport által 2020. december 16-án elfogadott szöveg elérhető az alábbi linken: </w:t>
      </w:r>
      <w:hyperlink r:id="rId1" w:history="1">
        <w:r>
          <w:rPr>
            <w:rStyle w:val="Hyperlink"/>
          </w:rPr>
          <w:t>https://data.consilium.europa.eu/doc/document/ST-14356-2020-INIT/hu/pdf</w:t>
        </w:r>
      </w:hyperlink>
    </w:p>
  </w:footnote>
  <w:footnote w:id="4">
    <w:p>
      <w:pPr>
        <w:pStyle w:val="FootnoteText"/>
      </w:pPr>
      <w:r>
        <w:rPr>
          <w:rStyle w:val="FootnoteReference"/>
        </w:rPr>
        <w:footnoteRef/>
      </w:r>
      <w:r>
        <w:tab/>
        <w:t>A Tanács (EU) 2020/2094 rendelete (2020. december 14.) a Covid19-válság utáni helyreállítás támogatására szolgáló Európai Uniós Helyreállítási Eszköz létrehozásáról (HL L 433I, 2020.12.22., 23. o.).</w:t>
      </w:r>
    </w:p>
  </w:footnote>
  <w:footnote w:id="5">
    <w:p>
      <w:pPr>
        <w:pStyle w:val="FootnoteText"/>
      </w:pPr>
      <w:r>
        <w:rPr>
          <w:rStyle w:val="FootnoteReference"/>
        </w:rPr>
        <w:footnoteRef/>
      </w:r>
      <w:r>
        <w:tab/>
        <w:t>Ezek a szimulációk a NGEU általános hatását tükrözik, amely magában foglalja a REACT-EU vonatkozó finanszírozását, valamint a Horizont, az InvestEU, az Igazságos Átmenet Alap, a vidékfejlesztés és a RescEU megnövelt finanszírozását is. A szimuláció nem tartalmazza a strukturális reformok lehetséges pozitív hatását, amely jelentős lehet.</w:t>
      </w:r>
    </w:p>
  </w:footnote>
  <w:footnote w:id="6">
    <w:p>
      <w:pPr>
        <w:pStyle w:val="FootnoteText"/>
      </w:pPr>
      <w:r>
        <w:rPr>
          <w:rStyle w:val="FootnoteReference"/>
        </w:rPr>
        <w:footnoteRef/>
      </w:r>
      <w:r>
        <w:tab/>
        <w:t>Az Európai Parlament és a Tanács (EU) 2020/852 rendelete (2020. június 18.) a fenntartható befektetések előmozdítását célzó keret létrehozásáról, valamint az (EU) 2019/2088 rendelet módosításáról (HL L 198., 2020.6.22., 13. o.).</w:t>
      </w:r>
    </w:p>
  </w:footnote>
  <w:footnote w:id="7">
    <w:p>
      <w:pPr>
        <w:pStyle w:val="FootnoteText"/>
        <w:rPr>
          <w:b/>
          <w:bCs/>
        </w:rPr>
      </w:pPr>
      <w:r>
        <w:rPr>
          <w:rStyle w:val="FootnoteReference"/>
        </w:rPr>
        <w:footnoteRef/>
      </w:r>
      <w:r>
        <w:tab/>
        <w:t>HL L 424., 2020.12.15., 1. o.</w:t>
      </w:r>
    </w:p>
  </w:footnote>
  <w:footnote w:id="8">
    <w:p>
      <w:pPr>
        <w:pStyle w:val="FootnoteText"/>
      </w:pPr>
      <w:r>
        <w:rPr>
          <w:rStyle w:val="FootnoteReference"/>
        </w:rPr>
        <w:footnoteRef/>
      </w:r>
      <w:r>
        <w:tab/>
        <w:t>Ez az összeg az (EU) 2021/241 rendelet 6. cikkének (2) bekezdése szerinti kiadásokból Ausztriára jutó arányos rész levonása utáni pénzügyi allokációnak felel meg, amelyet az említett rendelet 11. cikke szerinti módszertannal összhangban számítanak ki.</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8A2A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2DA97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FE8F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18DB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10C1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6461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05C904A"/>
    <w:lvl w:ilvl="0">
      <w:start w:val="1"/>
      <w:numFmt w:val="decimal"/>
      <w:pStyle w:val="ListNumber"/>
      <w:lvlText w:val="%1."/>
      <w:lvlJc w:val="left"/>
      <w:pPr>
        <w:tabs>
          <w:tab w:val="num" w:pos="360"/>
        </w:tabs>
        <w:ind w:left="360" w:hanging="360"/>
      </w:pPr>
    </w:lvl>
  </w:abstractNum>
  <w:abstractNum w:abstractNumId="7">
    <w:nsid w:val="FFFFFF89"/>
    <w:multiLevelType w:val="singleLevel"/>
    <w:tmpl w:val="3FE827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6-21 17:22: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9D6C00D-2FFF-4F88-9389-90031617EE51"/>
    <w:docVar w:name="LW_COVERPAGE_TYPE" w:val="1"/>
    <w:docVar w:name="LW_CROSSREFERENCE" w:val="{SWD(2021) 160 final}"/>
    <w:docVar w:name="LW_DocType" w:val="COM"/>
    <w:docVar w:name="LW_EMISSION" w:val="2021.6.21."/>
    <w:docVar w:name="LW_EMISSION_ISODATE" w:val="2021-06-21"/>
    <w:docVar w:name="LW_EMISSION_LOCATION" w:val="BRX"/>
    <w:docVar w:name="LW_EMISSION_PREFIX" w:val="Brüsszel,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162"/>
    <w:docVar w:name="LW_REF.II.NEW.CP_YEAR" w:val="2021"/>
    <w:docVar w:name="LW_REF.INST.NEW" w:val="COM"/>
    <w:docVar w:name="LW_REF.INST.NEW_ADOPTED" w:val="final"/>
    <w:docVar w:name="LW_REF.INST.NEW_TEXT" w:val="(2021) 3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usztria helyreállítási és rezilienciaépítési terve értékelésének jóváhagyásáról"/>
    <w:docVar w:name="LW_TYPE.DOC.CP" w:val="A TANÁCS VÉGREHAJTÁSI HATÁROZATA"/>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1">
    <w:name w:val="1"/>
    <w:basedOn w:val="Normal"/>
    <w:pPr>
      <w:spacing w:before="0" w:after="160" w:line="240" w:lineRule="exact"/>
    </w:pPr>
    <w:rPr>
      <w:rFonts w:asciiTheme="minorHAnsi" w:hAnsiTheme="minorHAnsi" w:cstheme="minorBidi"/>
      <w:sz w:val="22"/>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bumpedfont15">
    <w:name w:val="bumpedfont15"/>
    <w:basedOn w:val="DefaultParagraphFont"/>
  </w:style>
  <w:style w:type="character" w:customStyle="1" w:styleId="jlqj4b">
    <w:name w:val="jlqj4b"/>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1">
    <w:name w:val="1"/>
    <w:basedOn w:val="Normal"/>
    <w:pPr>
      <w:spacing w:before="0" w:after="160" w:line="240" w:lineRule="exact"/>
    </w:pPr>
    <w:rPr>
      <w:rFonts w:asciiTheme="minorHAnsi" w:hAnsiTheme="minorHAnsi" w:cstheme="minorBidi"/>
      <w:sz w:val="22"/>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bumpedfont15">
    <w:name w:val="bumpedfont15"/>
    <w:basedOn w:val="DefaultParagraphFont"/>
  </w:style>
  <w:style w:type="character" w:customStyle="1" w:styleId="jlqj4b">
    <w:name w:val="jlqj4b"/>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Tiret5">
    <w:name w:val="Tiret 5"/>
    <w:basedOn w:val="Point5"/>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NumPar5">
    <w:name w:val="NumPar 5"/>
    <w:basedOn w:val="Normal"/>
    <w:next w:val="Text2"/>
    <w:pPr>
      <w:numPr>
        <w:ilvl w:val="4"/>
        <w:numId w:val="30"/>
      </w:numPr>
    </w:pPr>
  </w:style>
  <w:style w:type="paragraph" w:customStyle="1" w:styleId="NumPar6">
    <w:name w:val="NumPar 6"/>
    <w:basedOn w:val="Normal"/>
    <w:next w:val="Text2"/>
    <w:pPr>
      <w:numPr>
        <w:ilvl w:val="5"/>
        <w:numId w:val="30"/>
      </w:numPr>
    </w:pPr>
  </w:style>
  <w:style w:type="paragraph" w:customStyle="1" w:styleId="NumPar7">
    <w:name w:val="NumPar 7"/>
    <w:basedOn w:val="Normal"/>
    <w:next w:val="Text2"/>
    <w:pPr>
      <w:numPr>
        <w:ilvl w:val="6"/>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7961">
      <w:bodyDiv w:val="1"/>
      <w:marLeft w:val="0"/>
      <w:marRight w:val="0"/>
      <w:marTop w:val="0"/>
      <w:marBottom w:val="0"/>
      <w:divBdr>
        <w:top w:val="none" w:sz="0" w:space="0" w:color="auto"/>
        <w:left w:val="none" w:sz="0" w:space="0" w:color="auto"/>
        <w:bottom w:val="none" w:sz="0" w:space="0" w:color="auto"/>
        <w:right w:val="none" w:sz="0" w:space="0" w:color="auto"/>
      </w:divBdr>
    </w:div>
    <w:div w:id="46808757">
      <w:bodyDiv w:val="1"/>
      <w:marLeft w:val="0"/>
      <w:marRight w:val="0"/>
      <w:marTop w:val="0"/>
      <w:marBottom w:val="0"/>
      <w:divBdr>
        <w:top w:val="none" w:sz="0" w:space="0" w:color="auto"/>
        <w:left w:val="none" w:sz="0" w:space="0" w:color="auto"/>
        <w:bottom w:val="none" w:sz="0" w:space="0" w:color="auto"/>
        <w:right w:val="none" w:sz="0" w:space="0" w:color="auto"/>
      </w:divBdr>
    </w:div>
    <w:div w:id="103769495">
      <w:bodyDiv w:val="1"/>
      <w:marLeft w:val="0"/>
      <w:marRight w:val="0"/>
      <w:marTop w:val="0"/>
      <w:marBottom w:val="0"/>
      <w:divBdr>
        <w:top w:val="none" w:sz="0" w:space="0" w:color="auto"/>
        <w:left w:val="none" w:sz="0" w:space="0" w:color="auto"/>
        <w:bottom w:val="none" w:sz="0" w:space="0" w:color="auto"/>
        <w:right w:val="none" w:sz="0" w:space="0" w:color="auto"/>
      </w:divBdr>
    </w:div>
    <w:div w:id="150365009">
      <w:bodyDiv w:val="1"/>
      <w:marLeft w:val="0"/>
      <w:marRight w:val="0"/>
      <w:marTop w:val="0"/>
      <w:marBottom w:val="0"/>
      <w:divBdr>
        <w:top w:val="none" w:sz="0" w:space="0" w:color="auto"/>
        <w:left w:val="none" w:sz="0" w:space="0" w:color="auto"/>
        <w:bottom w:val="none" w:sz="0" w:space="0" w:color="auto"/>
        <w:right w:val="none" w:sz="0" w:space="0" w:color="auto"/>
      </w:divBdr>
    </w:div>
    <w:div w:id="297221004">
      <w:bodyDiv w:val="1"/>
      <w:marLeft w:val="0"/>
      <w:marRight w:val="0"/>
      <w:marTop w:val="0"/>
      <w:marBottom w:val="0"/>
      <w:divBdr>
        <w:top w:val="none" w:sz="0" w:space="0" w:color="auto"/>
        <w:left w:val="none" w:sz="0" w:space="0" w:color="auto"/>
        <w:bottom w:val="none" w:sz="0" w:space="0" w:color="auto"/>
        <w:right w:val="none" w:sz="0" w:space="0" w:color="auto"/>
      </w:divBdr>
    </w:div>
    <w:div w:id="338506410">
      <w:bodyDiv w:val="1"/>
      <w:marLeft w:val="0"/>
      <w:marRight w:val="0"/>
      <w:marTop w:val="0"/>
      <w:marBottom w:val="0"/>
      <w:divBdr>
        <w:top w:val="none" w:sz="0" w:space="0" w:color="auto"/>
        <w:left w:val="none" w:sz="0" w:space="0" w:color="auto"/>
        <w:bottom w:val="none" w:sz="0" w:space="0" w:color="auto"/>
        <w:right w:val="none" w:sz="0" w:space="0" w:color="auto"/>
      </w:divBdr>
    </w:div>
    <w:div w:id="631521905">
      <w:bodyDiv w:val="1"/>
      <w:marLeft w:val="0"/>
      <w:marRight w:val="0"/>
      <w:marTop w:val="0"/>
      <w:marBottom w:val="0"/>
      <w:divBdr>
        <w:top w:val="none" w:sz="0" w:space="0" w:color="auto"/>
        <w:left w:val="none" w:sz="0" w:space="0" w:color="auto"/>
        <w:bottom w:val="none" w:sz="0" w:space="0" w:color="auto"/>
        <w:right w:val="none" w:sz="0" w:space="0" w:color="auto"/>
      </w:divBdr>
    </w:div>
    <w:div w:id="942345777">
      <w:bodyDiv w:val="1"/>
      <w:marLeft w:val="0"/>
      <w:marRight w:val="0"/>
      <w:marTop w:val="0"/>
      <w:marBottom w:val="0"/>
      <w:divBdr>
        <w:top w:val="none" w:sz="0" w:space="0" w:color="auto"/>
        <w:left w:val="none" w:sz="0" w:space="0" w:color="auto"/>
        <w:bottom w:val="none" w:sz="0" w:space="0" w:color="auto"/>
        <w:right w:val="none" w:sz="0" w:space="0" w:color="auto"/>
      </w:divBdr>
    </w:div>
    <w:div w:id="1108698419">
      <w:bodyDiv w:val="1"/>
      <w:marLeft w:val="0"/>
      <w:marRight w:val="0"/>
      <w:marTop w:val="0"/>
      <w:marBottom w:val="0"/>
      <w:divBdr>
        <w:top w:val="none" w:sz="0" w:space="0" w:color="auto"/>
        <w:left w:val="none" w:sz="0" w:space="0" w:color="auto"/>
        <w:bottom w:val="none" w:sz="0" w:space="0" w:color="auto"/>
        <w:right w:val="none" w:sz="0" w:space="0" w:color="auto"/>
      </w:divBdr>
    </w:div>
    <w:div w:id="1208761963">
      <w:bodyDiv w:val="1"/>
      <w:marLeft w:val="0"/>
      <w:marRight w:val="0"/>
      <w:marTop w:val="0"/>
      <w:marBottom w:val="0"/>
      <w:divBdr>
        <w:top w:val="none" w:sz="0" w:space="0" w:color="auto"/>
        <w:left w:val="none" w:sz="0" w:space="0" w:color="auto"/>
        <w:bottom w:val="none" w:sz="0" w:space="0" w:color="auto"/>
        <w:right w:val="none" w:sz="0" w:space="0" w:color="auto"/>
      </w:divBdr>
    </w:div>
    <w:div w:id="1374425331">
      <w:bodyDiv w:val="1"/>
      <w:marLeft w:val="0"/>
      <w:marRight w:val="0"/>
      <w:marTop w:val="0"/>
      <w:marBottom w:val="0"/>
      <w:divBdr>
        <w:top w:val="none" w:sz="0" w:space="0" w:color="auto"/>
        <w:left w:val="none" w:sz="0" w:space="0" w:color="auto"/>
        <w:bottom w:val="none" w:sz="0" w:space="0" w:color="auto"/>
        <w:right w:val="none" w:sz="0" w:space="0" w:color="auto"/>
      </w:divBdr>
    </w:div>
    <w:div w:id="20072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4356-2020-INIT/h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0FB2F397B3D448BFDC6DF71B5B186" ma:contentTypeVersion="7" ma:contentTypeDescription="Create a new document." ma:contentTypeScope="" ma:versionID="b7c0187b5b3191b05076dca014b6d312">
  <xsd:schema xmlns:xsd="http://www.w3.org/2001/XMLSchema" xmlns:xs="http://www.w3.org/2001/XMLSchema" xmlns:p="http://schemas.microsoft.com/office/2006/metadata/properties" xmlns:ns3="ffb6d218-e4ef-4c97-8942-1bf8159ddab9" xmlns:ns4="ba75fd84-9932-4f20-bd9a-caf75fd0bd51" targetNamespace="http://schemas.microsoft.com/office/2006/metadata/properties" ma:root="true" ma:fieldsID="6e65b474376dca77b3df2cedc6b33548" ns3:_="" ns4:_="">
    <xsd:import namespace="ffb6d218-e4ef-4c97-8942-1bf8159ddab9"/>
    <xsd:import namespace="ba75fd84-9932-4f20-bd9a-caf75fd0bd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6d218-e4ef-4c97-8942-1bf8159d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5fd84-9932-4f20-bd9a-caf75fd0bd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370AFC-1DE3-4F76-AC1D-6881D713F4FC}">
  <ds:schemaRefs>
    <ds:schemaRef ds:uri="http://schemas.microsoft.com/sharepoint/v3/contenttype/forms"/>
  </ds:schemaRefs>
</ds:datastoreItem>
</file>

<file path=customXml/itemProps2.xml><?xml version="1.0" encoding="utf-8"?>
<ds:datastoreItem xmlns:ds="http://schemas.openxmlformats.org/officeDocument/2006/customXml" ds:itemID="{47A8C142-C36A-423E-88E4-9ACF1C94DA6F}">
  <ds:schemaRefs>
    <ds:schemaRef ds:uri="ffb6d218-e4ef-4c97-8942-1bf8159ddab9"/>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a75fd84-9932-4f20-bd9a-caf75fd0bd51"/>
    <ds:schemaRef ds:uri="http://www.w3.org/XML/1998/namespace"/>
  </ds:schemaRefs>
</ds:datastoreItem>
</file>

<file path=customXml/itemProps3.xml><?xml version="1.0" encoding="utf-8"?>
<ds:datastoreItem xmlns:ds="http://schemas.openxmlformats.org/officeDocument/2006/customXml" ds:itemID="{670A05E7-2A37-4BB9-B7C5-788AE4798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6d218-e4ef-4c97-8942-1bf8159ddab9"/>
    <ds:schemaRef ds:uri="ba75fd84-9932-4f20-bd9a-caf75fd0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94556-39B9-48A0-A5D1-64980EEA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4541</Words>
  <Characters>33745</Characters>
  <Application>Microsoft Office Word</Application>
  <DocSecurity>0</DocSecurity>
  <Lines>527</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42</cp:revision>
  <dcterms:created xsi:type="dcterms:W3CDTF">2021-06-21T13:04:00Z</dcterms:created>
  <dcterms:modified xsi:type="dcterms:W3CDTF">2021-06-21T15:22:00Z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SJ-020</vt:lpwstr>
  </property>
  <property fmtid="{D5CDD505-2E9C-101B-9397-08002B2CF9AE}" pid="9" name="ContentTypeId">
    <vt:lpwstr>0x0101003580FB2F397B3D448BFDC6DF71B5B186</vt:lpwstr>
  </property>
  <property fmtid="{D5CDD505-2E9C-101B-9397-08002B2CF9AE}" pid="10" name="Last edited using">
    <vt:lpwstr>LW 7.0.1, Build 20200226</vt:lpwstr>
  </property>
  <property fmtid="{D5CDD505-2E9C-101B-9397-08002B2CF9AE}" pid="11" name="DQCStatus">
    <vt:lpwstr>Green (DQC version 03)</vt:lpwstr>
  </property>
</Properties>
</file>