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E292AF-8231-42AE-9156-ED009453EC20" style="width:455.15pt;height:310.3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8"/>
          <w:szCs w:val="28"/>
        </w:rPr>
      </w:pPr>
      <w:bookmarkStart w:id="1" w:name="_GoBack"/>
      <w:bookmarkEnd w:id="1"/>
      <w:r>
        <w:rPr>
          <w:rFonts w:ascii="Times New Roman" w:hAnsi="Times New Roman"/>
          <w:b/>
          <w:noProof/>
        </w:rPr>
        <w:lastRenderedPageBreak/>
        <w:br/>
      </w:r>
      <w:r>
        <w:rPr>
          <w:rFonts w:ascii="Times New Roman" w:hAnsi="Times New Roman"/>
          <w:b/>
          <w:noProof/>
          <w:sz w:val="28"/>
          <w:szCs w:val="28"/>
        </w:rPr>
        <w:t xml:space="preserve">Komunikacija: Poticanje europskog pristupa umjetnoj inteligenciji </w:t>
      </w:r>
    </w:p>
    <w:p>
      <w:pPr>
        <w:spacing w:line="276" w:lineRule="auto"/>
        <w:jc w:val="center"/>
        <w:rPr>
          <w:rFonts w:ascii="Times New Roman" w:hAnsi="Times New Roman" w:cs="Times New Roman"/>
          <w:b/>
          <w:noProof/>
          <w:lang w:val="en-GB"/>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Uvod</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Umjetna inteligencija (UI) iznimno će utjecati na ljudske živote i rad u sljedećim desetljećima. Takvo je stajalište osnova europske strategije za umjetnu inteligenciju koja je pokrenuta u travnju 2018., a u međuvremenu je i potvrđena. UI može našim društvima omogućiti brojne prednosti, od smanjenja onečišćenja do manjeg broja smrtnih slučajeva u prometu, od poboljšanja zdravstvene skrbi i većih mogućnosti za osobe s invaliditetom i starije osobe do boljeg obrazovanja i više načina uključivanja građana u demokratske procese, od bržeg donošenja presuda do učinkovitijeg suzbijanja terorizma i kriminala na internetu i izvan njega te poboljšanja kibersigurnosti. Potencijal </w:t>
      </w:r>
      <w:r>
        <w:rPr>
          <w:rFonts w:ascii="Times New Roman" w:hAnsi="Times New Roman"/>
          <w:b/>
          <w:noProof/>
          <w:sz w:val="24"/>
          <w:szCs w:val="24"/>
        </w:rPr>
        <w:t>umjetne inteligencije</w:t>
      </w:r>
      <w:r>
        <w:rPr>
          <w:rFonts w:ascii="Times New Roman" w:hAnsi="Times New Roman"/>
          <w:noProof/>
          <w:sz w:val="24"/>
          <w:szCs w:val="24"/>
        </w:rPr>
        <w:t xml:space="preserve"> došao je do izražaja </w:t>
      </w:r>
      <w:r>
        <w:rPr>
          <w:rFonts w:ascii="Times New Roman" w:hAnsi="Times New Roman"/>
          <w:b/>
          <w:noProof/>
          <w:sz w:val="24"/>
          <w:szCs w:val="24"/>
        </w:rPr>
        <w:t>u borbi protiv bolesti COVID-19</w:t>
      </w:r>
      <w:r>
        <w:rPr>
          <w:rFonts w:ascii="Times New Roman" w:hAnsi="Times New Roman"/>
          <w:noProof/>
          <w:sz w:val="24"/>
          <w:szCs w:val="24"/>
        </w:rPr>
        <w:t xml:space="preserve"> jer je ta tehnologija pomogla u predviđanju zemljopisnog širenja bolesti, dijagnosticiranju zaraze primjenom računalne tomografije i razvoju prvih cjepiva i lijekova protiv virusa. UI se prije svega pokazao svestranijim od većine drugih tehnologija. S druge strane, uporaba umjetne inteligencije podrazumijeva i određene rizike, kao što je potencijalno izlaganje osoba, među ostalim djece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velikim pogreškama koje mogu narušiti temeljna prava i sigurnost te naše demokratske procese.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U kontekstu ubrzanog tehnološkog razvoja UI-ja i globalnog političkog okruženja u kojem sve više zemalja intenzivno ulaže u UI, EU mora ujedinjeno djelovati kako bi na dugoročno održiv način iskoristio brojne mogućnosti i savladao prepreke koje donosi UI. Dvojaka politika Komisije, koja je započela pokretanjem europske strategije za umjetnu inteligenciju u travnju 2018.</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usmjerena je istodobno na profiliranje EU-a kao </w:t>
      </w:r>
      <w:r>
        <w:rPr>
          <w:rFonts w:ascii="Times New Roman" w:hAnsi="Times New Roman"/>
          <w:b/>
          <w:bCs/>
          <w:noProof/>
          <w:sz w:val="24"/>
          <w:szCs w:val="24"/>
        </w:rPr>
        <w:t>centra umjetne inteligencije na svjetskoj razini</w:t>
      </w:r>
      <w:r>
        <w:rPr>
          <w:rFonts w:ascii="Times New Roman" w:hAnsi="Times New Roman"/>
          <w:noProof/>
          <w:sz w:val="24"/>
          <w:szCs w:val="24"/>
        </w:rPr>
        <w:t xml:space="preserve"> te uspostavljanje antropocentrične i </w:t>
      </w:r>
      <w:r>
        <w:rPr>
          <w:rFonts w:ascii="Times New Roman" w:hAnsi="Times New Roman"/>
          <w:b/>
          <w:bCs/>
          <w:noProof/>
          <w:sz w:val="24"/>
          <w:szCs w:val="24"/>
        </w:rPr>
        <w:t>pouzdane</w:t>
      </w:r>
      <w:r>
        <w:rPr>
          <w:rFonts w:ascii="Times New Roman" w:hAnsi="Times New Roman"/>
          <w:noProof/>
          <w:sz w:val="24"/>
          <w:szCs w:val="24"/>
        </w:rPr>
        <w:t xml:space="preserve"> umjetne inteligencije. U Bijeloj knjizi o umjetnoj inteligenciji</w:t>
      </w:r>
      <w:r>
        <w:rPr>
          <w:rFonts w:ascii="Times New Roman" w:hAnsi="Times New Roman" w:cs="Times New Roman"/>
          <w:noProof/>
          <w:sz w:val="24"/>
          <w:szCs w:val="24"/>
          <w:vertAlign w:val="superscript"/>
        </w:rPr>
        <w:footnoteReference w:id="4"/>
      </w:r>
      <w:r>
        <w:rPr>
          <w:rFonts w:ascii="Times New Roman" w:hAnsi="Times New Roman"/>
          <w:noProof/>
          <w:sz w:val="24"/>
          <w:szCs w:val="24"/>
        </w:rPr>
        <w:t>, koju je Komisija objavila u veljači 2020., predstavljena je jasna vizija umjetne inteligencije u Europi: ekosustav izvrsnosti i ekosustav povjerenja u području umjetne inteligencije.</w:t>
      </w:r>
    </w:p>
    <w:p>
      <w:pPr>
        <w:spacing w:after="120" w:line="276" w:lineRule="auto"/>
        <w:jc w:val="both"/>
        <w:rPr>
          <w:rFonts w:ascii="Times New Roman" w:hAnsi="Times New Roman"/>
          <w:noProof/>
          <w:sz w:val="24"/>
          <w:szCs w:val="24"/>
        </w:rPr>
      </w:pPr>
      <w:r>
        <w:rPr>
          <w:rFonts w:ascii="Times New Roman" w:hAnsi="Times New Roman"/>
          <w:noProof/>
          <w:sz w:val="24"/>
          <w:szCs w:val="24"/>
        </w:rPr>
        <w:t xml:space="preserve">Današnji paket mjera za umjetnu inteligenciju bitan je korak za obje dimenzije te politike. Kako bi promicala razvoj UI-ja i smanjila potencijalne velike rizike koje ta tehnologija predstavlja u području sigurnosti i temeljnih prava, Komisija predstavlja </w:t>
      </w:r>
      <w:r>
        <w:rPr>
          <w:rFonts w:ascii="Times New Roman" w:hAnsi="Times New Roman"/>
          <w:b/>
          <w:bCs/>
          <w:noProof/>
          <w:sz w:val="24"/>
          <w:szCs w:val="24"/>
        </w:rPr>
        <w:t>prijedlog regulatornog okvira za umjetnu inteligenciju i revidirani koordinirani plan o umjetnoj inteligenciji</w:t>
      </w:r>
      <w:r>
        <w:rPr>
          <w:rFonts w:ascii="Times New Roman" w:hAnsi="Times New Roman"/>
          <w:noProof/>
          <w:sz w:val="24"/>
          <w:szCs w:val="24"/>
        </w:rPr>
        <w:t xml:space="preserve">. </w:t>
      </w:r>
    </w:p>
    <w:p>
      <w:pPr>
        <w:spacing w:after="120" w:line="276" w:lineRule="auto"/>
        <w:jc w:val="both"/>
        <w:rPr>
          <w:rFonts w:ascii="Times New Roman" w:hAnsi="Times New Roman" w:cs="Times New Roman"/>
          <w:noProof/>
          <w:sz w:val="24"/>
          <w:szCs w:val="24"/>
        </w:rPr>
      </w:pP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rPr>
          <w:b/>
          <w:noProof/>
        </w:rPr>
      </w:pPr>
      <w:r>
        <w:rPr>
          <w:rFonts w:ascii="Times New Roman" w:hAnsi="Times New Roman"/>
          <w:b/>
          <w:noProof/>
          <w:sz w:val="24"/>
          <w:szCs w:val="24"/>
        </w:rPr>
        <w:t xml:space="preserve">Dvije strane umjetne inteligencije: mogućnosti i rizici </w:t>
      </w:r>
    </w:p>
    <w:p>
      <w:pPr>
        <w:pStyle w:val="NormalWeb"/>
        <w:spacing w:after="120" w:afterAutospacing="0" w:line="276" w:lineRule="auto"/>
        <w:jc w:val="both"/>
        <w:rPr>
          <w:noProof/>
        </w:rPr>
      </w:pPr>
      <w:r>
        <w:rPr>
          <w:noProof/>
        </w:rPr>
        <w:t>Svjesna potencijala umjetne inteligencije, Europska unija promiče razvoj i uvođenje te tehnologije. U okviru programa Digitalna Europa i Obzor Europa Komisija planira ulagati milijardu EUR na godinu u UI te mobilizirati dodatna ulaganja iz privatnog sektora i država članica kako bi se ovog desetljeća postigao godišnji iznos ulaganja od 20 milijardi EUR.</w:t>
      </w:r>
    </w:p>
    <w:p>
      <w:pPr>
        <w:pStyle w:val="NormalWeb"/>
        <w:spacing w:before="0" w:beforeAutospacing="0" w:after="120" w:afterAutospacing="0" w:line="276" w:lineRule="auto"/>
        <w:jc w:val="both"/>
        <w:rPr>
          <w:noProof/>
        </w:rPr>
      </w:pPr>
      <w:r>
        <w:rPr>
          <w:noProof/>
        </w:rPr>
        <w:t xml:space="preserve">Jačanje kapaciteta EU-a u području umjetne inteligencije ključan je dio šire strategije stvaranja Europe spremne za digitalno doba i pretvaranja nadolazećih 10 godina u </w:t>
      </w:r>
      <w:r>
        <w:rPr>
          <w:b/>
          <w:bCs/>
          <w:noProof/>
        </w:rPr>
        <w:t>digitalno desetljeće</w:t>
      </w:r>
      <w:r>
        <w:rPr>
          <w:noProof/>
        </w:rPr>
        <w:t>, kako je utvrđeno u Digitalnom kompasu</w:t>
      </w:r>
      <w:r>
        <w:rPr>
          <w:b/>
          <w:noProof/>
          <w:vertAlign w:val="superscript"/>
          <w:lang w:val="en-GB"/>
        </w:rPr>
        <w:footnoteReference w:id="5"/>
      </w:r>
      <w:r>
        <w:rPr>
          <w:noProof/>
        </w:rPr>
        <w:t>. Promicanje inovacija koje se temelje na UI-ju prvenstveno je usko povezano s provedbom europske strategije za podatke, što uključuje i nedavni prijedlog Akta o upravljanju podacima</w:t>
      </w:r>
      <w:r>
        <w:rPr>
          <w:noProof/>
          <w:vertAlign w:val="superscript"/>
        </w:rPr>
        <w:footnoteReference w:id="6"/>
      </w:r>
      <w:r>
        <w:rPr>
          <w:noProof/>
        </w:rPr>
        <w:t>, jer se UI može uspješno razvijati samo uz nesmetan pristup podacima. Osobito će mala i srednja poduzeća morati imati pravedan pristup podacima da bi UI ušao u opću primjenu u gospodarstvu EU-a. Osim toga, predloženi regulatorni okvir za UI djelovat će u kombinaciji s važećim zakonodavstvom o sigurnosti proizvoda, osobito s revizijom Direktive o strojevima</w:t>
      </w:r>
      <w:r>
        <w:rPr>
          <w:noProof/>
          <w:vertAlign w:val="superscript"/>
        </w:rPr>
        <w:footnoteReference w:id="7"/>
      </w:r>
      <w:r>
        <w:rPr>
          <w:noProof/>
        </w:rPr>
        <w:t>, u kojoj se, među ostalim, reguliraju sigurnosni rizici novih tehnologija, uključujući rizike zbog interakcije ljudi i robota, IT rizike koji utječu na sigurnost i autonomne strojeve. Taj je okvir usto dodatak strategiji EU-a za sigurnosnu uniju, novoj strategiji za kibersigurnost</w:t>
      </w:r>
      <w:r>
        <w:rPr>
          <w:b/>
          <w:noProof/>
          <w:vertAlign w:val="superscript"/>
        </w:rPr>
        <w:footnoteReference w:id="8"/>
      </w:r>
      <w:r>
        <w:rPr>
          <w:noProof/>
        </w:rPr>
        <w:t>, Akcijskom planu za digitalno obrazovanje 2021.–2027.</w:t>
      </w:r>
      <w:r>
        <w:rPr>
          <w:rStyle w:val="FootnoteReference"/>
          <w:noProof/>
        </w:rPr>
        <w:footnoteReference w:id="9"/>
      </w:r>
      <w:r>
        <w:rPr>
          <w:noProof/>
        </w:rPr>
        <w:t>, nedavno predloženom Aktu o digitalnim uslugama i Aktu o digitalnim tržištima</w:t>
      </w:r>
      <w:r>
        <w:rPr>
          <w:noProof/>
          <w:vertAlign w:val="superscript"/>
        </w:rPr>
        <w:footnoteReference w:id="10"/>
      </w:r>
      <w:r>
        <w:rPr>
          <w:noProof/>
        </w:rPr>
        <w:t xml:space="preserve"> te akcijskom planu za europsku demokraciju</w:t>
      </w:r>
      <w:r>
        <w:rPr>
          <w:rStyle w:val="FootnoteReference"/>
          <w:noProof/>
        </w:rPr>
        <w:footnoteReference w:id="11"/>
      </w:r>
      <w:r>
        <w:rPr>
          <w:noProof/>
        </w:rPr>
        <w:t xml:space="preserve">. Naposljetku, predloženi okvir nadopunit će se propisima kojima će se prilagoditi okvir EU-a za odgovornost, kao što su revidirana Direktiva o odgovornosti za proizvode kako bi se uredila pitanja odgovornosti u kontekstu novih tehnologija, uključujući UI, i revidirana Direktiva o općoj sigurnosti proizvoda. </w:t>
      </w:r>
    </w:p>
    <w:p>
      <w:pPr>
        <w:pStyle w:val="NormalWeb"/>
        <w:spacing w:before="0" w:beforeAutospacing="0" w:after="120" w:afterAutospacing="0" w:line="276" w:lineRule="auto"/>
        <w:jc w:val="both"/>
        <w:rPr>
          <w:noProof/>
        </w:rPr>
      </w:pPr>
      <w:r>
        <w:rPr>
          <w:noProof/>
        </w:rPr>
        <w:t xml:space="preserve">Nedavno doneseni </w:t>
      </w:r>
      <w:r>
        <w:rPr>
          <w:b/>
          <w:noProof/>
        </w:rPr>
        <w:t>Mehanizam za oporavak i otpornost</w:t>
      </w:r>
      <w:r>
        <w:rPr>
          <w:noProof/>
        </w:rPr>
        <w:t xml:space="preserve"> omogućit će Europi da poveća ambicije i postane predvodnik u uvođenju UI-ja. Mehanizam za oporavak i otpornost bit će središnji dio plana oporavka EU-a te će se njime državama članicama staviti na raspolaganje zajmovi i bespovratna sredstva u nezapamćenom iznosu od 672,5 milijardi EUR za početne godine, koje su presudne za oporavak. Najmanje 20 % raspoloživih sredstava dodijelit će se mjerama kojima se potiče digitalna tranzicija, što će tijekom životnog ciklusa Mehanizma ukupno iznositi </w:t>
      </w:r>
      <w:r>
        <w:rPr>
          <w:b/>
          <w:bCs/>
          <w:noProof/>
        </w:rPr>
        <w:t>134 milijarde EUR</w:t>
      </w:r>
      <w:r>
        <w:rPr>
          <w:noProof/>
          <w:vertAlign w:val="superscript"/>
        </w:rPr>
        <w:footnoteReference w:id="12"/>
      </w:r>
      <w:r>
        <w:rPr>
          <w:noProof/>
        </w:rPr>
        <w:t xml:space="preserve">. </w:t>
      </w:r>
    </w:p>
    <w:p>
      <w:pPr>
        <w:pStyle w:val="NormalWeb"/>
        <w:spacing w:before="0" w:beforeAutospacing="0" w:after="120" w:afterAutospacing="0" w:line="276" w:lineRule="auto"/>
        <w:jc w:val="both"/>
        <w:rPr>
          <w:noProof/>
        </w:rPr>
      </w:pPr>
      <w:r>
        <w:rPr>
          <w:noProof/>
          <w:color w:val="000000"/>
        </w:rPr>
        <w:t xml:space="preserve">Može se očekivati da će se Mehanizam za oporavak i otpornost iskoristiti za poticanje ulaganja država članica u UI i kapacitete u području vodećih istraživanja, inovacija i testiranja kako bi ubrzani razvoj i uporaba UI-ja mogli pridonijeti dugoročnom gospodarskom i društvenom oporavku te poboljšati konkurentnost. </w:t>
      </w:r>
      <w:r>
        <w:rPr>
          <w:noProof/>
        </w:rPr>
        <w:t xml:space="preserve">Prilika je tim veća jer se Mehanizam za oporavak i otpornost nadovezuje na postojeće </w:t>
      </w:r>
      <w:r>
        <w:rPr>
          <w:b/>
          <w:bCs/>
          <w:noProof/>
        </w:rPr>
        <w:t>programe Digitalna Europa i Obzor Europa</w:t>
      </w:r>
      <w:r>
        <w:rPr>
          <w:noProof/>
        </w:rPr>
        <w:t xml:space="preserve">, kao i znatnu količinu financijskih sredstava za inovacije u okviru programa </w:t>
      </w:r>
      <w:r>
        <w:rPr>
          <w:b/>
          <w:bCs/>
          <w:noProof/>
        </w:rPr>
        <w:t>kohezijske politike</w:t>
      </w:r>
      <w:r>
        <w:rPr>
          <w:noProof/>
        </w:rPr>
        <w:t xml:space="preserve">.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UI i ostale digitalne tehnologije mogu pridonijeti održivom oporavku od krize uzrokovane bolešću COVID-19 jer mogu </w:t>
      </w:r>
      <w:r>
        <w:rPr>
          <w:rFonts w:ascii="Times New Roman" w:hAnsi="Times New Roman"/>
          <w:b/>
          <w:bCs/>
          <w:noProof/>
          <w:sz w:val="24"/>
          <w:szCs w:val="24"/>
        </w:rPr>
        <w:t>povećati produktivnost</w:t>
      </w:r>
      <w:r>
        <w:rPr>
          <w:rFonts w:ascii="Times New Roman" w:hAnsi="Times New Roman"/>
          <w:noProof/>
          <w:sz w:val="24"/>
          <w:szCs w:val="24"/>
        </w:rPr>
        <w:t xml:space="preserve"> u svim gospodarskim sektorima te stvoriti nova tržišta i pružiti izvanredne prilike za gospodarski rast Europe. UI tehnologije pridonose optimizaciji industrijskih procesa i čine ih otpornijima, učinkovitijima i ekološki prihvatljivijima te omogućuju inovativno samostalno učenje i rješenja u stvarnom vremenu, od predvidljivog održavanja i digitalnih blizanaca do kolaborativnih robota i proširene stvarnosti. Očekuje se da će nove poslovne prilike i veća gospodarska dinamičnost stvoriti nove mogućnosti zapošljavanja i tako kompenzirati potencijalne gubitke radnih mjesta. Osobama s invaliditetom i starijim osobama UI može, u obliku rješenja za pomoć i potporu, omogućiti lakši samostalan život</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r>
        <w:rPr>
          <w:noProof/>
        </w:rPr>
        <w:t xml:space="preserve"> </w:t>
      </w:r>
      <w:r>
        <w:rPr>
          <w:rFonts w:ascii="Times New Roman" w:hAnsi="Times New Roman"/>
          <w:noProof/>
          <w:sz w:val="24"/>
          <w:szCs w:val="24"/>
        </w:rPr>
        <w:t>Osim toga, UI bi mogao imati važnu ulogu u informiranju građana i poboljšanju inicijativa za njihov veći angažman.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Jačanjem sposobnosti u području UI-ja </w:t>
      </w:r>
      <w:r>
        <w:rPr>
          <w:rFonts w:ascii="Times New Roman" w:hAnsi="Times New Roman"/>
          <w:b/>
          <w:bCs/>
          <w:noProof/>
          <w:sz w:val="24"/>
          <w:szCs w:val="24"/>
        </w:rPr>
        <w:t>povećat će se otpornost</w:t>
      </w:r>
      <w:r>
        <w:rPr>
          <w:rFonts w:ascii="Times New Roman" w:hAnsi="Times New Roman"/>
          <w:noProof/>
          <w:sz w:val="24"/>
          <w:szCs w:val="24"/>
        </w:rPr>
        <w:t xml:space="preserve"> na buduće šokove jer će europska poduzeća posjedovati dovoljno stručnog znanja da brzo primijene UI u kontekstu novih izazova. Povrh toga, UI može znatno pridonijeti ciljevima europskog zelenog plana jer može pomoći industriji, društvu, tijelima javne vlasti i građanima da biraju održivija rješenja za, primjerice, integraciju obnovljivih izvora u energetski sustav pametnijim upravljanjem mrežom ili za smanjenje emisija stakleničkih plinova primjenom pametne mobilnosti, optimiziranim korištenjem resursa i preciznom poljoprivredom.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UI može uvelike pridonijeti ostvarenju ciljeva strategije EU-a za sigurnosnu uniju. On može biti strateški instrument za suzbijanje postojećih prijetnji i predviđanje budućih rizika, među ostalim hibridnih prijetnji, i prilika. UI može pridonijeti suzbijanju kriminala i terorizma te omogućiti sustavu kaznenog progona da održi korak s brzim razvojem tehnologija koje upotrebljavaju kriminalci, kao i njihove prekogranične aktivnosti.</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Kako bi iskoristila prednosti UI-ja, </w:t>
      </w:r>
      <w:r>
        <w:rPr>
          <w:rFonts w:ascii="Times New Roman" w:hAnsi="Times New Roman"/>
          <w:b/>
          <w:noProof/>
          <w:sz w:val="24"/>
          <w:szCs w:val="24"/>
        </w:rPr>
        <w:t>Europa se može osloniti na svoje postojeće snage</w:t>
      </w:r>
      <w:r>
        <w:rPr>
          <w:rFonts w:ascii="Times New Roman" w:hAnsi="Times New Roman"/>
          <w:noProof/>
          <w:sz w:val="24"/>
          <w:szCs w:val="24"/>
        </w:rPr>
        <w:t xml:space="preserve">. Svjetska je predvodnica u robotici i konkurentnim industrijskim ekosustavima. Uz sve učinkovitiju računalnu infrastrukturu (npr. računala visokih performansi) i velike količine javnih i industrijskih podataka, te prednosti omogućuju Europi da gradi vrhunske sposobnosti u području UI-ja zahvaljujući svojim izvrsnim istraživačkim centrima i sve brojnijim inovativnim </w:t>
      </w:r>
      <w:r>
        <w:rPr>
          <w:rFonts w:ascii="Times New Roman" w:hAnsi="Times New Roman"/>
          <w:i/>
          <w:iCs/>
          <w:noProof/>
          <w:sz w:val="24"/>
          <w:szCs w:val="24"/>
        </w:rPr>
        <w:t>start-up</w:t>
      </w:r>
      <w:r>
        <w:rPr>
          <w:rFonts w:ascii="Times New Roman" w:hAnsi="Times New Roman"/>
          <w:noProof/>
          <w:sz w:val="24"/>
          <w:szCs w:val="24"/>
        </w:rPr>
        <w:t xml:space="preserve"> poduzećima. Države članice EU-a i Komisija objedinit će stručna znanja, koordinirati mjere i zajednički mobilizirati dodatne resurse kako bi te prednosti podržale raspoloživim financijskim sredstvima. U tu svrhu Komisija, na temelju suradnje s državama članicama koju razvija od 2018., predstavlja </w:t>
      </w:r>
      <w:r>
        <w:rPr>
          <w:rFonts w:ascii="Times New Roman" w:hAnsi="Times New Roman"/>
          <w:b/>
          <w:bCs/>
          <w:noProof/>
          <w:sz w:val="24"/>
          <w:szCs w:val="24"/>
        </w:rPr>
        <w:t>revidirani koordinirani plan o umjetnoj inteligenciji</w:t>
      </w:r>
      <w:r>
        <w:rPr>
          <w:rFonts w:ascii="Times New Roman" w:hAnsi="Times New Roman"/>
          <w:noProof/>
          <w:sz w:val="24"/>
          <w:szCs w:val="24"/>
        </w:rPr>
        <w:t xml:space="preserve">. </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Uporabom umjetne inteligencije stvaraju se, međutim, i rizici koje treba regulirati. Određene karakteristike UI-ja, kao što je netransparentnost mnogih algoritama</w:t>
      </w:r>
      <w:r>
        <w:rPr>
          <w:noProof/>
        </w:rPr>
        <w:t xml:space="preserve"> </w:t>
      </w:r>
      <w:r>
        <w:rPr>
          <w:rFonts w:ascii="Times New Roman" w:hAnsi="Times New Roman"/>
          <w:noProof/>
          <w:sz w:val="24"/>
          <w:szCs w:val="24"/>
        </w:rPr>
        <w:t xml:space="preserve">koja otežava istraživanje uzročnih veza, predstavljaju konkretne i potencijalno </w:t>
      </w:r>
      <w:r>
        <w:rPr>
          <w:rFonts w:ascii="Times New Roman" w:hAnsi="Times New Roman"/>
          <w:b/>
          <w:noProof/>
          <w:sz w:val="24"/>
          <w:szCs w:val="24"/>
        </w:rPr>
        <w:t>velike</w:t>
      </w:r>
      <w:r>
        <w:rPr>
          <w:rFonts w:ascii="Times New Roman" w:hAnsi="Times New Roman"/>
          <w:noProof/>
          <w:sz w:val="24"/>
          <w:szCs w:val="24"/>
        </w:rPr>
        <w:t xml:space="preserve"> </w:t>
      </w:r>
      <w:r>
        <w:rPr>
          <w:rFonts w:ascii="Times New Roman" w:hAnsi="Times New Roman"/>
          <w:b/>
          <w:noProof/>
          <w:sz w:val="24"/>
          <w:szCs w:val="24"/>
        </w:rPr>
        <w:t>rizike za sigurnost i temeljna prava</w:t>
      </w:r>
      <w:r>
        <w:rPr>
          <w:rFonts w:ascii="Times New Roman" w:hAnsi="Times New Roman"/>
          <w:noProof/>
          <w:sz w:val="24"/>
          <w:szCs w:val="24"/>
        </w:rPr>
        <w:t xml:space="preserve"> koji se ne mogu ukloniti postojećim propisima ili koji otežavaju provođenje tih propisa. Primjerice, često nije moguće odrediti kako je neki UI sustav proizveo određeni rezultat. Zbog toga može biti teško procijeniti i dokazati je li netko nepravedno zakinut uporabom UI sustavâ, primjerice pri zapošljavanju ili poslovnom napredovanju ili prijavi za program socijalnih naknada. Osobama na koje utječu pogrešne odluke donesene uz pomoć UI sustava može biti jako teško ispraviti te pogreške. Tehnologija prepoznavanja lica u javnim prostorima može jako narušavati privatnost ako nije primjereno regulirana. Uz to, loše učenje i projektiranje UI sustava mogu uzrokovati velike pogreške koje mogu narušiti načela privatnosti i nediskriminacije</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szCs w:val="24"/>
        </w:rPr>
        <w:t xml:space="preserve">. Roboti i inteligentni sustavi s UI tehnologijom moraju biti konstruirani i projektirani u skladu s visokim standardima sigurnosti i zaštite temeljnih prava koji se primjenjuju na tradicionalne tehnologije i koji su utvrđeni europskim pravom. </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Zbog tih izazova u području UI-ja Europski parlament i Vijeće nekoliko su puta pozvali na donošenje propisa kojima će se osigurati funkcionalno unutarnje tržište UI sustavâ na kojem su prednosti i rizici te tehnologije regulirani na odgovarajući i dugotrajno održiv način. Komisijin </w:t>
      </w:r>
      <w:r>
        <w:rPr>
          <w:rFonts w:ascii="Times New Roman" w:hAnsi="Times New Roman"/>
          <w:b/>
          <w:bCs/>
          <w:noProof/>
          <w:sz w:val="24"/>
          <w:szCs w:val="24"/>
        </w:rPr>
        <w:t>prijedlog regulatornog okvira</w:t>
      </w:r>
      <w:r>
        <w:rPr>
          <w:rStyle w:val="FootnoteReference"/>
          <w:rFonts w:ascii="Times New Roman" w:eastAsia="Times New Roman" w:hAnsi="Times New Roman" w:cs="Times New Roman"/>
          <w:noProof/>
          <w:sz w:val="24"/>
          <w:szCs w:val="24"/>
        </w:rPr>
        <w:footnoteReference w:id="15"/>
      </w:r>
      <w:r>
        <w:rPr>
          <w:rFonts w:ascii="Times New Roman" w:hAnsi="Times New Roman"/>
          <w:noProof/>
          <w:sz w:val="24"/>
          <w:szCs w:val="24"/>
        </w:rPr>
        <w:t xml:space="preserve"> za UI ključni je korak za zaštitu sigurnosti i temeljnih prava, a time i uspostavljanje povjerenja u razvoj i primjenu UI-ja.</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Koordinirani plan i prijedlog regulatornog okvira dio su nastojanja Europske unije da bude aktivni sudionik međunarodnih i multilateralnih foruma u području digitalnih tehnologija i svjetska predvodnica u promicanju pouzdanog UI-ja te da na međunarodnom planu djeluje dosljedno svojim unutarnjim politikama. Umjetna inteligencija postala je strateški važno područje na svjetskoj razini u kojem se preklapaju geopolitika, komercijalni ulozi i sigurnosna pitanja. U cijelom svijetu zemlje posežu za UI-jem kao sredstvom tehnološkog napretka zbog njegova potencijala i korisnosti. Pravno uređenje umjetne inteligencije tek je u začetku i na </w:t>
      </w:r>
      <w:r>
        <w:rPr>
          <w:rFonts w:ascii="Times New Roman" w:hAnsi="Times New Roman"/>
          <w:b/>
          <w:noProof/>
          <w:sz w:val="24"/>
          <w:szCs w:val="24"/>
        </w:rPr>
        <w:t>Uniji je velika odgovornost da stane na čelo razvoja novih ambicioznih globalnih normi</w:t>
      </w:r>
      <w:r>
        <w:rPr>
          <w:rFonts w:ascii="Times New Roman" w:hAnsi="Times New Roman"/>
          <w:noProof/>
          <w:sz w:val="24"/>
          <w:szCs w:val="24"/>
        </w:rPr>
        <w:t>, inicijativa za međunarodnu normizaciju u području UI-ja</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i okvira za suradnju u skladu s multilateralnim sustavom koji se temelji na pravilima i s vrijednostima koje promiče. U skladu sa Zajedničkom komunikacijom o povećanju doprinosa EU-a multilateralizmu koji se temelji na pravilima</w:t>
      </w:r>
      <w:r>
        <w:rPr>
          <w:rStyle w:val="FootnoteReference"/>
          <w:rFonts w:ascii="Times New Roman" w:eastAsia="Times New Roman" w:hAnsi="Times New Roman" w:cs="Times New Roman"/>
          <w:noProof/>
          <w:sz w:val="24"/>
          <w:szCs w:val="24"/>
        </w:rPr>
        <w:footnoteReference w:id="17"/>
      </w:r>
      <w:r>
        <w:rPr>
          <w:rFonts w:ascii="Times New Roman" w:hAnsi="Times New Roman"/>
          <w:noProof/>
          <w:sz w:val="24"/>
          <w:szCs w:val="24"/>
        </w:rPr>
        <w:t xml:space="preserve"> EU namjerava produbiti partnerstva, koalicije i saveze s trećim zemljama, osobito partnerima sa sličnim stajalištima, te multilateralnim i regionalnim organizacijama</w:t>
      </w:r>
      <w:r>
        <w:rPr>
          <w:rStyle w:val="FootnoteReference"/>
          <w:rFonts w:ascii="Times New Roman" w:eastAsia="Times New Roman" w:hAnsi="Times New Roman" w:cs="Times New Roman"/>
          <w:noProof/>
          <w:sz w:val="24"/>
          <w:szCs w:val="24"/>
        </w:rPr>
        <w:footnoteReference w:id="18"/>
      </w:r>
      <w:r>
        <w:rPr>
          <w:rFonts w:ascii="Times New Roman" w:hAnsi="Times New Roman"/>
          <w:noProof/>
          <w:sz w:val="24"/>
          <w:szCs w:val="24"/>
        </w:rPr>
        <w:t>. Osim toga, namjerava surađivati s ostalim zemljama na pojedinačnim pitanjima i odlučno djelovati u situacijama u kojima te vrijednosti budu ugrožene.</w:t>
      </w:r>
    </w:p>
    <w:p>
      <w:pPr>
        <w:spacing w:line="276" w:lineRule="auto"/>
        <w:jc w:val="both"/>
        <w:rPr>
          <w:noProof/>
          <w:color w:val="000000"/>
          <w:sz w:val="27"/>
          <w:szCs w:val="27"/>
        </w:rPr>
      </w:pPr>
    </w:p>
    <w:p>
      <w:pPr>
        <w:pStyle w:val="ListParagraph"/>
        <w:numPr>
          <w:ilvl w:val="0"/>
          <w:numId w:val="23"/>
        </w:numPr>
        <w:spacing w:after="120" w:line="276" w:lineRule="auto"/>
        <w:jc w:val="both"/>
        <w:rPr>
          <w:rFonts w:ascii="Times New Roman" w:hAnsi="Times New Roman" w:cs="Times New Roman"/>
          <w:b/>
          <w:noProof/>
          <w:sz w:val="24"/>
          <w:szCs w:val="24"/>
        </w:rPr>
      </w:pPr>
      <w:r>
        <w:rPr>
          <w:rFonts w:ascii="Times New Roman" w:hAnsi="Times New Roman"/>
          <w:b/>
          <w:noProof/>
          <w:sz w:val="24"/>
          <w:szCs w:val="24"/>
        </w:rPr>
        <w:t>Ključna etapa na putu prema europskom pristupu umjetnoj inteligenciji</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Danas objavljeni paket rezultat je </w:t>
      </w:r>
      <w:r>
        <w:rPr>
          <w:rFonts w:ascii="Times New Roman" w:hAnsi="Times New Roman"/>
          <w:b/>
          <w:bCs/>
          <w:noProof/>
          <w:sz w:val="24"/>
          <w:szCs w:val="24"/>
        </w:rPr>
        <w:t>intenzivnog trogodišnjeg oblikovanja politika u području UI-ja</w:t>
      </w:r>
      <w:r>
        <w:rPr>
          <w:rFonts w:ascii="Times New Roman" w:hAnsi="Times New Roman"/>
          <w:noProof/>
          <w:sz w:val="24"/>
          <w:szCs w:val="24"/>
        </w:rPr>
        <w:t xml:space="preserve"> na europskoj razini. Na temelju Komisijine europske strategije za umjetnu inteligenciju iz travnja 2018. i nakon opsežnog savjetovanja s dionicima, stručna skupina na visokoj razini za umjetnu inteligenciju (HLEG) izradila je u travnju 2019. Smjernice za pouzdanu umjetnu inteligenciju</w:t>
      </w:r>
      <w:r>
        <w:rPr>
          <w:rFonts w:ascii="Times New Roman" w:hAnsi="Times New Roman" w:cs="Times New Roman"/>
          <w:noProof/>
          <w:sz w:val="24"/>
          <w:szCs w:val="24"/>
          <w:vertAlign w:val="superscript"/>
        </w:rPr>
        <w:footnoteReference w:id="19"/>
      </w:r>
      <w:r>
        <w:rPr>
          <w:rFonts w:ascii="Times New Roman" w:hAnsi="Times New Roman"/>
          <w:noProof/>
          <w:sz w:val="24"/>
          <w:szCs w:val="24"/>
        </w:rPr>
        <w:t>, a u srpnju 2020. Popis za procjenu pouzdane umjetne inteligencije (ALTAI). Uz to, osnovan je Savez za umjetnu inteligenciju</w:t>
      </w:r>
      <w:r>
        <w:rPr>
          <w:rFonts w:ascii="Times New Roman" w:hAnsi="Times New Roman" w:cs="Times New Roman"/>
          <w:noProof/>
          <w:sz w:val="24"/>
          <w:szCs w:val="24"/>
          <w:vertAlign w:val="superscript"/>
          <w:lang w:val="en-GB"/>
        </w:rPr>
        <w:footnoteReference w:id="20"/>
      </w:r>
      <w:r>
        <w:rPr>
          <w:rFonts w:ascii="Times New Roman" w:hAnsi="Times New Roman"/>
          <w:noProof/>
          <w:sz w:val="24"/>
          <w:szCs w:val="24"/>
        </w:rPr>
        <w:t>, platforma na kojoj približno 4 000 dionika može raspravljati o tehnološkim i društvenim implikacijama UI-ja, a jednom na godinu održava se i sastanak njezinih članova. Prvi koordinirani plan o umjetnoj inteligenciji</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rPr>
        <w:t xml:space="preserve">, objavljen u prosincu 2018., zajednička je obveza, s državama članicama, poticanja razvoja i uporabe UI-ja u Europi te koordinacije europskih i nacionalnih aktivnosti u području UI-ja.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Komisijina </w:t>
      </w:r>
      <w:r>
        <w:rPr>
          <w:rFonts w:ascii="Times New Roman" w:hAnsi="Times New Roman"/>
          <w:b/>
          <w:noProof/>
          <w:sz w:val="24"/>
          <w:szCs w:val="24"/>
        </w:rPr>
        <w:t>Bijela knjiga o umjetnoj inteligenciji</w:t>
      </w:r>
      <w:r>
        <w:rPr>
          <w:rFonts w:ascii="Times New Roman" w:hAnsi="Times New Roman"/>
          <w:noProof/>
          <w:sz w:val="24"/>
          <w:szCs w:val="24"/>
        </w:rPr>
        <w:t xml:space="preserve"> objavljena je zajedno s izvješćem o aspektima sigurnosti i odgovornosti u području UI-ja, interneta stvari i robotike</w:t>
      </w:r>
      <w:r>
        <w:rPr>
          <w:rFonts w:ascii="Times New Roman" w:hAnsi="Times New Roman" w:cs="Times New Roman"/>
          <w:noProof/>
          <w:sz w:val="24"/>
          <w:szCs w:val="24"/>
          <w:vertAlign w:val="superscript"/>
        </w:rPr>
        <w:footnoteReference w:id="22"/>
      </w:r>
      <w:r>
        <w:rPr>
          <w:rFonts w:ascii="Times New Roman" w:hAnsi="Times New Roman"/>
          <w:noProof/>
          <w:sz w:val="24"/>
          <w:szCs w:val="24"/>
        </w:rPr>
        <w:t xml:space="preserve">, čime su spojena dva područja djelovanja. U Bijeloj knjizi predlažu se brojne mjere za poticanje ekosustava izvrsnosti, što je dovelo do današnjeg preispitivanja koordiniranog plana. Osim toga, u Bijeloj knjizi utvrđene su i opcije politike za budući regulatorni okvir EU-a za zaštitu ekosustava povjerenja u Europi, čime su stvoreni uvjeti za današnji prijedlog regulatornog okvira za UI. U </w:t>
      </w:r>
      <w:r>
        <w:rPr>
          <w:rFonts w:ascii="Times New Roman" w:hAnsi="Times New Roman"/>
          <w:b/>
          <w:noProof/>
          <w:sz w:val="24"/>
          <w:szCs w:val="24"/>
        </w:rPr>
        <w:t>javnom savjetovanju</w:t>
      </w:r>
      <w:r>
        <w:rPr>
          <w:rFonts w:ascii="Times New Roman" w:hAnsi="Times New Roman"/>
          <w:noProof/>
          <w:sz w:val="24"/>
          <w:szCs w:val="24"/>
        </w:rPr>
        <w:t xml:space="preserve"> o Bijeloj knjizi o umjetnoj inteligenciji</w:t>
      </w:r>
      <w:r>
        <w:rPr>
          <w:rFonts w:ascii="Times New Roman" w:hAnsi="Times New Roman" w:cs="Times New Roman"/>
          <w:noProof/>
          <w:sz w:val="24"/>
          <w:szCs w:val="24"/>
          <w:vertAlign w:val="superscript"/>
        </w:rPr>
        <w:footnoteReference w:id="23"/>
      </w:r>
      <w:r>
        <w:rPr>
          <w:rFonts w:ascii="Times New Roman" w:hAnsi="Times New Roman"/>
          <w:noProof/>
          <w:sz w:val="24"/>
          <w:szCs w:val="24"/>
        </w:rPr>
        <w:t>, koje je održano od veljače do lipnja 2020. i privuklo je velik broj sudionika, europski građani, države članice i dionici mogli su doprinijeti oblikovanju pristupa EU-a i opcija politika u području UI-ja.</w:t>
      </w: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Put prema povjerenju: prijedlog regulatornog okvira za umjetnu inteligenciju</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Kako je utvrđeno u Bijeloj knjizi o umjetnoj inteligenciji i zatim u velikoj mjeri potvrđeno javnim savjetovanjem, uporaba UI-ja stvara specifične </w:t>
      </w:r>
      <w:r>
        <w:rPr>
          <w:rFonts w:ascii="Times New Roman" w:hAnsi="Times New Roman"/>
          <w:b/>
          <w:bCs/>
          <w:noProof/>
          <w:sz w:val="24"/>
          <w:szCs w:val="24"/>
        </w:rPr>
        <w:t>visoke rizike za koje postojeći propisi nisu dovoljni</w:t>
      </w:r>
      <w:r>
        <w:rPr>
          <w:rFonts w:ascii="Times New Roman" w:hAnsi="Times New Roman"/>
          <w:noProof/>
          <w:sz w:val="24"/>
          <w:szCs w:val="24"/>
        </w:rPr>
        <w:t>. Iako u EU-u i na nacionalnoj razini već postoji solidan zakonodavni okvir za zaštitu temeljnih prava</w:t>
      </w:r>
      <w:r>
        <w:rPr>
          <w:rStyle w:val="FootnoteReference"/>
          <w:rFonts w:ascii="Times New Roman" w:hAnsi="Times New Roman" w:cs="Times New Roman"/>
          <w:noProof/>
          <w:sz w:val="24"/>
          <w:szCs w:val="24"/>
          <w:lang w:val="en-GB"/>
        </w:rPr>
        <w:footnoteReference w:id="24"/>
      </w:r>
      <w:r>
        <w:rPr>
          <w:rFonts w:ascii="Times New Roman" w:hAnsi="Times New Roman"/>
          <w:noProof/>
          <w:sz w:val="24"/>
          <w:szCs w:val="24"/>
        </w:rPr>
        <w:t>, sigurnosti</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rPr>
        <w:t xml:space="preserve"> i prava potrošača</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što osobito podrazumijeva Opću uredbu o zaštiti podataka</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i Direktivu o zaštiti podataka pri izvršavanju zakonodavstva</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određena obilježja UI tehnologija (npr. netransparentnost) mogu otežati primjenu i izvršavanje tog zakonodavstva i stvoriti visoke rizike za koje su nužne prilagođene regulatorne mjere.</w:t>
      </w:r>
      <w:r>
        <w:rPr>
          <w:rFonts w:ascii="Times New Roman" w:hAnsi="Times New Roman"/>
          <w:b/>
          <w:noProof/>
          <w:sz w:val="24"/>
          <w:szCs w:val="24"/>
        </w:rPr>
        <w:t xml:space="preserve"> </w:t>
      </w:r>
      <w:r>
        <w:rPr>
          <w:rFonts w:ascii="Times New Roman" w:hAnsi="Times New Roman"/>
          <w:noProof/>
          <w:sz w:val="24"/>
          <w:szCs w:val="24"/>
        </w:rPr>
        <w:t>Prijedlogom se stoga uvodi skup usklađenih pravila koja se odnose na projektiranje, razvoj i uporabu određenih visokorizičnih UI sustava te ograničenja određenih uporaba sustava za daljinsku biometrijsku identifikaciju.</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Planirani propisi koje se temelji na rizicima trebali bi, time što će steći povjerenje građana, potaknuti primjenu UI-ja na području Europe, kao i njezinu konkurentnost. Prijedlogom Komisije stoga se nastoji ostvariti dvojaki cilj: proporcionalno suzbijanje rizika povezanih s određenim vrstama uporabe UI-ja i pospješivanje primjene UI-ja. Kako bi bio dugoročno održiv i omogućio inovacije, predloženi pravni okvir osmišljen je tako da se </w:t>
      </w:r>
      <w:r>
        <w:rPr>
          <w:rFonts w:ascii="Times New Roman" w:hAnsi="Times New Roman"/>
          <w:b/>
          <w:bCs/>
          <w:noProof/>
          <w:sz w:val="24"/>
          <w:szCs w:val="24"/>
        </w:rPr>
        <w:t>intervenira samo gdje je to doista nužno</w:t>
      </w:r>
      <w:r>
        <w:rPr>
          <w:rFonts w:ascii="Times New Roman" w:hAnsi="Times New Roman"/>
          <w:noProof/>
          <w:sz w:val="24"/>
          <w:szCs w:val="24"/>
        </w:rPr>
        <w:t xml:space="preserve"> i da se što manje opterete gospodarski subjekti, odnosno da je struktura upravljanja jednostavna.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U predloženoj uredbi o umjetnoj inteligenciji iznose se pravila za povećanje transparentnosti i smanjenje rizika za sigurnost i temeljna prava prije nego što se UI sustavi mogu koristiti u Europskoj uniji. Ustrojena je od nekoliko temeljnih elemenata koji, u cjelini, čine </w:t>
      </w:r>
      <w:r>
        <w:rPr>
          <w:rFonts w:ascii="Times New Roman" w:hAnsi="Times New Roman"/>
          <w:b/>
          <w:bCs/>
          <w:noProof/>
          <w:sz w:val="24"/>
          <w:szCs w:val="24"/>
        </w:rPr>
        <w:t>proporcionalan europski regulatorni pristup utemeljen na riziku</w:t>
      </w:r>
      <w:r>
        <w:rPr>
          <w:rFonts w:ascii="Times New Roman" w:hAnsi="Times New Roman"/>
          <w:noProof/>
          <w:sz w:val="24"/>
          <w:szCs w:val="24"/>
        </w:rPr>
        <w:t xml:space="preserve">. Prvo, sadržava tehnološki neutralnu definiciju UI sustavâ koja će odgovarati i budućim potrebama u mjeri u kojoj se njome mogu obuhvatiti tehnike i pristupi koji još nisu poznati ili razvijeni.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Nadalje, kako bi se izbjeglo prekomjerno reguliranje, prijedlog je usmjeren na tzv. </w:t>
      </w:r>
      <w:r>
        <w:rPr>
          <w:rFonts w:ascii="Times New Roman" w:hAnsi="Times New Roman"/>
          <w:b/>
          <w:bCs/>
          <w:noProof/>
          <w:sz w:val="24"/>
          <w:szCs w:val="24"/>
        </w:rPr>
        <w:t>visokorizične vrste uporabe UI-ja</w:t>
      </w:r>
      <w:r>
        <w:rPr>
          <w:rFonts w:ascii="Times New Roman" w:hAnsi="Times New Roman"/>
          <w:noProof/>
          <w:sz w:val="24"/>
          <w:szCs w:val="24"/>
        </w:rPr>
        <w:t>, odnosno one kod kojih su rizici primjene UI sustava posebno visoki. Klasificiranje UI sustava kao visokorizičnog ovisi o njegovoj namjeni te veličini i vjerojatnosti potencijalne štete. Visokorizični sustavi uključuju, primjerice, UI sustave koji su namijenjeni zapošljavanju, procjeni kreditne sposobnosti osoba</w:t>
      </w:r>
      <w:r>
        <w:rPr>
          <w:rFonts w:ascii="Times New Roman" w:hAnsi="Times New Roman" w:cs="Times New Roman"/>
          <w:noProof/>
          <w:sz w:val="24"/>
          <w:szCs w:val="24"/>
          <w:vertAlign w:val="superscript"/>
          <w:lang w:val="en-GB"/>
        </w:rPr>
        <w:footnoteReference w:id="29"/>
      </w:r>
      <w:r>
        <w:rPr>
          <w:rFonts w:ascii="Times New Roman" w:hAnsi="Times New Roman"/>
          <w:noProof/>
          <w:sz w:val="24"/>
          <w:szCs w:val="24"/>
        </w:rPr>
        <w:t xml:space="preserve"> ili donošenju sudskih odluka. Kako bi ta pravila bila dugoročno održiva i kako bi ih se moglo prilagoditi novim primjenama i aplikacijama visokorizičnih UI sustava, postoji mogućnost klasificiranja novih UI sustava u određenim unaprijed definiranim područjima uporabe među visokorizične.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Prema trećem elementu prijedloga </w:t>
      </w:r>
      <w:r>
        <w:rPr>
          <w:rFonts w:ascii="Times New Roman" w:hAnsi="Times New Roman"/>
          <w:b/>
          <w:bCs/>
          <w:noProof/>
          <w:sz w:val="24"/>
          <w:szCs w:val="24"/>
        </w:rPr>
        <w:t>visokorizični UI sustavi moraju ispunjavati skup posebnih zahtjeva</w:t>
      </w:r>
      <w:r>
        <w:rPr>
          <w:rFonts w:ascii="Times New Roman" w:hAnsi="Times New Roman"/>
          <w:noProof/>
          <w:sz w:val="24"/>
          <w:szCs w:val="24"/>
        </w:rPr>
        <w:t xml:space="preserve">, koji se, među ostalim, odnose na uporabu visokokvalitetnih skupova podataka, odgovarajuću dokumentaciju u svrhu bolje sljedivosti, razmjenu odgovarajućih informacija s korisnikom, pripremu i provedbu odgovarajućih mjera ljudskog nadzora te postizanje najviših standarda otpornosti, sigurnosti, kibersigurnosti i točnosti. Prije stavljanja na tržište ili u uporabu </w:t>
      </w:r>
      <w:r>
        <w:rPr>
          <w:rFonts w:ascii="Times New Roman" w:hAnsi="Times New Roman"/>
          <w:b/>
          <w:noProof/>
          <w:sz w:val="24"/>
          <w:szCs w:val="24"/>
        </w:rPr>
        <w:t>mora se ocijeniti sukladnost visokorizičnih UI sustava</w:t>
      </w:r>
      <w:r>
        <w:rPr>
          <w:rFonts w:ascii="Times New Roman" w:hAnsi="Times New Roman"/>
          <w:noProof/>
          <w:sz w:val="24"/>
          <w:szCs w:val="24"/>
        </w:rPr>
        <w:t xml:space="preserve"> s tim zahtjevima. Kako bi se dobro uklopio u postojeće pravne okvire, u prijedlogu su, prema potrebi, u obzir uzeta sektorska pravila o sigurnosti, čime se postiže usklađenost između pravnih akata i pojednostavnjenja za gospodarske subjekte.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Predloženim nacrtom uredbe utvrđuje se </w:t>
      </w:r>
      <w:r>
        <w:rPr>
          <w:rFonts w:ascii="Times New Roman" w:hAnsi="Times New Roman"/>
          <w:b/>
          <w:bCs/>
          <w:noProof/>
          <w:sz w:val="24"/>
          <w:szCs w:val="24"/>
        </w:rPr>
        <w:t>zabrana ograničenog skupa primjena UI-ja</w:t>
      </w:r>
      <w:r>
        <w:rPr>
          <w:rFonts w:ascii="Times New Roman" w:hAnsi="Times New Roman"/>
          <w:noProof/>
          <w:sz w:val="24"/>
          <w:szCs w:val="24"/>
        </w:rPr>
        <w:t xml:space="preserve"> koje su u suprotnosti s vrijednostima Europske unije ili krše temeljna prava. Zabrana se odnosi na UI sustave koji mijenjaju ljudsko ponašanje subliminalnim tehnikama ili iskorištavanjem određenih slabosti na način koji uzrokuje ili će vjerojatno uzrokovati tjelesnu ili psihološku štetu. Odnosi se i na opće društveno vrednovanje koje bi UI sustavima provodila tijela javne vlasti.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Predloženom uredbom uspostavlja se stroži pristup za specifične slučajeve primjene sustava za </w:t>
      </w:r>
      <w:r>
        <w:rPr>
          <w:rFonts w:ascii="Times New Roman" w:hAnsi="Times New Roman"/>
          <w:b/>
          <w:noProof/>
          <w:sz w:val="24"/>
          <w:szCs w:val="24"/>
        </w:rPr>
        <w:t>daljinsku biometrijsku identifikaciju</w:t>
      </w:r>
      <w:r>
        <w:rPr>
          <w:rFonts w:ascii="Times New Roman" w:hAnsi="Times New Roman"/>
          <w:noProof/>
          <w:sz w:val="24"/>
          <w:szCs w:val="24"/>
        </w:rPr>
        <w:t xml:space="preserve"> (npr. alati za prepoznavanje lica radi provjere prolaznika na javnim mjestima). Uporaba takvih sustava u stvarnom vremenu za potrebe kaznenog progona u načelu bi bila zabranjena na javnim mjestima, osim u iznimnim, zakonski dopuštenim slučajevima</w:t>
      </w:r>
      <w:r>
        <w:rPr>
          <w:rStyle w:val="FootnoteReference"/>
          <w:rFonts w:ascii="Times New Roman" w:hAnsi="Times New Roman" w:cs="Times New Roman"/>
          <w:noProof/>
          <w:sz w:val="24"/>
          <w:szCs w:val="24"/>
          <w:lang w:val="en-GB"/>
        </w:rPr>
        <w:footnoteReference w:id="30"/>
      </w:r>
      <w:r>
        <w:rPr>
          <w:rFonts w:ascii="Times New Roman" w:hAnsi="Times New Roman"/>
          <w:noProof/>
          <w:sz w:val="24"/>
          <w:szCs w:val="24"/>
        </w:rPr>
        <w:t xml:space="preserve">. Svako takvo odobrenje podliježe posebnim zaštitnim mjerama. Osim toga, svi UI sustavi za daljinsku biometrijsku identifikaciju pojedinaca moraju proći </w:t>
      </w:r>
      <w:r>
        <w:rPr>
          <w:rFonts w:ascii="Times New Roman" w:hAnsi="Times New Roman"/>
          <w:i/>
          <w:iCs/>
          <w:noProof/>
          <w:sz w:val="24"/>
          <w:szCs w:val="24"/>
        </w:rPr>
        <w:t>ex ante</w:t>
      </w:r>
      <w:r>
        <w:rPr>
          <w:rFonts w:ascii="Times New Roman" w:hAnsi="Times New Roman"/>
          <w:noProof/>
          <w:sz w:val="24"/>
          <w:szCs w:val="24"/>
        </w:rPr>
        <w:t xml:space="preserve"> ocjenjivanja sukladnosti sa zahtjevima za visokorizične UI sustave koje provodi prijavljeno tijelo te ispunjavati strože zahtjeve za evidentiranje događaja i ljudski nadzor.</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Predloženom se uredbom utvrđuje da </w:t>
      </w:r>
      <w:r>
        <w:rPr>
          <w:rFonts w:ascii="Times New Roman" w:hAnsi="Times New Roman"/>
          <w:b/>
          <w:bCs/>
          <w:noProof/>
          <w:sz w:val="24"/>
          <w:szCs w:val="24"/>
        </w:rPr>
        <w:t>ostale uporabe UI sustava</w:t>
      </w:r>
      <w:r>
        <w:rPr>
          <w:rFonts w:ascii="Times New Roman" w:hAnsi="Times New Roman"/>
          <w:noProof/>
          <w:sz w:val="24"/>
          <w:szCs w:val="24"/>
        </w:rPr>
        <w:t xml:space="preserve"> podliježu samo </w:t>
      </w:r>
      <w:r>
        <w:rPr>
          <w:rFonts w:ascii="Times New Roman" w:hAnsi="Times New Roman"/>
          <w:b/>
          <w:bCs/>
          <w:noProof/>
          <w:sz w:val="24"/>
          <w:szCs w:val="24"/>
        </w:rPr>
        <w:t>minimalnim zahtjevima u pogledu transparentnosti</w:t>
      </w:r>
      <w:r>
        <w:rPr>
          <w:rFonts w:ascii="Times New Roman" w:hAnsi="Times New Roman"/>
          <w:noProof/>
          <w:sz w:val="24"/>
          <w:szCs w:val="24"/>
        </w:rPr>
        <w:t xml:space="preserve">, primjerice </w:t>
      </w:r>
      <w:r>
        <w:rPr>
          <w:rFonts w:ascii="Times New Roman" w:hAnsi="Times New Roman"/>
          <w:i/>
          <w:iCs/>
          <w:noProof/>
          <w:sz w:val="24"/>
          <w:szCs w:val="24"/>
        </w:rPr>
        <w:t>chatbotovi</w:t>
      </w:r>
      <w:r>
        <w:rPr>
          <w:rFonts w:ascii="Times New Roman" w:hAnsi="Times New Roman"/>
          <w:noProof/>
          <w:sz w:val="24"/>
          <w:szCs w:val="24"/>
        </w:rPr>
        <w:t xml:space="preserve">, sustavi za prepoznavanje emocija ili krivotvoreni sadržaji („deep fake”). To će građanima omogućiti da upućeno odlučuju o interakciji ili da se povuku iz dane situacije. </w:t>
      </w:r>
      <w:r>
        <w:rPr>
          <w:rFonts w:ascii="Times New Roman" w:hAnsi="Times New Roman"/>
          <w:b/>
          <w:noProof/>
          <w:sz w:val="24"/>
          <w:szCs w:val="24"/>
        </w:rPr>
        <w:t>Naposljetku,</w:t>
      </w:r>
      <w:r>
        <w:rPr>
          <w:rFonts w:ascii="Times New Roman" w:hAnsi="Times New Roman"/>
          <w:noProof/>
          <w:sz w:val="24"/>
          <w:szCs w:val="24"/>
        </w:rPr>
        <w:t xml:space="preserve"> u okviru predložene uredbe poticat će se uporaba </w:t>
      </w:r>
      <w:r>
        <w:rPr>
          <w:rFonts w:ascii="Times New Roman" w:hAnsi="Times New Roman"/>
          <w:b/>
          <w:noProof/>
          <w:sz w:val="24"/>
          <w:szCs w:val="24"/>
        </w:rPr>
        <w:t>regulatornih izoliranih okruženja</w:t>
      </w:r>
      <w:r>
        <w:rPr>
          <w:rFonts w:ascii="Times New Roman" w:hAnsi="Times New Roman"/>
          <w:noProof/>
          <w:sz w:val="24"/>
          <w:szCs w:val="24"/>
        </w:rPr>
        <w:t>, tj. kontroliranih okruženja za vremenski ograničeno testiranje inovativnih tehnologija, pristup centrima za digitalne inovacije i pristup objektima za testiranje i eksperimentiranje, što će inovativnim poduzećima, MSP-ovima i novoosnovanim (</w:t>
      </w:r>
      <w:r>
        <w:rPr>
          <w:rFonts w:ascii="Times New Roman" w:hAnsi="Times New Roman"/>
          <w:i/>
          <w:iCs/>
          <w:noProof/>
          <w:sz w:val="24"/>
          <w:szCs w:val="24"/>
        </w:rPr>
        <w:t>start-up</w:t>
      </w:r>
      <w:r>
        <w:rPr>
          <w:rFonts w:ascii="Times New Roman" w:hAnsi="Times New Roman"/>
          <w:noProof/>
          <w:sz w:val="24"/>
          <w:szCs w:val="24"/>
        </w:rPr>
        <w:t>) poduzećima pomoći da nastave s inovacijama u skladu s nacrtom nove uredbe. Daljnji koraci za proširenje sustava izoliranih okruženja mogu se smatrati dijelom preispitivanja uredbe.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U predloženoj se uredbi o umjetnoj inteligenciji, dakle. veća sigurnost i zaštita temeljnih prava spajaju s podupiranjem inovacija kako bi se </w:t>
      </w:r>
      <w:r>
        <w:rPr>
          <w:rFonts w:ascii="Times New Roman" w:hAnsi="Times New Roman"/>
          <w:b/>
          <w:bCs/>
          <w:noProof/>
          <w:sz w:val="24"/>
          <w:szCs w:val="24"/>
        </w:rPr>
        <w:t>uspostavilo povjerenje bez sprečavanja inovacija</w:t>
      </w:r>
      <w:r>
        <w:rPr>
          <w:rFonts w:ascii="Times New Roman" w:hAnsi="Times New Roman"/>
          <w:noProof/>
          <w:sz w:val="24"/>
          <w:szCs w:val="24"/>
        </w:rPr>
        <w:t>.</w:t>
      </w: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Uspostavljanje globalnog vodstva Europske unije: revidirani koordinirani plan o umjetnoj inteligenciji</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Umjetna inteligencija skup je strateški važnih tehnologija i Europska unija mora ujedinjeno djelovati kako bi iskoristila prednosti koje ona pruža. Za ostvarenje tog cilja ključna je </w:t>
      </w:r>
      <w:r>
        <w:rPr>
          <w:rFonts w:ascii="Times New Roman" w:hAnsi="Times New Roman"/>
          <w:b/>
          <w:bCs/>
          <w:noProof/>
          <w:sz w:val="24"/>
          <w:szCs w:val="24"/>
        </w:rPr>
        <w:t>koordinacija politika i ulaganja u području UI-ja</w:t>
      </w:r>
      <w:r>
        <w:rPr>
          <w:rFonts w:ascii="Times New Roman" w:hAnsi="Times New Roman"/>
          <w:noProof/>
          <w:sz w:val="24"/>
          <w:szCs w:val="24"/>
        </w:rPr>
        <w:t xml:space="preserve"> na europskoj razini. Uz nju će, naime, globalna konkurentnost i vodeća uloga Europe omogućiti razvoj i uvođenje najnovijih tehnologija. Koordinacija će Europi omogućiti da iskoristi prednosti UI-ja za gospodarstvo, društvo i okoliš te pomoći da promiče europske vrijednosti u cijelom svijetu.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Europska komisija i države članice stoga su se 2018. obvezale na suradnju i, kao prvi korak, donijele koordinirani plan o umjetnoj inteligenciji. Koordinirani plan postavio je temelj za koordinaciju politika o UI-ju i potaknuo države članice na izradu nacionalnih strategija. Međutim, </w:t>
      </w:r>
      <w:r>
        <w:rPr>
          <w:rFonts w:ascii="Times New Roman" w:hAnsi="Times New Roman"/>
          <w:b/>
          <w:bCs/>
          <w:noProof/>
          <w:sz w:val="24"/>
          <w:szCs w:val="24"/>
        </w:rPr>
        <w:t>tehnološki, gospodarski i politički kontekst povezan s UI-jem uvelike se promijenio</w:t>
      </w:r>
      <w:r>
        <w:rPr>
          <w:rFonts w:ascii="Times New Roman" w:hAnsi="Times New Roman"/>
          <w:noProof/>
          <w:sz w:val="24"/>
          <w:szCs w:val="24"/>
        </w:rPr>
        <w:t xml:space="preserve"> od donošenja koordiniranog plana krajem 2018. Stoga, kako bi koordinirani plan ostao prilagodljiv i svrsishodan, Komisija izlaže reviziju koordiniranog plana.</w:t>
      </w:r>
      <w:r>
        <w:rPr>
          <w:rFonts w:ascii="Times New Roman" w:hAnsi="Times New Roman" w:cs="Times New Roman"/>
          <w:noProof/>
          <w:sz w:val="24"/>
          <w:szCs w:val="24"/>
          <w:vertAlign w:val="superscript"/>
          <w:lang w:val="en-GB"/>
        </w:rPr>
        <w:footnoteReference w:id="31"/>
      </w:r>
      <w:r>
        <w:rPr>
          <w:rFonts w:ascii="Times New Roman" w:hAnsi="Times New Roman"/>
          <w:noProof/>
          <w:sz w:val="24"/>
          <w:szCs w:val="24"/>
        </w:rPr>
        <w:t xml:space="preserve"> </w:t>
      </w:r>
    </w:p>
    <w:p>
      <w:pPr>
        <w:spacing w:line="276" w:lineRule="auto"/>
        <w:jc w:val="both"/>
        <w:rPr>
          <w:rFonts w:ascii="Times New Roman" w:hAnsi="Times New Roman" w:cs="Times New Roman"/>
          <w:bCs/>
          <w:noProof/>
          <w:sz w:val="24"/>
          <w:szCs w:val="24"/>
        </w:rPr>
      </w:pPr>
      <w:r>
        <w:rPr>
          <w:rFonts w:ascii="Times New Roman" w:hAnsi="Times New Roman"/>
          <w:noProof/>
          <w:sz w:val="24"/>
          <w:szCs w:val="24"/>
        </w:rPr>
        <w:t xml:space="preserve">Revizija koordiniranog plana u 2021. prilika je za </w:t>
      </w:r>
      <w:r>
        <w:rPr>
          <w:rFonts w:ascii="Times New Roman" w:hAnsi="Times New Roman"/>
          <w:b/>
          <w:bCs/>
          <w:noProof/>
          <w:sz w:val="24"/>
          <w:szCs w:val="24"/>
        </w:rPr>
        <w:t>stvaranje još veće europske dodane vrijednosti</w:t>
      </w:r>
      <w:r>
        <w:rPr>
          <w:rFonts w:ascii="Times New Roman" w:hAnsi="Times New Roman"/>
          <w:noProof/>
          <w:sz w:val="24"/>
          <w:szCs w:val="24"/>
        </w:rPr>
        <w:t xml:space="preserve"> i jačanje globalne uloge EU-a u području UI-ja. U dokumentu se iznose </w:t>
      </w:r>
      <w:r>
        <w:rPr>
          <w:rFonts w:ascii="Times New Roman" w:hAnsi="Times New Roman"/>
          <w:b/>
          <w:bCs/>
          <w:noProof/>
          <w:sz w:val="24"/>
          <w:szCs w:val="24"/>
        </w:rPr>
        <w:t>četiri ključna skupa prijedloga</w:t>
      </w:r>
      <w:r>
        <w:rPr>
          <w:rFonts w:ascii="Times New Roman" w:hAnsi="Times New Roman"/>
          <w:noProof/>
          <w:sz w:val="24"/>
          <w:szCs w:val="24"/>
        </w:rPr>
        <w:t xml:space="preserve"> o tome kako Europska komisija, u suradnji s državama članicama i akterima iz privatnog sektora, može ubrzati, provesti i uskladiti svoje djelovanje kako bi se iskoristile mogućnosti UI tehnologija i olakšao europski pristup UI-ju. U nastavku su </w:t>
      </w:r>
      <w:r>
        <w:rPr>
          <w:rFonts w:ascii="Times New Roman" w:hAnsi="Times New Roman"/>
          <w:bCs/>
          <w:noProof/>
          <w:sz w:val="24"/>
          <w:szCs w:val="24"/>
        </w:rPr>
        <w:t>opisana ta četiri skupa prijedloga.</w:t>
      </w:r>
    </w:p>
    <w:p>
      <w:pPr>
        <w:spacing w:after="120" w:line="276" w:lineRule="auto"/>
        <w:jc w:val="both"/>
        <w:rPr>
          <w:rFonts w:ascii="Times New Roman" w:hAnsi="Times New Roman" w:cs="Times New Roman"/>
          <w:noProof/>
          <w:sz w:val="24"/>
          <w:szCs w:val="24"/>
        </w:rPr>
      </w:pPr>
      <w:r>
        <w:rPr>
          <w:rFonts w:ascii="Times New Roman" w:hAnsi="Times New Roman"/>
          <w:bCs/>
          <w:noProof/>
          <w:sz w:val="24"/>
          <w:szCs w:val="24"/>
        </w:rPr>
        <w:t xml:space="preserve">Prvi skup odnosi se na </w:t>
      </w:r>
      <w:r>
        <w:rPr>
          <w:rFonts w:ascii="Times New Roman" w:hAnsi="Times New Roman"/>
          <w:b/>
          <w:bCs/>
          <w:noProof/>
          <w:sz w:val="24"/>
          <w:szCs w:val="24"/>
        </w:rPr>
        <w:t>stvaranje poticajnih uvjeta</w:t>
      </w:r>
      <w:r>
        <w:rPr>
          <w:rFonts w:ascii="Times New Roman" w:hAnsi="Times New Roman"/>
          <w:bCs/>
          <w:noProof/>
          <w:sz w:val="24"/>
          <w:szCs w:val="24"/>
        </w:rPr>
        <w:t xml:space="preserve"> za razvoj i primjenu UI-ja u Europskoj uniji usmjeravanjem na okvir suradnje te podatkovnu i računalnu infrastrukturu. Te je uvjete potrebno prilagoditi MSP-ovima kako bi mala poduzeća mogla sudjelovati u razvoju i uvođenju UI-ja na razini Unije. Države članice potiču se da u suradnji s EU-om ubrzaju mjere predložene u nacionalnim strategijama za UI tako da, prema potrebi, iskoriste sredstva u okviru Mehanizma za oporavak i otpornost i kohezijskih fondova. To uključuje </w:t>
      </w:r>
      <w:r>
        <w:rPr>
          <w:rFonts w:ascii="Times New Roman" w:hAnsi="Times New Roman"/>
          <w:b/>
          <w:bCs/>
          <w:noProof/>
          <w:sz w:val="24"/>
          <w:szCs w:val="24"/>
        </w:rPr>
        <w:t>ulaganje u</w:t>
      </w:r>
      <w:r>
        <w:rPr>
          <w:rFonts w:ascii="Times New Roman" w:hAnsi="Times New Roman"/>
          <w:bCs/>
          <w:noProof/>
          <w:sz w:val="24"/>
          <w:szCs w:val="24"/>
        </w:rPr>
        <w:t xml:space="preserve"> razvojnu </w:t>
      </w:r>
      <w:r>
        <w:rPr>
          <w:rFonts w:ascii="Times New Roman" w:hAnsi="Times New Roman"/>
          <w:b/>
          <w:bCs/>
          <w:noProof/>
          <w:sz w:val="24"/>
          <w:szCs w:val="24"/>
        </w:rPr>
        <w:t>infrastrukturu</w:t>
      </w:r>
      <w:r>
        <w:rPr>
          <w:rFonts w:ascii="Times New Roman" w:hAnsi="Times New Roman"/>
          <w:bCs/>
          <w:noProof/>
          <w:sz w:val="24"/>
          <w:szCs w:val="24"/>
        </w:rPr>
        <w:t xml:space="preserve">, kao što su </w:t>
      </w:r>
      <w:r>
        <w:rPr>
          <w:rFonts w:ascii="Times New Roman" w:hAnsi="Times New Roman"/>
          <w:b/>
          <w:bCs/>
          <w:noProof/>
          <w:sz w:val="24"/>
          <w:szCs w:val="24"/>
        </w:rPr>
        <w:t>podatkovni prostori i računalni resursi</w:t>
      </w:r>
      <w:r>
        <w:rPr>
          <w:rFonts w:ascii="Times New Roman" w:hAnsi="Times New Roman"/>
          <w:bCs/>
          <w:noProof/>
          <w:sz w:val="24"/>
          <w:szCs w:val="24"/>
        </w:rPr>
        <w:t xml:space="preserve">. </w:t>
      </w:r>
    </w:p>
    <w:p>
      <w:pPr>
        <w:spacing w:after="120" w:line="276" w:lineRule="auto"/>
        <w:jc w:val="both"/>
        <w:rPr>
          <w:rFonts w:ascii="Times New Roman" w:hAnsi="Times New Roman" w:cs="Times New Roman"/>
          <w:noProof/>
          <w:sz w:val="24"/>
          <w:szCs w:val="24"/>
        </w:rPr>
      </w:pPr>
      <w:r>
        <w:rPr>
          <w:rFonts w:ascii="Times New Roman" w:hAnsi="Times New Roman"/>
          <w:bCs/>
          <w:noProof/>
          <w:sz w:val="24"/>
          <w:szCs w:val="24"/>
        </w:rPr>
        <w:t xml:space="preserve">Drugi se skup odnosi na </w:t>
      </w:r>
      <w:r>
        <w:rPr>
          <w:rFonts w:ascii="Times New Roman" w:hAnsi="Times New Roman"/>
          <w:b/>
          <w:bCs/>
          <w:noProof/>
          <w:sz w:val="24"/>
          <w:szCs w:val="24"/>
        </w:rPr>
        <w:t>pretvaranje EU-a u mjesto gdje izvrsnost vlada od laboratorija do tržišta</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Komisija će se stoga usmjeriti na </w:t>
      </w:r>
      <w:r>
        <w:rPr>
          <w:rFonts w:ascii="Times New Roman" w:hAnsi="Times New Roman"/>
          <w:b/>
          <w:bCs/>
          <w:noProof/>
          <w:sz w:val="24"/>
          <w:szCs w:val="24"/>
        </w:rPr>
        <w:t>financiranje mreža centara izvrsnosti u području UI-ja i uspostavljanje europskog partnerstva</w:t>
      </w:r>
      <w:r>
        <w:rPr>
          <w:rFonts w:ascii="Times New Roman" w:hAnsi="Times New Roman"/>
          <w:bCs/>
          <w:noProof/>
          <w:sz w:val="24"/>
          <w:szCs w:val="24"/>
        </w:rPr>
        <w:t xml:space="preserve"> za UI, podatke i robotiku u okviru programa Obzor Europa kako bi olakšala istraživačku izvrsnost. </w:t>
      </w:r>
      <w:r>
        <w:rPr>
          <w:rFonts w:ascii="Times New Roman" w:hAnsi="Times New Roman"/>
          <w:noProof/>
          <w:sz w:val="24"/>
          <w:szCs w:val="24"/>
        </w:rPr>
        <w:t xml:space="preserve">Kako bi se osigurala dostupnost testiranja i eksperimentiranja u svrhu inovacija i brzog uvođenja, države članice i Komisija sufinancirat će u okviru programa Digitalna Europa </w:t>
      </w:r>
      <w:r>
        <w:rPr>
          <w:rFonts w:ascii="Times New Roman" w:hAnsi="Times New Roman"/>
          <w:b/>
          <w:bCs/>
          <w:noProof/>
          <w:sz w:val="24"/>
          <w:szCs w:val="24"/>
        </w:rPr>
        <w:t>inovativne objekte za testiranje i eksperimentiranje u području UI-ja</w:t>
      </w:r>
      <w:r>
        <w:rPr>
          <w:rFonts w:ascii="Times New Roman" w:hAnsi="Times New Roman"/>
          <w:noProof/>
          <w:sz w:val="24"/>
          <w:szCs w:val="24"/>
        </w:rPr>
        <w:t xml:space="preserve"> te </w:t>
      </w:r>
      <w:r>
        <w:rPr>
          <w:rFonts w:ascii="Times New Roman" w:hAnsi="Times New Roman"/>
          <w:b/>
          <w:bCs/>
          <w:noProof/>
          <w:sz w:val="24"/>
          <w:szCs w:val="24"/>
        </w:rPr>
        <w:t>mrežu europskih centara za digitalne inovacije</w:t>
      </w:r>
      <w:r>
        <w:rPr>
          <w:rFonts w:ascii="Times New Roman" w:hAnsi="Times New Roman"/>
          <w:noProof/>
          <w:sz w:val="24"/>
          <w:szCs w:val="24"/>
        </w:rPr>
        <w:t xml:space="preserve"> koji će pomagati MSP-ovima i javnim upravama u uvođenju UI-ja.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Trećim se skupom želi postići da </w:t>
      </w:r>
      <w:r>
        <w:rPr>
          <w:rFonts w:ascii="Times New Roman" w:hAnsi="Times New Roman"/>
          <w:b/>
          <w:bCs/>
          <w:noProof/>
          <w:sz w:val="24"/>
          <w:szCs w:val="24"/>
        </w:rPr>
        <w:t>umjetna inteligencija služi građanima i bude snaga koja će unaprijediti društvo</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Komisija će nastaviti poduzimati mjere kojima će postići da UI koji se razvija i stavlja na tržište u EU-u bude antropocentričan, održiv, siguran, uključiv, pristupačan i pouzdan. Za ostvarenje tih ciljeva važan je regulatorni okvir kojim će se </w:t>
      </w:r>
      <w:r>
        <w:rPr>
          <w:rFonts w:ascii="Times New Roman" w:hAnsi="Times New Roman"/>
          <w:b/>
          <w:bCs/>
          <w:noProof/>
          <w:sz w:val="24"/>
          <w:szCs w:val="24"/>
        </w:rPr>
        <w:t>uspostaviti povjerenje u UI sustave</w:t>
      </w:r>
      <w:r>
        <w:rPr>
          <w:rFonts w:ascii="Times New Roman" w:hAnsi="Times New Roman"/>
          <w:noProof/>
          <w:sz w:val="24"/>
          <w:szCs w:val="24"/>
        </w:rPr>
        <w:t xml:space="preserve"> te istovremeno globalno promicati pristup EU-a umjetnoj inteligenciji koji se temelji na vrijednosti. Osim toga, države članice poziva se na </w:t>
      </w:r>
      <w:r>
        <w:rPr>
          <w:rFonts w:ascii="Times New Roman" w:hAnsi="Times New Roman"/>
          <w:b/>
          <w:bCs/>
          <w:noProof/>
          <w:sz w:val="24"/>
          <w:szCs w:val="24"/>
        </w:rPr>
        <w:t>razvoj talenata i poboljšanje ponude vještina</w:t>
      </w:r>
      <w:r>
        <w:rPr>
          <w:rFonts w:ascii="Times New Roman" w:hAnsi="Times New Roman"/>
          <w:noProof/>
          <w:sz w:val="24"/>
          <w:szCs w:val="24"/>
        </w:rPr>
        <w:t xml:space="preserve"> potrebnih za razvoj pouzdanog UI-ja.</w:t>
      </w:r>
    </w:p>
    <w:p>
      <w:pPr>
        <w:spacing w:after="120" w:line="276" w:lineRule="auto"/>
        <w:jc w:val="both"/>
        <w:rPr>
          <w:rFonts w:ascii="Times New Roman" w:hAnsi="Times New Roman" w:cs="Times New Roman"/>
          <w:noProof/>
          <w:sz w:val="24"/>
          <w:szCs w:val="24"/>
        </w:rPr>
      </w:pPr>
      <w:r>
        <w:rPr>
          <w:rFonts w:ascii="Times New Roman" w:hAnsi="Times New Roman"/>
          <w:bCs/>
          <w:noProof/>
          <w:sz w:val="24"/>
          <w:szCs w:val="24"/>
        </w:rPr>
        <w:t xml:space="preserve">Četvrti se skup odnosi na </w:t>
      </w:r>
      <w:r>
        <w:rPr>
          <w:rFonts w:ascii="Times New Roman" w:hAnsi="Times New Roman"/>
          <w:b/>
          <w:bCs/>
          <w:noProof/>
          <w:sz w:val="24"/>
          <w:szCs w:val="24"/>
        </w:rPr>
        <w:t>nastavak razvoja strateškog vodstva u sektorima s velikim utjecajem</w:t>
      </w:r>
      <w:r>
        <w:rPr>
          <w:rFonts w:ascii="Times New Roman" w:hAnsi="Times New Roman" w:cs="Times New Roman"/>
          <w:bCs/>
          <w:noProof/>
          <w:sz w:val="24"/>
          <w:szCs w:val="24"/>
          <w:vertAlign w:val="superscript"/>
          <w:lang w:val="en-GB"/>
        </w:rPr>
        <w:footnoteReference w:id="32"/>
      </w:r>
      <w:r>
        <w:rPr>
          <w:rFonts w:ascii="Times New Roman" w:hAnsi="Times New Roman"/>
          <w:bCs/>
          <w:noProof/>
          <w:sz w:val="24"/>
          <w:szCs w:val="24"/>
        </w:rPr>
        <w:t>, uključujući klimatske promjene i okoliš, zdravstvo, javni sektor, robotiku, mobilnost, sigurnost i unutarnje poslove te poljoprivredu</w:t>
      </w:r>
      <w:r>
        <w:rPr>
          <w:rFonts w:ascii="Times New Roman" w:hAnsi="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Zajedničke mjere, koordinacija i ulaganja na temelju gospodarskih i regulatornih ovlasti EU-a imaju iznimno velik potencijal da </w:t>
      </w:r>
      <w:r>
        <w:rPr>
          <w:rFonts w:ascii="Times New Roman" w:hAnsi="Times New Roman"/>
          <w:b/>
          <w:bCs/>
          <w:noProof/>
          <w:sz w:val="24"/>
          <w:szCs w:val="24"/>
        </w:rPr>
        <w:t>europskoj industriji omoguće konkurentsku prednost</w:t>
      </w:r>
      <w:r>
        <w:rPr>
          <w:rFonts w:ascii="Times New Roman" w:hAnsi="Times New Roman"/>
          <w:noProof/>
          <w:sz w:val="24"/>
          <w:szCs w:val="24"/>
        </w:rPr>
        <w:t xml:space="preserve"> te da potaknu rast unutarnjeg tržišta. Uz to, EU može svojim djelovanjem olakšati uvođenje standarda EU-a za pouzdanu umjetnu inteligenciju na globalnoj razini i pobrinuti se da razvoj, primjena i širenje UI tehnologija budu održivi i utemeljeni na vrijednostima, načelima i pravima koje EU štiti, što će koristiti svim pojedincima i našem okolišu. </w:t>
      </w: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 xml:space="preserve">Iskorištavanje ponuđenih mogućnosti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Ubrzani razvoj i uvođenje naprednog i pouzdanog UI-ja u Europi preduvjet su za buduću konkurentnost i prosperitet Europe. Paket koji je danas predstavljen bitan je korak na putu prema ostvarenju tog cilja i njime se istovremeno </w:t>
      </w:r>
      <w:r>
        <w:rPr>
          <w:rFonts w:ascii="Times New Roman" w:hAnsi="Times New Roman"/>
          <w:b/>
          <w:bCs/>
          <w:noProof/>
          <w:sz w:val="24"/>
          <w:szCs w:val="24"/>
        </w:rPr>
        <w:t>iskorištavaju mogućnosti</w:t>
      </w:r>
      <w:r>
        <w:rPr>
          <w:rFonts w:ascii="Times New Roman" w:hAnsi="Times New Roman"/>
          <w:noProof/>
          <w:sz w:val="24"/>
          <w:szCs w:val="24"/>
        </w:rPr>
        <w:t xml:space="preserve"> koje nudi UI i </w:t>
      </w:r>
      <w:r>
        <w:rPr>
          <w:rFonts w:ascii="Times New Roman" w:hAnsi="Times New Roman"/>
          <w:b/>
          <w:bCs/>
          <w:noProof/>
          <w:sz w:val="24"/>
          <w:szCs w:val="24"/>
        </w:rPr>
        <w:t>poduzimaju mjere za smanjenje povezanih rizika</w:t>
      </w:r>
      <w:r>
        <w:rPr>
          <w:rFonts w:ascii="Times New Roman" w:hAnsi="Times New Roman"/>
          <w:noProof/>
          <w:sz w:val="24"/>
          <w:szCs w:val="24"/>
        </w:rPr>
        <w:t>. Za ostvarenje te ambicije bit će potrebno brzo i odlučno djelovanje Europske unije, Europskog parlamenta i država članica.</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63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i Opću napomenu br. 25 Odbora za prava djeteta objavljenu u veljači 2021.</w:t>
      </w:r>
    </w:p>
  </w:footnote>
  <w:footnote w:id="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Komunikacija Europske komisije </w:t>
      </w:r>
      <w:hyperlink r:id="rId1" w:history="1">
        <w:r>
          <w:rPr>
            <w:rStyle w:val="Hyperlink"/>
            <w:rFonts w:ascii="Times New Roman" w:hAnsi="Times New Roman"/>
          </w:rPr>
          <w:t>Umjetna inteligencija za Europu</w:t>
        </w:r>
      </w:hyperlink>
      <w:r>
        <w:rPr>
          <w:rFonts w:ascii="Times New Roman" w:hAnsi="Times New Roman"/>
        </w:rPr>
        <w:t xml:space="preserve"> COM(2018) 237</w:t>
      </w:r>
      <w:r>
        <w:t>.</w:t>
      </w:r>
      <w:r>
        <w:rPr>
          <w:rFonts w:ascii="Times New Roman" w:hAnsi="Times New Roman"/>
        </w:rPr>
        <w:t xml:space="preserve">  </w:t>
      </w:r>
    </w:p>
  </w:footnote>
  <w:footnote w:id="4">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Europska komisija, </w:t>
      </w:r>
      <w:hyperlink r:id="rId2" w:history="1">
        <w:r>
          <w:rPr>
            <w:rStyle w:val="Hyperlink"/>
            <w:rFonts w:ascii="Times New Roman" w:hAnsi="Times New Roman"/>
          </w:rPr>
          <w:t>Bijela knjiga o umjetnoj inteligenciji</w:t>
        </w:r>
      </w:hyperlink>
      <w:r>
        <w:rPr>
          <w:rFonts w:ascii="Times New Roman" w:hAnsi="Times New Roman"/>
        </w:rPr>
        <w:t>, veljača 2020., COM(2020) 65</w:t>
      </w:r>
      <w:r>
        <w:t>.</w:t>
      </w:r>
      <w:r>
        <w:rPr>
          <w:rFonts w:ascii="Times New Roman" w:hAnsi="Times New Roman"/>
        </w:rPr>
        <w:t xml:space="preserve"> </w:t>
      </w:r>
    </w:p>
  </w:footnote>
  <w:footnote w:id="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hyperlink r:id="rId3" w:history="1">
        <w:r>
          <w:rPr>
            <w:rStyle w:val="Hyperlink"/>
            <w:rFonts w:ascii="Times New Roman" w:hAnsi="Times New Roman"/>
          </w:rPr>
          <w:t>Digitalni kompas 2030.:</w:t>
        </w:r>
      </w:hyperlink>
      <w:hyperlink r:id="rId4" w:history="1">
        <w:r>
          <w:rPr>
            <w:rStyle w:val="Hyperlink"/>
            <w:rFonts w:ascii="Times New Roman" w:hAnsi="Times New Roman"/>
          </w:rPr>
          <w:t xml:space="preserve"> europski pristup za digitalno desetljeće</w:t>
        </w:r>
      </w:hyperlink>
      <w:r>
        <w:rPr>
          <w:rStyle w:val="Hyperlink"/>
          <w:rFonts w:ascii="Times New Roman" w:hAnsi="Times New Roman"/>
        </w:rPr>
        <w:t>, COM(2021) 118</w:t>
      </w:r>
      <w:r>
        <w:t>.</w:t>
      </w:r>
    </w:p>
  </w:footnote>
  <w:footnote w:id="6">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hyperlink r:id="rId5" w:history="1">
        <w:r>
          <w:rPr>
            <w:rStyle w:val="Hyperlink"/>
            <w:rFonts w:ascii="Times New Roman" w:hAnsi="Times New Roman"/>
          </w:rPr>
          <w:t>COM(2020) 767</w:t>
        </w:r>
      </w:hyperlink>
      <w:r>
        <w:t>.</w:t>
      </w:r>
    </w:p>
  </w:footnote>
  <w:footnote w:id="7">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COM(2021) 202</w:t>
      </w:r>
      <w:r>
        <w:t>.</w:t>
      </w:r>
    </w:p>
  </w:footnote>
  <w:footnote w:id="8">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hyperlink r:id="rId6" w:history="1">
        <w:r>
          <w:rPr>
            <w:rStyle w:val="Hyperlink"/>
            <w:rFonts w:ascii="Times New Roman" w:hAnsi="Times New Roman"/>
          </w:rPr>
          <w:t>Strategija EU-a za kibersigurnost</w:t>
        </w:r>
      </w:hyperlink>
      <w:r>
        <w:rPr>
          <w:rFonts w:ascii="Times New Roman" w:hAnsi="Times New Roman"/>
        </w:rPr>
        <w:t>, objavljena 16. prosinca 2020., JOIN(2020) 18</w:t>
      </w:r>
      <w: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Akcijski plan za digitalno obrazovanje 2021.–2027.</w:t>
      </w:r>
      <w:r>
        <w:rPr>
          <w:rFonts w:ascii="Times New Roman" w:hAnsi="Times New Roman"/>
        </w:rPr>
        <w:t>,</w:t>
      </w:r>
      <w:r>
        <w:t xml:space="preserve"> COM</w:t>
      </w:r>
      <w:r>
        <w:rPr>
          <w:rFonts w:ascii="Times New Roman" w:hAnsi="Times New Roman"/>
        </w:rPr>
        <w:t>(</w:t>
      </w:r>
      <w:r>
        <w:t>2020</w:t>
      </w:r>
      <w:r>
        <w:rPr>
          <w:rFonts w:ascii="Times New Roman" w:hAnsi="Times New Roman"/>
        </w:rPr>
        <w:t>) </w:t>
      </w:r>
      <w:r>
        <w:t>624.</w:t>
      </w:r>
      <w:r>
        <w:rPr>
          <w:rFonts w:ascii="Times New Roman" w:hAnsi="Times New Roman"/>
        </w:rPr>
        <w:t xml:space="preserve"> </w:t>
      </w:r>
    </w:p>
  </w:footnote>
  <w:footnote w:id="1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hyperlink r:id="rId7" w:history="1">
        <w:r>
          <w:rPr>
            <w:rStyle w:val="Hyperlink"/>
            <w:rFonts w:ascii="Times New Roman" w:hAnsi="Times New Roman"/>
          </w:rPr>
          <w:t>Priopćenje za medije o novim pravilima za digitalne platforme</w:t>
        </w:r>
      </w:hyperlink>
      <w:r>
        <w:rPr>
          <w:rFonts w:ascii="Times New Roman" w:hAnsi="Times New Roman"/>
        </w:rPr>
        <w:t xml:space="preserve">, objavljeno 15. prosinca 2020., IP/20/2347. </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790</w:t>
      </w:r>
      <w:r>
        <w:t>.</w:t>
      </w:r>
    </w:p>
  </w:footnote>
  <w:footnote w:id="12">
    <w:p>
      <w:pPr>
        <w:pStyle w:val="FootnoteText"/>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Europska komisija utvrdila je strateške smjernice za provedbu Mehanizma za oporavak i otpornost u svojoj Godišnjoj strategiji održivog rasta 2021., COM(2020) 575</w:t>
      </w:r>
      <w: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Strategija o pravima osoba s invaliditetom, COM(2021) 101.</w:t>
      </w:r>
    </w:p>
  </w:footnote>
  <w:footnote w:id="14">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Vidjeti i strategiju EU-a za rodnu ravnopravnost, COM(2020) 152 (ožujak 2020.), akcijski plan EU-a za antirasizam, COM(2020) 565 (rujan 2020.), strategiju o ravnopravnosti LGBTIQ osoba, COM(2020) 698 (studeni 2020.) i strategiju o pravima osoba s invaliditetom, COM(2021) 101 (ožujak 2021.).</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COM(2021) 206; područje primjene regulatornog okvira neće obuhvaćati razvoj i uporabu umjetne inteligencije u vojne svrhe.</w:t>
      </w:r>
    </w:p>
  </w:footnote>
  <w:footnote w:id="16">
    <w:p>
      <w:pPr>
        <w:pStyle w:val="FootnoteText"/>
        <w:jc w:val="both"/>
        <w:rPr>
          <w:rFonts w:ascii="Times New Roman" w:hAnsi="Times New Roman" w:cs="Times New Roman"/>
          <w:color w:val="000000"/>
        </w:rPr>
      </w:pPr>
      <w:r>
        <w:rPr>
          <w:rFonts w:ascii="Times New Roman" w:hAnsi="Times New Roman"/>
          <w:vertAlign w:val="superscript"/>
        </w:rPr>
        <w:footnoteRef/>
      </w:r>
      <w:r>
        <w:rPr>
          <w:rFonts w:ascii="Times New Roman" w:hAnsi="Times New Roman"/>
        </w:rPr>
        <w:t xml:space="preserve">  </w:t>
      </w:r>
      <w:r>
        <w:rPr>
          <w:rFonts w:ascii="Times New Roman" w:hAnsi="Times New Roman"/>
          <w:color w:val="000000"/>
        </w:rPr>
        <w:t>Inicijative kao što su načela OECD-a o umjetnoj inteligenciji, koja su zemlje članice OECD-a donijele u svibnju 2019. u okviru Preporuke Vijeća OECD-a o umjetnoj inteligenciji (OECD/LEGAL/0449), dijalog o umjetnoj inteligenciji pod saudijskim predsjedanjem skupinom G-20 u okviru radne skupine za digitalno gospodarstvo (DETF) u svrhu promicanja načela skupine G-20 za umjetnu inteligenciju iz 2019., nacrt preporuke UNESCO-a o etičnosti umjetne inteligencije i globalni sastanak na vrhu „AI for Good” Međunarodne telekomunikacijske unije (ITU), vodeće aktivne, globalne i uključive platforme UN-a za umjetnu inteligenciju. U aktivnostima normizacije UI-ja sudjeluju i međunarodne organizacije za normizaciju kao što su ISO i IEEE (npr. ISO/IEC JTC 1/SC 42 i Globalna inicijativa IEEE-a za etičnost</w:t>
      </w:r>
    </w:p>
    <w:p>
      <w:pPr>
        <w:pStyle w:val="FootnoteText"/>
        <w:jc w:val="both"/>
        <w:rPr>
          <w:rFonts w:ascii="Times New Roman" w:hAnsi="Times New Roman"/>
        </w:rPr>
      </w:pPr>
      <w:r>
        <w:rPr>
          <w:rFonts w:ascii="Times New Roman" w:hAnsi="Times New Roman"/>
          <w:color w:val="000000"/>
        </w:rPr>
        <w:t>autonomnih i inteligentnih sustava).</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taj pristup koji obuhvaća više dionika bit će uključene i organizacije civilnog društva. </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Zajednička komunikacija Europskom parlamentu i Vijeću o povećanju doprinosa EU-a multilateralizmu koji se temelji na pravilima, veljača 2021.</w:t>
        </w:r>
      </w:hyperlink>
      <w:r>
        <w:rPr>
          <w:rStyle w:val="Hyperlink"/>
          <w:rFonts w:ascii="Times New Roman" w:hAnsi="Times New Roman"/>
        </w:rPr>
        <w:t>, JOIN(2021) 3</w:t>
      </w:r>
      <w:r>
        <w:rPr>
          <w:rFonts w:ascii="Times New Roman" w:hAnsi="Times New Roman"/>
        </w:rPr>
        <w:t xml:space="preserve">. </w:t>
      </w:r>
    </w:p>
  </w:footnote>
  <w:footnote w:id="19">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Etičke smjernice za pouzdanu umjetnu inteligenciju, dokument u kojem se iznosi antropocentrični pristup UI-ju i navode glavni zahtjevi koje UI sustavi moraju ispunjavati da bi ih se smatralo pouzdanima.</w:t>
      </w:r>
    </w:p>
  </w:footnote>
  <w:footnote w:id="2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Savez za umjetnu inteligenciju</w:t>
      </w:r>
      <w:r>
        <w:rPr>
          <w:rFonts w:ascii="Times New Roman" w:hAnsi="Times New Roman"/>
          <w:b/>
        </w:rPr>
        <w:t xml:space="preserve"> </w:t>
      </w:r>
      <w:r>
        <w:rPr>
          <w:rFonts w:ascii="Times New Roman" w:hAnsi="Times New Roman"/>
        </w:rPr>
        <w:t xml:space="preserve">višedionički je forum pokrenut u lipnju 2018.; </w:t>
      </w:r>
      <w:hyperlink r:id="rId9" w:history="1">
        <w:r>
          <w:rPr>
            <w:rStyle w:val="Hyperlink"/>
            <w:rFonts w:ascii="Times New Roman" w:hAnsi="Times New Roman"/>
          </w:rPr>
          <w:t>https://ec.europa.eu/digital-single-market/en/european-ai-alliance</w:t>
        </w:r>
      </w:hyperlink>
      <w:r>
        <w:t>.</w:t>
      </w:r>
      <w:r>
        <w:rPr>
          <w:rFonts w:ascii="Times New Roman" w:hAnsi="Times New Roman"/>
        </w:rPr>
        <w:t xml:space="preserve"> </w:t>
      </w:r>
    </w:p>
  </w:footnote>
  <w:footnote w:id="21">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Europska komisija, </w:t>
      </w:r>
      <w:hyperlink r:id="rId10" w:history="1">
        <w:r>
          <w:rPr>
            <w:rStyle w:val="Hyperlink"/>
            <w:rFonts w:ascii="Times New Roman" w:hAnsi="Times New Roman"/>
          </w:rPr>
          <w:t>Koordinirani plan o umjetnoj inteligenciji</w:t>
        </w:r>
      </w:hyperlink>
      <w:r>
        <w:rPr>
          <w:rFonts w:ascii="Times New Roman" w:hAnsi="Times New Roman"/>
        </w:rPr>
        <w:t>, prosinac 2018., COM(2018) 795.</w:t>
      </w:r>
    </w:p>
  </w:footnote>
  <w:footnote w:id="22">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Europska komisija, </w:t>
      </w:r>
      <w:hyperlink r:id="rId11" w:history="1">
        <w:r>
          <w:rPr>
            <w:rStyle w:val="Hyperlink"/>
            <w:rFonts w:ascii="Times New Roman" w:hAnsi="Times New Roman"/>
          </w:rPr>
          <w:t>Izvješće o utjecaju umjetne inteligencije, interneta stvari i robotike na sigurnost i odgovornost</w:t>
        </w:r>
      </w:hyperlink>
      <w:r>
        <w:rPr>
          <w:rFonts w:ascii="Times New Roman" w:hAnsi="Times New Roman"/>
        </w:rPr>
        <w:t xml:space="preserve"> od 19. veljače 2020., COM(2020) 64.</w:t>
      </w:r>
    </w:p>
  </w:footnote>
  <w:footnote w:id="23">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Europska komisija, </w:t>
      </w:r>
      <w:hyperlink r:id="rId12" w:history="1">
        <w:r>
          <w:rPr>
            <w:rStyle w:val="Hyperlink"/>
            <w:rFonts w:ascii="Times New Roman" w:hAnsi="Times New Roman"/>
          </w:rPr>
          <w:t>Javno savjetovanje o Bijeloj knjizi o umjetnoj inteligenciji</w:t>
        </w:r>
      </w:hyperlink>
      <w:r>
        <w:rPr>
          <w:rFonts w:ascii="Times New Roman" w:hAnsi="Times New Roman"/>
        </w:rPr>
        <w:t xml:space="preserve">, od veljače do lipnja 2020. </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Npr. Direktiva 2000/43/EZ o borbi protiv diskriminacije na temelju rasnog ili etničkog podrijetla ili Direktiva 2000/78/EZ o borbi protiv diskriminacije na radnom mjestu na temelju vjere ili uvjerenja, invaliditeta, dobi ili spolne orijentacije.</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Npr. Direktiva 2001/95/EZ o općoj sigurnosti proizvoda, Direktiva 2006/42/EZ o strojevima te sektorski propisi kao što je Uredba 2017/745/EU o medicinskim proizvodima ili okvir EU-a za homologaciju i nadzor tržišta motornih vozila.</w:t>
      </w:r>
    </w:p>
  </w:footnote>
  <w:footnote w:id="26">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Primjerice Direktiva 2005/29/EZ o nepoštenoj poslovnoj praksi. </w:t>
      </w:r>
    </w:p>
  </w:footnote>
  <w:footnote w:id="2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Uredba (EU) 2016/679.</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Direktiva (EU) 2016/680.</w:t>
      </w:r>
    </w:p>
  </w:footnote>
  <w:footnote w:id="29">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Europski parlament predložio je i da se uvede razlika između visokorizičnih i ostalih primjena UI-ja te je u kategoriju visokorizičnih primjena dodao, primjerice, zapošljavanje ili procjenu kreditne sposobnosti.</w:t>
      </w:r>
    </w:p>
    <w:p>
      <w:pPr>
        <w:pStyle w:val="FootnoteText"/>
        <w:rPr>
          <w:rFonts w:ascii="Times New Roman" w:hAnsi="Times New Roman"/>
          <w:lang w:val="en-GB"/>
        </w:rPr>
      </w:pPr>
    </w:p>
  </w:footnote>
  <w:footnote w:id="30">
    <w:p>
      <w:pPr>
        <w:pStyle w:val="FootnoteText"/>
      </w:pPr>
      <w:r>
        <w:rPr>
          <w:rStyle w:val="FootnoteReference"/>
        </w:rPr>
        <w:footnoteRef/>
      </w:r>
      <w:r>
        <w:t xml:space="preserve"> </w:t>
      </w:r>
      <w:r>
        <w:rPr>
          <w:rFonts w:ascii="Times New Roman" w:hAnsi="Times New Roman"/>
        </w:rPr>
        <w:t>Za ostale namjene primjenjuju se zabrana i iznimke iz članka 9. Opće uredbe o zaštiti podataka (Uredba (EU) 2016/679).</w:t>
      </w:r>
    </w:p>
  </w:footnote>
  <w:footnote w:id="31">
    <w:p>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Komisija se obvezala predstaviti reviziju koordiniranog plana državama članicama u </w:t>
      </w:r>
      <w:hyperlink r:id="rId13" w:history="1">
        <w:r>
          <w:rPr>
            <w:rStyle w:val="Hyperlink"/>
            <w:rFonts w:ascii="Times New Roman" w:hAnsi="Times New Roman"/>
          </w:rPr>
          <w:t>Bijeloj knjizi o umjetnoj inteligenciji</w:t>
        </w:r>
      </w:hyperlink>
      <w:r>
        <w:rPr>
          <w:rFonts w:ascii="Times New Roman" w:hAnsi="Times New Roman"/>
        </w:rPr>
        <w:t xml:space="preserve"> iz 2020. i </w:t>
      </w:r>
      <w:hyperlink r:id="rId14" w:history="1">
        <w:r>
          <w:rPr>
            <w:rStyle w:val="Hyperlink"/>
            <w:rFonts w:ascii="Times New Roman" w:hAnsi="Times New Roman"/>
          </w:rPr>
          <w:t>Koordiniranom planu o umjetnoj inteligenciji</w:t>
        </w:r>
      </w:hyperlink>
      <w:r>
        <w:rPr>
          <w:rFonts w:ascii="Times New Roman" w:hAnsi="Times New Roman"/>
        </w:rPr>
        <w:t xml:space="preserve"> iz 2018.</w:t>
      </w:r>
    </w:p>
  </w:footnote>
  <w:footnote w:id="32">
    <w:p>
      <w:pPr>
        <w:pStyle w:val="FootnoteText"/>
        <w:tabs>
          <w:tab w:val="left" w:pos="284"/>
          <w:tab w:val="left" w:pos="1843"/>
        </w:tabs>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Uz horizontalna područja djelovanja koja se temelje na područjima djelovanja predloženima u Koordiniranom planu iz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A3"/>
    <w:multiLevelType w:val="hybridMultilevel"/>
    <w:tmpl w:val="F1F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B462C"/>
    <w:multiLevelType w:val="hybridMultilevel"/>
    <w:tmpl w:val="99F4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C707A"/>
    <w:multiLevelType w:val="hybridMultilevel"/>
    <w:tmpl w:val="5684678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41A2D"/>
    <w:multiLevelType w:val="hybridMultilevel"/>
    <w:tmpl w:val="D0062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940C3D"/>
    <w:multiLevelType w:val="hybridMultilevel"/>
    <w:tmpl w:val="99862CFA"/>
    <w:lvl w:ilvl="0" w:tplc="16D2B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E54F2"/>
    <w:multiLevelType w:val="hybridMultilevel"/>
    <w:tmpl w:val="00C864D6"/>
    <w:lvl w:ilvl="0" w:tplc="BEDEE91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0A82571"/>
    <w:multiLevelType w:val="hybridMultilevel"/>
    <w:tmpl w:val="574A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7A3981"/>
    <w:multiLevelType w:val="hybridMultilevel"/>
    <w:tmpl w:val="A04C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0D1F2C"/>
    <w:multiLevelType w:val="hybridMultilevel"/>
    <w:tmpl w:val="8F589C9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8A5152"/>
    <w:multiLevelType w:val="hybridMultilevel"/>
    <w:tmpl w:val="14A0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36D53"/>
    <w:multiLevelType w:val="hybridMultilevel"/>
    <w:tmpl w:val="A726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C4553A"/>
    <w:multiLevelType w:val="hybridMultilevel"/>
    <w:tmpl w:val="93B064BE"/>
    <w:lvl w:ilvl="0" w:tplc="65D031CE">
      <w:start w:val="1"/>
      <w:numFmt w:val="bullet"/>
      <w:lvlText w:val="•"/>
      <w:lvlJc w:val="left"/>
      <w:pPr>
        <w:tabs>
          <w:tab w:val="num" w:pos="720"/>
        </w:tabs>
        <w:ind w:left="720" w:hanging="360"/>
      </w:pPr>
      <w:rPr>
        <w:rFonts w:ascii="Arial" w:hAnsi="Arial" w:hint="default"/>
      </w:rPr>
    </w:lvl>
    <w:lvl w:ilvl="1" w:tplc="395A8AA0" w:tentative="1">
      <w:start w:val="1"/>
      <w:numFmt w:val="bullet"/>
      <w:lvlText w:val="•"/>
      <w:lvlJc w:val="left"/>
      <w:pPr>
        <w:tabs>
          <w:tab w:val="num" w:pos="1440"/>
        </w:tabs>
        <w:ind w:left="1440" w:hanging="360"/>
      </w:pPr>
      <w:rPr>
        <w:rFonts w:ascii="Arial" w:hAnsi="Arial" w:hint="default"/>
      </w:rPr>
    </w:lvl>
    <w:lvl w:ilvl="2" w:tplc="BEFC5084" w:tentative="1">
      <w:start w:val="1"/>
      <w:numFmt w:val="bullet"/>
      <w:lvlText w:val="•"/>
      <w:lvlJc w:val="left"/>
      <w:pPr>
        <w:tabs>
          <w:tab w:val="num" w:pos="2160"/>
        </w:tabs>
        <w:ind w:left="2160" w:hanging="360"/>
      </w:pPr>
      <w:rPr>
        <w:rFonts w:ascii="Arial" w:hAnsi="Arial" w:hint="default"/>
      </w:rPr>
    </w:lvl>
    <w:lvl w:ilvl="3" w:tplc="44BE9B22" w:tentative="1">
      <w:start w:val="1"/>
      <w:numFmt w:val="bullet"/>
      <w:lvlText w:val="•"/>
      <w:lvlJc w:val="left"/>
      <w:pPr>
        <w:tabs>
          <w:tab w:val="num" w:pos="2880"/>
        </w:tabs>
        <w:ind w:left="2880" w:hanging="360"/>
      </w:pPr>
      <w:rPr>
        <w:rFonts w:ascii="Arial" w:hAnsi="Arial" w:hint="default"/>
      </w:rPr>
    </w:lvl>
    <w:lvl w:ilvl="4" w:tplc="CE36A87A" w:tentative="1">
      <w:start w:val="1"/>
      <w:numFmt w:val="bullet"/>
      <w:lvlText w:val="•"/>
      <w:lvlJc w:val="left"/>
      <w:pPr>
        <w:tabs>
          <w:tab w:val="num" w:pos="3600"/>
        </w:tabs>
        <w:ind w:left="3600" w:hanging="360"/>
      </w:pPr>
      <w:rPr>
        <w:rFonts w:ascii="Arial" w:hAnsi="Arial" w:hint="default"/>
      </w:rPr>
    </w:lvl>
    <w:lvl w:ilvl="5" w:tplc="BB52CBAA" w:tentative="1">
      <w:start w:val="1"/>
      <w:numFmt w:val="bullet"/>
      <w:lvlText w:val="•"/>
      <w:lvlJc w:val="left"/>
      <w:pPr>
        <w:tabs>
          <w:tab w:val="num" w:pos="4320"/>
        </w:tabs>
        <w:ind w:left="4320" w:hanging="360"/>
      </w:pPr>
      <w:rPr>
        <w:rFonts w:ascii="Arial" w:hAnsi="Arial" w:hint="default"/>
      </w:rPr>
    </w:lvl>
    <w:lvl w:ilvl="6" w:tplc="E6A6F8B0" w:tentative="1">
      <w:start w:val="1"/>
      <w:numFmt w:val="bullet"/>
      <w:lvlText w:val="•"/>
      <w:lvlJc w:val="left"/>
      <w:pPr>
        <w:tabs>
          <w:tab w:val="num" w:pos="5040"/>
        </w:tabs>
        <w:ind w:left="5040" w:hanging="360"/>
      </w:pPr>
      <w:rPr>
        <w:rFonts w:ascii="Arial" w:hAnsi="Arial" w:hint="default"/>
      </w:rPr>
    </w:lvl>
    <w:lvl w:ilvl="7" w:tplc="2376ED3E" w:tentative="1">
      <w:start w:val="1"/>
      <w:numFmt w:val="bullet"/>
      <w:lvlText w:val="•"/>
      <w:lvlJc w:val="left"/>
      <w:pPr>
        <w:tabs>
          <w:tab w:val="num" w:pos="5760"/>
        </w:tabs>
        <w:ind w:left="5760" w:hanging="360"/>
      </w:pPr>
      <w:rPr>
        <w:rFonts w:ascii="Arial" w:hAnsi="Arial" w:hint="default"/>
      </w:rPr>
    </w:lvl>
    <w:lvl w:ilvl="8" w:tplc="EC1A5C20" w:tentative="1">
      <w:start w:val="1"/>
      <w:numFmt w:val="bullet"/>
      <w:lvlText w:val="•"/>
      <w:lvlJc w:val="left"/>
      <w:pPr>
        <w:tabs>
          <w:tab w:val="num" w:pos="6480"/>
        </w:tabs>
        <w:ind w:left="6480" w:hanging="360"/>
      </w:pPr>
      <w:rPr>
        <w:rFonts w:ascii="Arial" w:hAnsi="Arial" w:hint="default"/>
      </w:rPr>
    </w:lvl>
  </w:abstractNum>
  <w:abstractNum w:abstractNumId="13">
    <w:nsid w:val="1CFA6404"/>
    <w:multiLevelType w:val="hybridMultilevel"/>
    <w:tmpl w:val="CB38BB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ED6F36"/>
    <w:multiLevelType w:val="hybridMultilevel"/>
    <w:tmpl w:val="517C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D649E"/>
    <w:multiLevelType w:val="hybridMultilevel"/>
    <w:tmpl w:val="BEA2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353C3A"/>
    <w:multiLevelType w:val="hybridMultilevel"/>
    <w:tmpl w:val="6AB052E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7">
    <w:nsid w:val="34FD016F"/>
    <w:multiLevelType w:val="hybridMultilevel"/>
    <w:tmpl w:val="184EA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62032"/>
    <w:multiLevelType w:val="hybridMultilevel"/>
    <w:tmpl w:val="9E6E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42E8E"/>
    <w:multiLevelType w:val="multilevel"/>
    <w:tmpl w:val="C1C4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346E03"/>
    <w:multiLevelType w:val="hybridMultilevel"/>
    <w:tmpl w:val="5AB06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472380"/>
    <w:multiLevelType w:val="hybridMultilevel"/>
    <w:tmpl w:val="EE76E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F5679A"/>
    <w:multiLevelType w:val="hybridMultilevel"/>
    <w:tmpl w:val="861E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426411"/>
    <w:multiLevelType w:val="hybridMultilevel"/>
    <w:tmpl w:val="27927DF4"/>
    <w:lvl w:ilvl="0" w:tplc="5F6C1DAA">
      <w:start w:val="1"/>
      <w:numFmt w:val="decimal"/>
      <w:lvlText w:val="%1."/>
      <w:lvlJc w:val="left"/>
      <w:pPr>
        <w:ind w:left="720" w:hanging="360"/>
      </w:pPr>
      <w:rPr>
        <w:rFonts w:ascii="Times New Roman" w:hAnsi="Times New Roman" w:cs="Times New Roman" w:hint="default"/>
        <w:b w:val="0"/>
        <w:i w:val="0"/>
        <w:color w:val="808080" w:themeColor="background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B4E4A"/>
    <w:multiLevelType w:val="hybridMultilevel"/>
    <w:tmpl w:val="8982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BF386D"/>
    <w:multiLevelType w:val="hybridMultilevel"/>
    <w:tmpl w:val="2544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795188"/>
    <w:multiLevelType w:val="hybridMultilevel"/>
    <w:tmpl w:val="113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141B55"/>
    <w:multiLevelType w:val="hybridMultilevel"/>
    <w:tmpl w:val="C038AE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B1EB1"/>
    <w:multiLevelType w:val="hybridMultilevel"/>
    <w:tmpl w:val="592445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9255E8"/>
    <w:multiLevelType w:val="hybridMultilevel"/>
    <w:tmpl w:val="63006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4F4D5A"/>
    <w:multiLevelType w:val="hybridMultilevel"/>
    <w:tmpl w:val="5A7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7237B"/>
    <w:multiLevelType w:val="hybridMultilevel"/>
    <w:tmpl w:val="2544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C95EAA"/>
    <w:multiLevelType w:val="hybridMultilevel"/>
    <w:tmpl w:val="1CF2E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8F068E"/>
    <w:multiLevelType w:val="hybridMultilevel"/>
    <w:tmpl w:val="7E227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E84F6B"/>
    <w:multiLevelType w:val="hybridMultilevel"/>
    <w:tmpl w:val="DF10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E42ED1"/>
    <w:multiLevelType w:val="hybridMultilevel"/>
    <w:tmpl w:val="8A3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6B6A63"/>
    <w:multiLevelType w:val="multilevel"/>
    <w:tmpl w:val="4A8AE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AE92173"/>
    <w:multiLevelType w:val="hybridMultilevel"/>
    <w:tmpl w:val="FBE4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D5B38"/>
    <w:multiLevelType w:val="multilevel"/>
    <w:tmpl w:val="595A4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30"/>
  </w:num>
  <w:num w:numId="3">
    <w:abstractNumId w:val="2"/>
  </w:num>
  <w:num w:numId="4">
    <w:abstractNumId w:val="9"/>
  </w:num>
  <w:num w:numId="5">
    <w:abstractNumId w:val="13"/>
  </w:num>
  <w:num w:numId="6">
    <w:abstractNumId w:val="27"/>
  </w:num>
  <w:num w:numId="7">
    <w:abstractNumId w:val="34"/>
  </w:num>
  <w:num w:numId="8">
    <w:abstractNumId w:val="29"/>
  </w:num>
  <w:num w:numId="9">
    <w:abstractNumId w:val="22"/>
  </w:num>
  <w:num w:numId="10">
    <w:abstractNumId w:val="6"/>
  </w:num>
  <w:num w:numId="11">
    <w:abstractNumId w:val="3"/>
  </w:num>
  <w:num w:numId="12">
    <w:abstractNumId w:val="33"/>
  </w:num>
  <w:num w:numId="13">
    <w:abstractNumId w:val="0"/>
  </w:num>
  <w:num w:numId="14">
    <w:abstractNumId w:val="24"/>
  </w:num>
  <w:num w:numId="15">
    <w:abstractNumId w:val="7"/>
  </w:num>
  <w:num w:numId="16">
    <w:abstractNumId w:val="12"/>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8"/>
  </w:num>
  <w:num w:numId="21">
    <w:abstractNumId w:val="20"/>
  </w:num>
  <w:num w:numId="22">
    <w:abstractNumId w:val="15"/>
  </w:num>
  <w:num w:numId="23">
    <w:abstractNumId w:val="17"/>
  </w:num>
  <w:num w:numId="24">
    <w:abstractNumId w:val="38"/>
  </w:num>
  <w:num w:numId="25">
    <w:abstractNumId w:val="36"/>
  </w:num>
  <w:num w:numId="26">
    <w:abstractNumId w:val="1"/>
  </w:num>
  <w:num w:numId="27">
    <w:abstractNumId w:val="4"/>
  </w:num>
  <w:num w:numId="28">
    <w:abstractNumId w:val="31"/>
  </w:num>
  <w:num w:numId="29">
    <w:abstractNumId w:val="14"/>
  </w:num>
  <w:num w:numId="30">
    <w:abstractNumId w:val="5"/>
  </w:num>
  <w:num w:numId="31">
    <w:abstractNumId w:val="10"/>
  </w:num>
  <w:num w:numId="32">
    <w:abstractNumId w:val="23"/>
  </w:num>
  <w:num w:numId="33">
    <w:abstractNumId w:val="21"/>
  </w:num>
  <w:num w:numId="34">
    <w:abstractNumId w:val="32"/>
  </w:num>
  <w:num w:numId="35">
    <w:abstractNumId w:val="25"/>
  </w:num>
  <w:num w:numId="36">
    <w:abstractNumId w:val="18"/>
  </w:num>
  <w:num w:numId="37">
    <w:abstractNumId w:val="11"/>
  </w:num>
  <w:num w:numId="38">
    <w:abstractNumId w:val="26"/>
  </w:num>
  <w:num w:numId="39">
    <w:abstractNumId w:val="1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hideSpellingErrors/>
  <w:hideGrammaticalErrors/>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A6E292AF-8231-42AE-9156-ED009453EC20"/>
    <w:docVar w:name="LW_COVERPAGE_TYPE" w:val="1"/>
    <w:docVar w:name="LW_CROSSREFERENCE" w:val="&lt;UNUSED&gt;"/>
    <w:docVar w:name="LW_DATE.ADOPT.CP_ISODATE" w:val="&lt;EMPTY&gt;"/>
    <w:docVar w:name="LW_DocType" w:val="NORMAL"/>
    <w:docVar w:name="LW_EMISSION" w:val="21.4.2021."/>
    <w:docVar w:name="LW_EMISSION_ISODATE" w:val="2021-04-21"/>
    <w:docVar w:name="LW_EMISSION_LOCATION" w:val="BRX"/>
    <w:docVar w:name="LW_EMISSION_PREFIX" w:val="Bruxelles, "/>
    <w:docVar w:name="LW_EMISSION_SUFFIX" w:val="&lt;EMPTY&gt;"/>
    <w:docVar w:name="LW_ID_DOCTYPE_NONLW" w:val="CP-014"/>
    <w:docVar w:name="LW_INTERETEEE.CP" w:val="&lt;UNUSED&gt;"/>
    <w:docVar w:name="LW_LANGUE" w:val="HR"/>
    <w:docVar w:name="LW_LANGUESFAISANTFOI.CP" w:val="&lt;UNUSED&gt;"/>
    <w:docVar w:name="LW_LEVEL_OF_SENSITIVITY" w:val="Standard treatment"/>
    <w:docVar w:name="LW_NOM.INST" w:val="EUROPSKA KOMISIJA"/>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ticanje europskog pristupa umjetnoj inteligenciji"/>
    <w:docVar w:name="LW_TYPE.DOC.CP" w:val="KOMUNIKACIJA KOMISIJE EUROPSKOM PARLAMENTU, VIJE\u262?U, EUROPSKOM GOSPODARSKOM I SOCIJALNOM ODBORU I ODBORU REGIJA"/>
    <w:docVar w:name="LW_TYPE.DOC.CP.USERTEXT" w:val="&lt;EMPTY&gt;"/>
    <w:docVar w:name="LW_TYPEACTEPRINCIPAL.CP" w:val="&lt;UNUSED&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sz w:val="20"/>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hr-HR"/>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hr-H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riefinglist1">
    <w:name w:val="Briefing list 1"/>
    <w:basedOn w:val="Normal"/>
    <w:link w:val="Briefinglist1Char"/>
    <w:qFormat/>
    <w:pPr>
      <w:keepLines/>
      <w:numPr>
        <w:numId w:val="17"/>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qFormat/>
    <w:locked/>
    <w:rPr>
      <w:rFonts w:ascii="Arial" w:eastAsia="Times New Roman" w:hAnsi="Arial" w:cs="Arial"/>
      <w:szCs w:val="24"/>
      <w:lang w:val="hr-HR"/>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r-HR" w:eastAsia="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r-HR" w:eastAsia="cs-CZ"/>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line="240" w:lineRule="exact"/>
      <w:jc w:val="both"/>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sz w:val="20"/>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hr-HR"/>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hr-H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riefinglist1">
    <w:name w:val="Briefing list 1"/>
    <w:basedOn w:val="Normal"/>
    <w:link w:val="Briefinglist1Char"/>
    <w:qFormat/>
    <w:pPr>
      <w:keepLines/>
      <w:numPr>
        <w:numId w:val="17"/>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qFormat/>
    <w:locked/>
    <w:rPr>
      <w:rFonts w:ascii="Arial" w:eastAsia="Times New Roman" w:hAnsi="Arial" w:cs="Arial"/>
      <w:szCs w:val="24"/>
      <w:lang w:val="hr-HR"/>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r-HR" w:eastAsia="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r-HR" w:eastAsia="cs-CZ"/>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line="240" w:lineRule="exact"/>
      <w:jc w:val="both"/>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098">
      <w:bodyDiv w:val="1"/>
      <w:marLeft w:val="0"/>
      <w:marRight w:val="0"/>
      <w:marTop w:val="0"/>
      <w:marBottom w:val="0"/>
      <w:divBdr>
        <w:top w:val="none" w:sz="0" w:space="0" w:color="auto"/>
        <w:left w:val="none" w:sz="0" w:space="0" w:color="auto"/>
        <w:bottom w:val="none" w:sz="0" w:space="0" w:color="auto"/>
        <w:right w:val="none" w:sz="0" w:space="0" w:color="auto"/>
      </w:divBdr>
    </w:div>
    <w:div w:id="48388422">
      <w:bodyDiv w:val="1"/>
      <w:marLeft w:val="0"/>
      <w:marRight w:val="0"/>
      <w:marTop w:val="0"/>
      <w:marBottom w:val="0"/>
      <w:divBdr>
        <w:top w:val="none" w:sz="0" w:space="0" w:color="auto"/>
        <w:left w:val="none" w:sz="0" w:space="0" w:color="auto"/>
        <w:bottom w:val="none" w:sz="0" w:space="0" w:color="auto"/>
        <w:right w:val="none" w:sz="0" w:space="0" w:color="auto"/>
      </w:divBdr>
    </w:div>
    <w:div w:id="162672203">
      <w:bodyDiv w:val="1"/>
      <w:marLeft w:val="0"/>
      <w:marRight w:val="0"/>
      <w:marTop w:val="0"/>
      <w:marBottom w:val="0"/>
      <w:divBdr>
        <w:top w:val="none" w:sz="0" w:space="0" w:color="auto"/>
        <w:left w:val="none" w:sz="0" w:space="0" w:color="auto"/>
        <w:bottom w:val="none" w:sz="0" w:space="0" w:color="auto"/>
        <w:right w:val="none" w:sz="0" w:space="0" w:color="auto"/>
      </w:divBdr>
    </w:div>
    <w:div w:id="176965210">
      <w:bodyDiv w:val="1"/>
      <w:marLeft w:val="0"/>
      <w:marRight w:val="0"/>
      <w:marTop w:val="0"/>
      <w:marBottom w:val="0"/>
      <w:divBdr>
        <w:top w:val="none" w:sz="0" w:space="0" w:color="auto"/>
        <w:left w:val="none" w:sz="0" w:space="0" w:color="auto"/>
        <w:bottom w:val="none" w:sz="0" w:space="0" w:color="auto"/>
        <w:right w:val="none" w:sz="0" w:space="0" w:color="auto"/>
      </w:divBdr>
      <w:divsChild>
        <w:div w:id="1687440550">
          <w:marLeft w:val="360"/>
          <w:marRight w:val="0"/>
          <w:marTop w:val="0"/>
          <w:marBottom w:val="360"/>
          <w:divBdr>
            <w:top w:val="none" w:sz="0" w:space="0" w:color="auto"/>
            <w:left w:val="none" w:sz="0" w:space="0" w:color="auto"/>
            <w:bottom w:val="none" w:sz="0" w:space="0" w:color="auto"/>
            <w:right w:val="none" w:sz="0" w:space="0" w:color="auto"/>
          </w:divBdr>
        </w:div>
      </w:divsChild>
    </w:div>
    <w:div w:id="218370314">
      <w:bodyDiv w:val="1"/>
      <w:marLeft w:val="0"/>
      <w:marRight w:val="0"/>
      <w:marTop w:val="0"/>
      <w:marBottom w:val="0"/>
      <w:divBdr>
        <w:top w:val="none" w:sz="0" w:space="0" w:color="auto"/>
        <w:left w:val="none" w:sz="0" w:space="0" w:color="auto"/>
        <w:bottom w:val="none" w:sz="0" w:space="0" w:color="auto"/>
        <w:right w:val="none" w:sz="0" w:space="0" w:color="auto"/>
      </w:divBdr>
    </w:div>
    <w:div w:id="248124091">
      <w:bodyDiv w:val="1"/>
      <w:marLeft w:val="0"/>
      <w:marRight w:val="0"/>
      <w:marTop w:val="0"/>
      <w:marBottom w:val="0"/>
      <w:divBdr>
        <w:top w:val="none" w:sz="0" w:space="0" w:color="auto"/>
        <w:left w:val="none" w:sz="0" w:space="0" w:color="auto"/>
        <w:bottom w:val="none" w:sz="0" w:space="0" w:color="auto"/>
        <w:right w:val="none" w:sz="0" w:space="0" w:color="auto"/>
      </w:divBdr>
    </w:div>
    <w:div w:id="340934960">
      <w:bodyDiv w:val="1"/>
      <w:marLeft w:val="0"/>
      <w:marRight w:val="0"/>
      <w:marTop w:val="0"/>
      <w:marBottom w:val="0"/>
      <w:divBdr>
        <w:top w:val="none" w:sz="0" w:space="0" w:color="auto"/>
        <w:left w:val="none" w:sz="0" w:space="0" w:color="auto"/>
        <w:bottom w:val="none" w:sz="0" w:space="0" w:color="auto"/>
        <w:right w:val="none" w:sz="0" w:space="0" w:color="auto"/>
      </w:divBdr>
    </w:div>
    <w:div w:id="348482565">
      <w:bodyDiv w:val="1"/>
      <w:marLeft w:val="0"/>
      <w:marRight w:val="0"/>
      <w:marTop w:val="0"/>
      <w:marBottom w:val="0"/>
      <w:divBdr>
        <w:top w:val="none" w:sz="0" w:space="0" w:color="auto"/>
        <w:left w:val="none" w:sz="0" w:space="0" w:color="auto"/>
        <w:bottom w:val="none" w:sz="0" w:space="0" w:color="auto"/>
        <w:right w:val="none" w:sz="0" w:space="0" w:color="auto"/>
      </w:divBdr>
    </w:div>
    <w:div w:id="426318130">
      <w:bodyDiv w:val="1"/>
      <w:marLeft w:val="0"/>
      <w:marRight w:val="0"/>
      <w:marTop w:val="0"/>
      <w:marBottom w:val="0"/>
      <w:divBdr>
        <w:top w:val="none" w:sz="0" w:space="0" w:color="auto"/>
        <w:left w:val="none" w:sz="0" w:space="0" w:color="auto"/>
        <w:bottom w:val="none" w:sz="0" w:space="0" w:color="auto"/>
        <w:right w:val="none" w:sz="0" w:space="0" w:color="auto"/>
      </w:divBdr>
    </w:div>
    <w:div w:id="436949645">
      <w:bodyDiv w:val="1"/>
      <w:marLeft w:val="0"/>
      <w:marRight w:val="0"/>
      <w:marTop w:val="0"/>
      <w:marBottom w:val="0"/>
      <w:divBdr>
        <w:top w:val="none" w:sz="0" w:space="0" w:color="auto"/>
        <w:left w:val="none" w:sz="0" w:space="0" w:color="auto"/>
        <w:bottom w:val="none" w:sz="0" w:space="0" w:color="auto"/>
        <w:right w:val="none" w:sz="0" w:space="0" w:color="auto"/>
      </w:divBdr>
    </w:div>
    <w:div w:id="443614488">
      <w:bodyDiv w:val="1"/>
      <w:marLeft w:val="0"/>
      <w:marRight w:val="0"/>
      <w:marTop w:val="0"/>
      <w:marBottom w:val="0"/>
      <w:divBdr>
        <w:top w:val="none" w:sz="0" w:space="0" w:color="auto"/>
        <w:left w:val="none" w:sz="0" w:space="0" w:color="auto"/>
        <w:bottom w:val="none" w:sz="0" w:space="0" w:color="auto"/>
        <w:right w:val="none" w:sz="0" w:space="0" w:color="auto"/>
      </w:divBdr>
    </w:div>
    <w:div w:id="1023164740">
      <w:bodyDiv w:val="1"/>
      <w:marLeft w:val="0"/>
      <w:marRight w:val="0"/>
      <w:marTop w:val="0"/>
      <w:marBottom w:val="0"/>
      <w:divBdr>
        <w:top w:val="none" w:sz="0" w:space="0" w:color="auto"/>
        <w:left w:val="none" w:sz="0" w:space="0" w:color="auto"/>
        <w:bottom w:val="none" w:sz="0" w:space="0" w:color="auto"/>
        <w:right w:val="none" w:sz="0" w:space="0" w:color="auto"/>
      </w:divBdr>
    </w:div>
    <w:div w:id="1170366313">
      <w:bodyDiv w:val="1"/>
      <w:marLeft w:val="0"/>
      <w:marRight w:val="0"/>
      <w:marTop w:val="0"/>
      <w:marBottom w:val="0"/>
      <w:divBdr>
        <w:top w:val="none" w:sz="0" w:space="0" w:color="auto"/>
        <w:left w:val="none" w:sz="0" w:space="0" w:color="auto"/>
        <w:bottom w:val="none" w:sz="0" w:space="0" w:color="auto"/>
        <w:right w:val="none" w:sz="0" w:space="0" w:color="auto"/>
      </w:divBdr>
    </w:div>
    <w:div w:id="1227497999">
      <w:bodyDiv w:val="1"/>
      <w:marLeft w:val="0"/>
      <w:marRight w:val="0"/>
      <w:marTop w:val="0"/>
      <w:marBottom w:val="0"/>
      <w:divBdr>
        <w:top w:val="none" w:sz="0" w:space="0" w:color="auto"/>
        <w:left w:val="none" w:sz="0" w:space="0" w:color="auto"/>
        <w:bottom w:val="none" w:sz="0" w:space="0" w:color="auto"/>
        <w:right w:val="none" w:sz="0" w:space="0" w:color="auto"/>
      </w:divBdr>
    </w:div>
    <w:div w:id="1254510079">
      <w:bodyDiv w:val="1"/>
      <w:marLeft w:val="0"/>
      <w:marRight w:val="0"/>
      <w:marTop w:val="0"/>
      <w:marBottom w:val="0"/>
      <w:divBdr>
        <w:top w:val="none" w:sz="0" w:space="0" w:color="auto"/>
        <w:left w:val="none" w:sz="0" w:space="0" w:color="auto"/>
        <w:bottom w:val="none" w:sz="0" w:space="0" w:color="auto"/>
        <w:right w:val="none" w:sz="0" w:space="0" w:color="auto"/>
      </w:divBdr>
    </w:div>
    <w:div w:id="1275602081">
      <w:bodyDiv w:val="1"/>
      <w:marLeft w:val="0"/>
      <w:marRight w:val="0"/>
      <w:marTop w:val="0"/>
      <w:marBottom w:val="0"/>
      <w:divBdr>
        <w:top w:val="none" w:sz="0" w:space="0" w:color="auto"/>
        <w:left w:val="none" w:sz="0" w:space="0" w:color="auto"/>
        <w:bottom w:val="none" w:sz="0" w:space="0" w:color="auto"/>
        <w:right w:val="none" w:sz="0" w:space="0" w:color="auto"/>
      </w:divBdr>
    </w:div>
    <w:div w:id="1289240055">
      <w:bodyDiv w:val="1"/>
      <w:marLeft w:val="0"/>
      <w:marRight w:val="0"/>
      <w:marTop w:val="0"/>
      <w:marBottom w:val="0"/>
      <w:divBdr>
        <w:top w:val="none" w:sz="0" w:space="0" w:color="auto"/>
        <w:left w:val="none" w:sz="0" w:space="0" w:color="auto"/>
        <w:bottom w:val="none" w:sz="0" w:space="0" w:color="auto"/>
        <w:right w:val="none" w:sz="0" w:space="0" w:color="auto"/>
      </w:divBdr>
    </w:div>
    <w:div w:id="1308975237">
      <w:bodyDiv w:val="1"/>
      <w:marLeft w:val="0"/>
      <w:marRight w:val="0"/>
      <w:marTop w:val="0"/>
      <w:marBottom w:val="0"/>
      <w:divBdr>
        <w:top w:val="none" w:sz="0" w:space="0" w:color="auto"/>
        <w:left w:val="none" w:sz="0" w:space="0" w:color="auto"/>
        <w:bottom w:val="none" w:sz="0" w:space="0" w:color="auto"/>
        <w:right w:val="none" w:sz="0" w:space="0" w:color="auto"/>
      </w:divBdr>
    </w:div>
    <w:div w:id="1353725999">
      <w:bodyDiv w:val="1"/>
      <w:marLeft w:val="0"/>
      <w:marRight w:val="0"/>
      <w:marTop w:val="0"/>
      <w:marBottom w:val="0"/>
      <w:divBdr>
        <w:top w:val="none" w:sz="0" w:space="0" w:color="auto"/>
        <w:left w:val="none" w:sz="0" w:space="0" w:color="auto"/>
        <w:bottom w:val="none" w:sz="0" w:space="0" w:color="auto"/>
        <w:right w:val="none" w:sz="0" w:space="0" w:color="auto"/>
      </w:divBdr>
    </w:div>
    <w:div w:id="1377198172">
      <w:bodyDiv w:val="1"/>
      <w:marLeft w:val="0"/>
      <w:marRight w:val="0"/>
      <w:marTop w:val="0"/>
      <w:marBottom w:val="0"/>
      <w:divBdr>
        <w:top w:val="none" w:sz="0" w:space="0" w:color="auto"/>
        <w:left w:val="none" w:sz="0" w:space="0" w:color="auto"/>
        <w:bottom w:val="none" w:sz="0" w:space="0" w:color="auto"/>
        <w:right w:val="none" w:sz="0" w:space="0" w:color="auto"/>
      </w:divBdr>
    </w:div>
    <w:div w:id="1384063156">
      <w:bodyDiv w:val="1"/>
      <w:marLeft w:val="0"/>
      <w:marRight w:val="0"/>
      <w:marTop w:val="0"/>
      <w:marBottom w:val="0"/>
      <w:divBdr>
        <w:top w:val="none" w:sz="0" w:space="0" w:color="auto"/>
        <w:left w:val="none" w:sz="0" w:space="0" w:color="auto"/>
        <w:bottom w:val="none" w:sz="0" w:space="0" w:color="auto"/>
        <w:right w:val="none" w:sz="0" w:space="0" w:color="auto"/>
      </w:divBdr>
    </w:div>
    <w:div w:id="1496804714">
      <w:bodyDiv w:val="1"/>
      <w:marLeft w:val="0"/>
      <w:marRight w:val="0"/>
      <w:marTop w:val="0"/>
      <w:marBottom w:val="0"/>
      <w:divBdr>
        <w:top w:val="none" w:sz="0" w:space="0" w:color="auto"/>
        <w:left w:val="none" w:sz="0" w:space="0" w:color="auto"/>
        <w:bottom w:val="none" w:sz="0" w:space="0" w:color="auto"/>
        <w:right w:val="none" w:sz="0" w:space="0" w:color="auto"/>
      </w:divBdr>
    </w:div>
    <w:div w:id="1585723806">
      <w:bodyDiv w:val="1"/>
      <w:marLeft w:val="0"/>
      <w:marRight w:val="0"/>
      <w:marTop w:val="0"/>
      <w:marBottom w:val="0"/>
      <w:divBdr>
        <w:top w:val="none" w:sz="0" w:space="0" w:color="auto"/>
        <w:left w:val="none" w:sz="0" w:space="0" w:color="auto"/>
        <w:bottom w:val="none" w:sz="0" w:space="0" w:color="auto"/>
        <w:right w:val="none" w:sz="0" w:space="0" w:color="auto"/>
      </w:divBdr>
    </w:div>
    <w:div w:id="1699425155">
      <w:bodyDiv w:val="1"/>
      <w:marLeft w:val="0"/>
      <w:marRight w:val="0"/>
      <w:marTop w:val="0"/>
      <w:marBottom w:val="0"/>
      <w:divBdr>
        <w:top w:val="none" w:sz="0" w:space="0" w:color="auto"/>
        <w:left w:val="none" w:sz="0" w:space="0" w:color="auto"/>
        <w:bottom w:val="none" w:sz="0" w:space="0" w:color="auto"/>
        <w:right w:val="none" w:sz="0" w:space="0" w:color="auto"/>
      </w:divBdr>
    </w:div>
    <w:div w:id="1702129095">
      <w:bodyDiv w:val="1"/>
      <w:marLeft w:val="0"/>
      <w:marRight w:val="0"/>
      <w:marTop w:val="0"/>
      <w:marBottom w:val="0"/>
      <w:divBdr>
        <w:top w:val="none" w:sz="0" w:space="0" w:color="auto"/>
        <w:left w:val="none" w:sz="0" w:space="0" w:color="auto"/>
        <w:bottom w:val="none" w:sz="0" w:space="0" w:color="auto"/>
        <w:right w:val="none" w:sz="0" w:space="0" w:color="auto"/>
      </w:divBdr>
    </w:div>
    <w:div w:id="1800368695">
      <w:bodyDiv w:val="1"/>
      <w:marLeft w:val="0"/>
      <w:marRight w:val="0"/>
      <w:marTop w:val="0"/>
      <w:marBottom w:val="0"/>
      <w:divBdr>
        <w:top w:val="none" w:sz="0" w:space="0" w:color="auto"/>
        <w:left w:val="none" w:sz="0" w:space="0" w:color="auto"/>
        <w:bottom w:val="none" w:sz="0" w:space="0" w:color="auto"/>
        <w:right w:val="none" w:sz="0" w:space="0" w:color="auto"/>
      </w:divBdr>
    </w:div>
    <w:div w:id="1822963191">
      <w:bodyDiv w:val="1"/>
      <w:marLeft w:val="0"/>
      <w:marRight w:val="0"/>
      <w:marTop w:val="0"/>
      <w:marBottom w:val="0"/>
      <w:divBdr>
        <w:top w:val="none" w:sz="0" w:space="0" w:color="auto"/>
        <w:left w:val="none" w:sz="0" w:space="0" w:color="auto"/>
        <w:bottom w:val="none" w:sz="0" w:space="0" w:color="auto"/>
        <w:right w:val="none" w:sz="0" w:space="0" w:color="auto"/>
      </w:divBdr>
    </w:div>
    <w:div w:id="1953516851">
      <w:bodyDiv w:val="1"/>
      <w:marLeft w:val="0"/>
      <w:marRight w:val="0"/>
      <w:marTop w:val="0"/>
      <w:marBottom w:val="0"/>
      <w:divBdr>
        <w:top w:val="none" w:sz="0" w:space="0" w:color="auto"/>
        <w:left w:val="none" w:sz="0" w:space="0" w:color="auto"/>
        <w:bottom w:val="none" w:sz="0" w:space="0" w:color="auto"/>
        <w:right w:val="none" w:sz="0" w:space="0" w:color="auto"/>
      </w:divBdr>
    </w:div>
    <w:div w:id="1966084052">
      <w:bodyDiv w:val="1"/>
      <w:marLeft w:val="0"/>
      <w:marRight w:val="0"/>
      <w:marTop w:val="0"/>
      <w:marBottom w:val="0"/>
      <w:divBdr>
        <w:top w:val="none" w:sz="0" w:space="0" w:color="auto"/>
        <w:left w:val="none" w:sz="0" w:space="0" w:color="auto"/>
        <w:bottom w:val="none" w:sz="0" w:space="0" w:color="auto"/>
        <w:right w:val="none" w:sz="0" w:space="0" w:color="auto"/>
      </w:divBdr>
    </w:div>
    <w:div w:id="2075470134">
      <w:bodyDiv w:val="1"/>
      <w:marLeft w:val="0"/>
      <w:marRight w:val="0"/>
      <w:marTop w:val="0"/>
      <w:marBottom w:val="0"/>
      <w:divBdr>
        <w:top w:val="none" w:sz="0" w:space="0" w:color="auto"/>
        <w:left w:val="none" w:sz="0" w:space="0" w:color="auto"/>
        <w:bottom w:val="none" w:sz="0" w:space="0" w:color="auto"/>
        <w:right w:val="none" w:sz="0" w:space="0" w:color="auto"/>
      </w:divBdr>
    </w:div>
    <w:div w:id="2086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TXT/PDF/?uri=CELEX:52021JC0003&amp;from=EN" TargetMode="External"/><Relationship Id="rId13" Type="http://schemas.openxmlformats.org/officeDocument/2006/relationships/hyperlink" Target="https://ec.europa.eu/info/sites/default/files/commission-white-paper-artificial-intelligence-feb2020_hr.pdf" TargetMode="External"/><Relationship Id="rId3" Type="http://schemas.openxmlformats.org/officeDocument/2006/relationships/hyperlink" Target="https://ec.europa.eu/info/strategy/priorities-2019-2024/europe-fit-digital-age/europes-digital-decade-digital-targets-2030_hr" TargetMode="External"/><Relationship Id="rId7" Type="http://schemas.openxmlformats.org/officeDocument/2006/relationships/hyperlink" Target="https://ec.europa.eu/commission/presscorner/detail/hr/ip_20_2347" TargetMode="External"/><Relationship Id="rId12" Type="http://schemas.openxmlformats.org/officeDocument/2006/relationships/hyperlink" Target="https://ec.europa.eu/info/law/better-regulation/have-your-say/initiatives/12270-White-Paper-on-Artificial-Intelligence-a-European-Approach/public-consultation_hr" TargetMode="External"/><Relationship Id="rId2" Type="http://schemas.openxmlformats.org/officeDocument/2006/relationships/hyperlink" Target="https://ec.europa.eu/info/sites/default/files/commission-white-paper-artificial-intelligence-feb2020_hr.pdf" TargetMode="External"/><Relationship Id="rId1" Type="http://schemas.openxmlformats.org/officeDocument/2006/relationships/hyperlink" Target="https://ec.europa.eu/digital-single-market/news-redirect/624220" TargetMode="External"/><Relationship Id="rId6" Type="http://schemas.openxmlformats.org/officeDocument/2006/relationships/hyperlink" Target="https://ec.europa.eu/digital-single-market/en/cybersecurity-strategy" TargetMode="External"/><Relationship Id="rId11" Type="http://schemas.openxmlformats.org/officeDocument/2006/relationships/hyperlink" Target="https://ec.europa.eu/info/files/commission-report-safety-and-liability-implications-ai-internet-things-and-robotics_hr" TargetMode="External"/><Relationship Id="rId5" Type="http://schemas.openxmlformats.org/officeDocument/2006/relationships/hyperlink" Target="https://eur-lex.europa.eu/legal-content/HR/TXT/?uri=CELEX:52020PC0767" TargetMode="External"/><Relationship Id="rId10" Type="http://schemas.openxmlformats.org/officeDocument/2006/relationships/hyperlink" Target="https://ec.europa.eu/digital-single-market/en/news/coordinated-plan-artificial-intelligence" TargetMode="External"/><Relationship Id="rId4" Type="http://schemas.openxmlformats.org/officeDocument/2006/relationships/hyperlink" Target="https://ec.europa.eu/info/strategy/priorities-2019-2024/europe-fit-digital-age/europes-digital-decade-digital-targets-2030_hr" TargetMode="External"/><Relationship Id="rId9" Type="http://schemas.openxmlformats.org/officeDocument/2006/relationships/hyperlink" Target="https://ec.europa.eu/digital-single-market/en/european-ai-alliance" TargetMode="External"/><Relationship Id="rId14" Type="http://schemas.openxmlformats.org/officeDocument/2006/relationships/hyperlink" Target="https://ec.europa.eu/digital-single-market/en/news/coordinated-pla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0C7E-F1AB-4134-A9A5-5FDA3EC9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20425</Characters>
  <Application>Microsoft Office Word</Application>
  <DocSecurity>0</DocSecurity>
  <Lines>283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2021-04-22T12:40:00Z</dcterms:created>
  <dcterms:modified xsi:type="dcterms:W3CDTF">2021-06-22T18:32:00Z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