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DE" w:rsidRDefault="00917028" w:rsidP="00917028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FC200EFE-F68C-4BDB-A3D4-8AAD4D47E698" style="width:450.6pt;height:445.8pt">
            <v:imagedata r:id="rId8" o:title=""/>
          </v:shape>
        </w:pict>
      </w:r>
    </w:p>
    <w:p w:rsidR="004451DE" w:rsidRDefault="004451DE">
      <w:pPr>
        <w:rPr>
          <w:noProof/>
        </w:rPr>
        <w:sectPr w:rsidR="004451DE" w:rsidSect="009170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451DE" w:rsidRDefault="00917028"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DÔVODOVÁ SPRÁVA</w:t>
      </w:r>
    </w:p>
    <w:p w:rsidR="004451DE" w:rsidRDefault="00917028"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KONTEXT NÁVRHU</w:t>
      </w:r>
    </w:p>
    <w:p w:rsidR="004451DE" w:rsidRDefault="00917028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Dôvody a ciele návrhu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Cieľom Haagskeho dohovoru z 25. októbra 1980 o občianskoprávnych aspektoch medzinárodných </w:t>
      </w:r>
      <w:r>
        <w:rPr>
          <w:noProof/>
        </w:rPr>
        <w:t>únosov detí (ďalej aj „Haagsky dohovor z roku 1980“), ktorý doteraz ratifikovalo 101 krajín vrátane všetkých členských štátov EÚ, je obnoviť pôvodný stav okamžitým návratom neoprávnene premiestnených alebo zadržiavaných detí prostredníctvom systému spolupr</w:t>
      </w:r>
      <w:r>
        <w:rPr>
          <w:noProof/>
        </w:rPr>
        <w:t>áce medzi ústrednými orgánmi určenými zmluvnými stranami.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Keďže predchádzanie únosom detí je podstatnou súčasťou politiky EÚ zameranej na podporu práv dieťaťa, Európska únia aktívne pôsobí na medzinárodnej úrovni s cieľom zlepšiť uplatňovanie Haagskeho doh</w:t>
      </w:r>
      <w:r>
        <w:rPr>
          <w:noProof/>
        </w:rPr>
        <w:t>ovoru z roku 1980 a nabáda tretie štáty, aby k nemu pristúpili.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Tunisko uložilo listinu o pristúpení k dohovoru z roku 1980 dňa 10. júla 2017. Dohovor nadobudol v Tunisku platnosť 1. októbra 2017.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Podľa článku 38 ods. 4 Haagskeho dohovoru z roku 1980 sa do</w:t>
      </w:r>
      <w:r>
        <w:rPr>
          <w:noProof/>
        </w:rPr>
        <w:t>hovor uplatňuje medzi pristupujúcou krajinou a tými zmluvnými štátmi, ktoré vyhlásia, že pristúpenie prijali.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Skutočnosť, že EÚ má výlučnú právomoc vo veci prijatia pristúpenia tretieho štátu k Haagskemu dohovoru z roku 1980, potvrdil Súdny dvor Európskej </w:t>
      </w:r>
      <w:r>
        <w:rPr>
          <w:noProof/>
        </w:rPr>
        <w:t>únie, ktorý rozhodoval na základe iniciatívy Komisie.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Súdny dvor Európskej únie vo svojom stanovisku 1/13 zo 14. októbra 2014 uviedol, že prijatie pristúpenia tretieho štátu k Haagskemu dohovoru z roku 1980 o občianskoprávnych aspektoch medzinárodných únos</w:t>
      </w:r>
      <w:r>
        <w:rPr>
          <w:noProof/>
        </w:rPr>
        <w:t>ov detí patrí do výlučnej právomoci Únie.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Súdny dvor trval na potrebe jednotnosti na úrovni EÚ, aby sa zabránilo </w:t>
      </w:r>
      <w:r>
        <w:rPr>
          <w:bCs/>
          <w:i/>
          <w:noProof/>
        </w:rPr>
        <w:t>premenlivej geometrii</w:t>
      </w:r>
      <w:r>
        <w:rPr>
          <w:noProof/>
        </w:rPr>
        <w:t xml:space="preserve"> (géométrie variable) medzi členskými štátmi.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Cs/>
          <w:noProof/>
        </w:rPr>
      </w:pPr>
      <w:r>
        <w:rPr>
          <w:noProof/>
        </w:rPr>
        <w:t xml:space="preserve">Keďže problematika medzinárodných únosov detí patrí do výlučnej vonkajšej </w:t>
      </w:r>
      <w:r>
        <w:rPr>
          <w:noProof/>
        </w:rPr>
        <w:t>právomoci Európskej únie, rozhodnutie o prípadnom prijatí pristúpenia Tuniska sa musí prijať formou rozhodnutia Rady na úrovni EÚ. Členské štáty Európskej únie by preto mali v záujme Európskej únie uložiť vyhlásenie o prijatí pristúpenia Tuniska.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Prijatím </w:t>
      </w:r>
      <w:r>
        <w:rPr>
          <w:noProof/>
        </w:rPr>
        <w:t>členskými štátmi Európskej únie by sa Haagsky dohovor z roku 1980 stal uplatniteľným medzi Tuniskom a členskými štátmi EÚ s výnimkou Dánska.</w:t>
      </w:r>
    </w:p>
    <w:p w:rsidR="004451DE" w:rsidRDefault="00917028">
      <w:pPr>
        <w:pStyle w:val="ManualHeading2"/>
        <w:rPr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Súlad s existujúcimi ustanoveniami v tejto oblasti politiky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Pokiaľ ide o únosy detí rodičmi, Haagsky dohovor z ro</w:t>
      </w:r>
      <w:r>
        <w:rPr>
          <w:noProof/>
        </w:rPr>
        <w:t>ku 1980 je medzinárodným ekvivalentom nariadenia Rady (ES) č. 2201/2003 (známeho ako nariadenie Brusel IIa), ktoré predstavuje základný kameň justičnej spolupráce EÚ v manželských veciach a vo veciach rodičovských práv a povinností.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Jedným z hlavných cieľo</w:t>
      </w:r>
      <w:r>
        <w:rPr>
          <w:noProof/>
        </w:rPr>
        <w:t>v nariadenia je zabrániť únosom detí medzi členskými štátmi stanovením postupov na zabezpečenie bezodkladného návratu dieťaťa do členského štátu, v ktorom má dieťa obvyklý pobyt. Nariadenie Brusel IIa na tento účel zahŕňa vo svojom článku 11 postup stanove</w:t>
      </w:r>
      <w:r>
        <w:rPr>
          <w:noProof/>
        </w:rPr>
        <w:t xml:space="preserve">ný v Haagskom dohovore z roku 1980 a dopĺňa ho o objasnenie niektorých jeho aspektov, najmä vyjadrenie maloletého dieťaťa, lehotu na vydanie </w:t>
      </w:r>
      <w:r>
        <w:rPr>
          <w:noProof/>
        </w:rPr>
        <w:lastRenderedPageBreak/>
        <w:t xml:space="preserve">rozhodnutia po podaní žiadosti o návrat a dôvody na nevrátenie dieťaťa. Zavádzajú sa v ňom aj ustanovenia, ktorými </w:t>
      </w:r>
      <w:r>
        <w:rPr>
          <w:noProof/>
        </w:rPr>
        <w:t>sa upravujú protichodné príkazy o vrátení alebo nevrátení dieťaťa vydané v rôznych členských štátoch.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Európska únia na medzinárodnej úrovni podporuje pristúpenie tretích štátov k Haagskemu dohovoru z roku 1980, aby sa jej členské štáty mohli opierať o spol</w:t>
      </w:r>
      <w:r>
        <w:rPr>
          <w:noProof/>
        </w:rPr>
        <w:t>očný právny rámec pri riešení prípadov medzinárodných únosov detí.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V období od júna 2015 do februára 2019 bolo prijatých už 18 rozhodnutí Rady s cieľom prijať pristúpenie 26 tretích krajín (Albánska, Andorry, Arménska, Bahám, Bieloruska, Čile, Dominikánske</w:t>
      </w:r>
      <w:r>
        <w:rPr>
          <w:noProof/>
        </w:rPr>
        <w:t>j republiky, Ekvádoru, Gruzínska, Hondurasu, Islandu, Južnej Afriky, Kazachstanu, Kolumbie, Kórejskej republiky, Maroka, Panamy, Peru,</w:t>
      </w:r>
      <w:r>
        <w:rPr>
          <w:b/>
          <w:bCs/>
          <w:noProof/>
        </w:rPr>
        <w:t xml:space="preserve"> </w:t>
      </w:r>
      <w:r>
        <w:rPr>
          <w:noProof/>
        </w:rPr>
        <w:t>Ruskej federácie, Salvádoru, San Marína, Seychel, Singapuru, Ukrajiny, Uruguaja a Uzbekistanu) k Haagskemu dohovoru z rok</w:t>
      </w:r>
      <w:r>
        <w:rPr>
          <w:noProof/>
        </w:rPr>
        <w:t>u 1980 o medzinárodných únosoch detí</w:t>
      </w:r>
      <w:r>
        <w:rPr>
          <w:rStyle w:val="FootnoteReference"/>
          <w:noProof/>
        </w:rPr>
        <w:footnoteReference w:id="1"/>
      </w:r>
      <w:r>
        <w:rPr>
          <w:noProof/>
        </w:rPr>
        <w:t>.</w:t>
      </w:r>
    </w:p>
    <w:p w:rsidR="004451DE" w:rsidRDefault="00917028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Súlad s ostatnými politikami Únie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Tento návrh je zjavne spojený so všeobecným cieľom ochrany práv dieťaťa zakotveným v článku 3 Zmluvy o Európskej únii. Systém Haagskeho dohovoru z roku 1980 má za cieľ chrániť dieťa</w:t>
      </w:r>
      <w:r>
        <w:rPr>
          <w:noProof/>
        </w:rPr>
        <w:t xml:space="preserve"> pred škodlivými účinkami únosu jedným z rodičov a zabezpečiť, aby dieťa mohlo udržiavať styk s oboma rodičmi, napríklad zabezpečením účinného výkonu práva styku.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Za zmienku stojí aj prepojenie s podporou využívania mediácie pri riešení cezhraničných rodin</w:t>
      </w:r>
      <w:r>
        <w:rPr>
          <w:noProof/>
        </w:rPr>
        <w:t>ných sporov. Smernica o určitých aspektoch mediácie v občianskych a obchodných veciach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sa takisto uplatňuje na rodinné právo v rámci spoločného európskeho justičného priestoru. Haagsky dohovor z roku 1980 takisto podporuje zmierlivé riešenie rodinných spo</w:t>
      </w:r>
      <w:r>
        <w:rPr>
          <w:noProof/>
        </w:rPr>
        <w:t>rov. Jedna z príručiek osvedčených postupov podľa Haagskeho dohovoru z roku 1980, ktoré uverejnila Haagska konferencia medzinárodného práva súkromného, je venovaná používaniu mediácie pri riešení medzinárodných rodinných sporov týkajúcich sa detí, ktoré pa</w:t>
      </w:r>
      <w:r>
        <w:rPr>
          <w:noProof/>
        </w:rPr>
        <w:t>tria do rozsahu pôsobnosti dohovoru. Na podnet Európskej komisie bola daná príručka preložená okrem anglického a francúzskeho jazyka do všetkých jazykov EÚ, ako aj do arabského jazyka, s cieľom podporiť dialóg so štátmi, ktoré ešte neratifikovali dohovor a</w:t>
      </w:r>
      <w:r>
        <w:rPr>
          <w:noProof/>
        </w:rPr>
        <w:t xml:space="preserve">lebo </w:t>
      </w:r>
      <w:r>
        <w:rPr>
          <w:noProof/>
        </w:rPr>
        <w:lastRenderedPageBreak/>
        <w:t>k nemu nepristúpili, a pomôcť hľadať konkrétne spôsoby riešenia problémov spôsobovaných medzinárodnými únosmi detí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Európska únia podporuje tiež spoluprácu na regionálnej úrovni, najmä v oblasti rodinného práva, a to financovaním viacerých aktivít v </w:t>
      </w:r>
      <w:r>
        <w:rPr>
          <w:noProof/>
        </w:rPr>
        <w:t>rámci projektu EuroMed Justice. V zložke projektu s názvom „Riešenie cezhraničných rodinných konfliktov“ sa venuje osobitná pozornosť zmiešaným manželstvám so zameraním na riešenie konfliktov týkajúcich sa opatrovníckeho práva a práva na návštevy prostredn</w:t>
      </w:r>
      <w:r>
        <w:rPr>
          <w:noProof/>
        </w:rPr>
        <w:t>íctvom mediácie a uľahčovania práva styku s dieťaťom (napríklad prostredníctvom zmierovacích komisií a kontaktných centier). Tunisko je spolu s ďalšími stredozemskými krajinami príjemcom tohto projektu v rámci rôznych ročníkov.</w:t>
      </w:r>
    </w:p>
    <w:p w:rsidR="004451DE" w:rsidRDefault="00917028"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PRÁVNY ZÁKLAD, SUBSIDIARI</w:t>
      </w:r>
      <w:r>
        <w:rPr>
          <w:noProof/>
        </w:rPr>
        <w:t>TA A PROPORCIONALITA</w:t>
      </w:r>
    </w:p>
    <w:p w:rsidR="004451DE" w:rsidRDefault="00917028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Právny základ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V článku 38 Haagskeho dohovoru z roku 1980 sa stanovuje, že „[p]rístup [pristupujúcich štátov] nadobudne platnosť iba vo vzťahu medzi pristupujúcim štátom a tým zmluvným štátom, ktorý vyhlási, že prístup prijal“. Keďže </w:t>
      </w:r>
      <w:r>
        <w:rPr>
          <w:noProof/>
        </w:rPr>
        <w:t>sa rozhodnutie týka výslovného prijatia pristúpenia pristupujúceho štátu k Haagskemu dohovoru z roku 1980 členskými štátmi a v záujme Únie, uplatniteľným právnym základom je článok 218 ods. 6 Zmluvy o fungovaní Európskej únie. Hmotnoprávnym základom je člá</w:t>
      </w:r>
      <w:r>
        <w:rPr>
          <w:noProof/>
        </w:rPr>
        <w:t>nok 81 ods. 3 ZFEÚ, a preto sa Rada po porade s Európskym parlamentom uznáša jednomyseľne.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Írsko je viazané nariadením (ES) č. 2201/2003, a preto sa zúčastňuje na prijímaní a uplatňovaní tohto rozhodnutia.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V súlade s článkami 1 a 2 Protokolu (č. 22) o post</w:t>
      </w:r>
      <w:r>
        <w:rPr>
          <w:noProof/>
        </w:rPr>
        <w:t>avení Dánska, ktorý je pripojený k Zmluve o Európskej únii a Zmluve o fungovaní Európskej únie, sa Dánsko nezúčastňuje na prijatí tohto rozhodnutia, nie je ním viazané ani nepodlieha jeho uplatňovaniu.</w:t>
      </w:r>
    </w:p>
    <w:p w:rsidR="004451DE" w:rsidRDefault="00917028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Proporcionalita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Tento návrh je vypracovaný v súlade </w:t>
      </w:r>
      <w:r>
        <w:rPr>
          <w:noProof/>
        </w:rPr>
        <w:t xml:space="preserve">s už prijatými rozhodnutiami Rady týkajúcimi sa tej istej veci a nepresahuje rámec toho, čo je potrebné na dosiahnutie cieľa koherentného postupu EÚ v oblasti medzinárodných únosov detí tým, že sa zabezpečí, aby členské štáty Európskej únie v danej lehote </w:t>
      </w:r>
      <w:r>
        <w:rPr>
          <w:noProof/>
        </w:rPr>
        <w:t>prijali pristúpenie Tuniska k Haagskemu dohovoru z roku 1980.</w:t>
      </w:r>
    </w:p>
    <w:p w:rsidR="004451DE" w:rsidRDefault="00917028"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VÝSLEDKY HODNOTENÍ EX POST, KONZULTÁCIÍ SO ZAINTERESOVANÝMI STRANAMI A POSÚDENÍ VPLYVU</w:t>
      </w:r>
    </w:p>
    <w:p w:rsidR="004451DE" w:rsidRDefault="00917028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Konzultácie so zainteresovanými stranami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Prevažná väčšina členských štátov Európskej únie, s ktorými K</w:t>
      </w:r>
      <w:r>
        <w:rPr>
          <w:noProof/>
        </w:rPr>
        <w:t>omisia konzultovala o ich ochote prijať pristúpenie Tuniska k Haagskemu dohovoru z roku 1980, zaujala kladné stanovisko.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Z diskusií vedených na stretnutí expertov 2. júla 2019 vyplynulo, že až na jednu výnimku neexistujú žiadne námietky zo strany členských</w:t>
      </w:r>
      <w:r>
        <w:rPr>
          <w:noProof/>
        </w:rPr>
        <w:t xml:space="preserve"> štátov proti prijatiu pristúpenia Tuniska k Haagskemu dohovoru z roku 1980.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8000"/>
        </w:rPr>
      </w:pPr>
      <w:r>
        <w:rPr>
          <w:noProof/>
        </w:rPr>
        <w:lastRenderedPageBreak/>
        <w:t>Komisia verí, že ďalšie rokovania na technickej úrovni v rámci pracovnej skupiny Rady pre občianskoprávne veci povedú k jednomyseľnosti potrebnej na prijatie rozhodnutia Rady</w:t>
      </w:r>
      <w:r>
        <w:rPr>
          <w:noProof/>
          <w:color w:val="008000"/>
        </w:rPr>
        <w:t>.</w:t>
      </w:r>
    </w:p>
    <w:p w:rsidR="004451DE" w:rsidRDefault="00917028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Z</w:t>
      </w:r>
      <w:r>
        <w:rPr>
          <w:noProof/>
          <w:u w:color="000000"/>
          <w:bdr w:val="nil"/>
        </w:rPr>
        <w:t>ískavanie a využívanie expertízy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V rámci prípravy stretnutia expertov 2. júla 2019 a v jeho nadväznosti bola Komisia v úzkom kontakte s Haagskou konferenciou medzinárodného práva súkromného, delegáciou EÚ v Tunisku a generálnym advokátom ministerstva sprav</w:t>
      </w:r>
      <w:r>
        <w:rPr>
          <w:noProof/>
        </w:rPr>
        <w:t>odlivosti, ktorý je zodpovedný za justičnú spoluprácu v občianskych veciach a ktorý je vymenovanou kontaktnou osobou v ústrednom orgáne.</w:t>
      </w:r>
    </w:p>
    <w:p w:rsidR="004451DE" w:rsidRDefault="00917028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Posúdenie vplyvu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Cs/>
          <w:noProof/>
        </w:rPr>
      </w:pPr>
      <w:r>
        <w:rPr>
          <w:noProof/>
        </w:rPr>
        <w:t xml:space="preserve">V súvislosti s 18 rozhodnutiami Rady prijatými v rokoch 2015 až 2019 týkajúcimi sa pristúpenia </w:t>
      </w:r>
      <w:r>
        <w:rPr>
          <w:noProof/>
        </w:rPr>
        <w:t>niekoľkých tretích štátov k Haagskemu dohovoru z roku 1980 sa vzhľadom na povahu tohto legislatívneho aktu nevykonalo žiadne osobitné posúdenie vplyvu. Úroveň vykonávania dohovoru Tuniskom sa však preskúmala na stretnutí expertov 2. júla 2019, na ktorom bo</w:t>
      </w:r>
      <w:r>
        <w:rPr>
          <w:noProof/>
        </w:rPr>
        <w:t>li zastúpené všetky členské štáty EÚ</w:t>
      </w:r>
      <w:r>
        <w:rPr>
          <w:b/>
          <w:bCs/>
          <w:noProof/>
        </w:rPr>
        <w:t>. V </w:t>
      </w:r>
      <w:r>
        <w:rPr>
          <w:noProof/>
        </w:rPr>
        <w:t>nadväznosti na stretnutie Komisia pozorne sledovala ďalší vývoj v Tunisku.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/>
          <w:noProof/>
        </w:rPr>
      </w:pPr>
      <w:r>
        <w:rPr>
          <w:noProof/>
        </w:rPr>
        <w:t>Tuniské orgány pôvodne vyjadrili názor, že vykonávacie právne predpisy na uplatňovanie Haagskeho dohovoru z roku 1980 nie sú nevyhnutne potre</w:t>
      </w:r>
      <w:r>
        <w:rPr>
          <w:noProof/>
        </w:rPr>
        <w:t>bné, keďže medzinárodné dohovory sú v tuniskom súdnom systéme priamo uplatniteľné. Pri viacerých vzdelávacích akciách a seminároch, ktoré sa uskutočnili, a to aj v rámci projektu EuroMed Justice a IRZ (</w:t>
      </w:r>
      <w:r>
        <w:rPr>
          <w:i/>
          <w:iCs/>
          <w:noProof/>
        </w:rPr>
        <w:t>Deutsche Stiftung für Internationale Rechtliche Zusamm</w:t>
      </w:r>
      <w:r>
        <w:rPr>
          <w:i/>
          <w:iCs/>
          <w:noProof/>
        </w:rPr>
        <w:t>enarbeit</w:t>
      </w:r>
      <w:r>
        <w:rPr>
          <w:noProof/>
        </w:rPr>
        <w:t xml:space="preserve"> – Nemecká nadácia pre medzinárodnú právnu spoluprácu) sa však ukázalo, že podľa názoru úradníkov a sudcov platné vnútroštátne právne predpisy nie sú dostatočné na to, aby spĺňali požiadavky Haagskeho dohovoru</w:t>
      </w:r>
      <w:r>
        <w:rPr>
          <w:b/>
          <w:noProof/>
        </w:rPr>
        <w:t>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Do tuniského právneho systému by sa m</w:t>
      </w:r>
      <w:r>
        <w:rPr>
          <w:noProof/>
        </w:rPr>
        <w:t>alo jasne vložiť najmä konanie o návrate dieťaťa do miesta jeho obvyklého pobytu po únose rodičom. Na tento účel sa na tuniskom ministerstve spravodlivosti zriadila komisia poverená vypracovaním vykonávacieho zákona, ktorý sa má predložiť vláde. Následne b</w:t>
      </w:r>
      <w:r>
        <w:rPr>
          <w:noProof/>
        </w:rPr>
        <w:t>y mal zákon prijať parlament.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UNICEF (Bureau Soutien Système Justice des Enfants) bude podporovať nové oddelenie na ministerstve spravodlivosti s názvom „Justice pour les enfants“, ktoré bude poverené preskúmaním právnych predpisov a navrhnutím politík v s</w:t>
      </w:r>
      <w:r>
        <w:rPr>
          <w:noProof/>
        </w:rPr>
        <w:t xml:space="preserve">úlade s medzinárodnými dohovormi o právach dieťaťa a odbornou prípravou odborníkov pracujúcich v oblasti práva. Organizácia </w:t>
      </w:r>
      <w:r>
        <w:rPr>
          <w:i/>
          <w:noProof/>
        </w:rPr>
        <w:t>Bureau Soutien Système Justice des Enfants</w:t>
      </w:r>
      <w:r>
        <w:rPr>
          <w:noProof/>
        </w:rPr>
        <w:t xml:space="preserve"> usporiada s </w:t>
      </w:r>
      <w:r>
        <w:rPr>
          <w:i/>
          <w:noProof/>
        </w:rPr>
        <w:t>l'Ecole Nationale de la Magistrature</w:t>
      </w:r>
      <w:r>
        <w:rPr>
          <w:noProof/>
        </w:rPr>
        <w:t xml:space="preserve"> špecifickú odbornú prípravu určenú sudco</w:t>
      </w:r>
      <w:r>
        <w:rPr>
          <w:noProof/>
        </w:rPr>
        <w:t>m, ktorí budú musieť dohovor uplatňovať.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Aj keď je zrejmé, že Tunisko ešte musí zaviesť primerané vykonávacie právne predpisy, skúsenosti niektorých členských štátov (napríklad Francúzska) sú pozitívne, pokiaľ ide o rozsah, v akom je právny rámec zavedený.</w:t>
      </w:r>
      <w:r>
        <w:rPr>
          <w:noProof/>
        </w:rPr>
        <w:t xml:space="preserve"> Tuniské orgány, ktoré sa odvolávajú na platné, už existujúce dvojstranné dohody (tzv. zmiešané komisie) s Francúzskom, Belgickom, Švédskom a Nórskom, skutočne považujú za veľmi dôležité budovať zmluvné vzťahy s členskými štátmi EÚ. Spoločný právny rámec s</w:t>
      </w:r>
      <w:r>
        <w:rPr>
          <w:noProof/>
        </w:rPr>
        <w:t>o všetkými členskými štátmi EÚ, ktorý predstavuje Haagsky dohovor z roku 1980, by pomohol pri vybavovaní a riešení cezhraničných prípadov, a to ešte pred prijatím vykonávacích právnych predpisov.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Tunisko tiež vyjadrilo želanie uskutočniť v členských štátoc</w:t>
      </w:r>
      <w:r>
        <w:rPr>
          <w:noProof/>
        </w:rPr>
        <w:t>h EÚ – ak je to možné, vo frankofónnych krajinách – ďalšie vzdelávacie akcie. Podobný seminár už uskutočnil francúzsky ústredný orgán v novembri 2018.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Pristúpenie Tuniska k Haagskemu dohovoru z roku 1980 prijalo 11 zmluvných strán vrátane Švajčiarska.</w:t>
      </w:r>
    </w:p>
    <w:p w:rsidR="004451DE" w:rsidRDefault="00917028"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V</w:t>
      </w:r>
      <w:r>
        <w:rPr>
          <w:noProof/>
        </w:rPr>
        <w:t>PLYV NA ROZPOČET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Navrhované rozhodnutie nemá žiaden vplyv na rozpočet.</w:t>
      </w:r>
    </w:p>
    <w:p w:rsidR="004451DE" w:rsidRDefault="00917028"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ĎALŠIE PRVKY</w:t>
      </w:r>
    </w:p>
    <w:p w:rsidR="004451DE" w:rsidRDefault="00917028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Plány vykonávania, spôsob monitorovania, hodnotenia a podávania správ</w:t>
      </w:r>
    </w:p>
    <w:p w:rsidR="004451DE" w:rsidRDefault="009170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Keďže sa návrh týka len oprávnenia členských štátov Európske únie prijať pristúpenie Tuniska k Ha</w:t>
      </w:r>
      <w:r>
        <w:rPr>
          <w:noProof/>
        </w:rPr>
        <w:t>agskemu dohovoru z roku 1980, monitorovanie jeho vykonávania sa obmedzuje na dodržanie znenia vyhlásenia členskými štátmi, dodržanie lehoty na jeho uloženie a oznámenie o uložení vyhlásenia Komisii, ako sa stanovuje v rozhodnutí Rady.</w:t>
      </w:r>
    </w:p>
    <w:p w:rsidR="004451DE" w:rsidRDefault="00917028">
      <w:pPr>
        <w:spacing w:before="0" w:after="200" w:line="276" w:lineRule="auto"/>
        <w:jc w:val="left"/>
        <w:rPr>
          <w:rFonts w:eastAsia="Arial Unicode MS"/>
          <w:noProof/>
        </w:rPr>
      </w:pPr>
      <w:r>
        <w:rPr>
          <w:noProof/>
        </w:rPr>
        <w:br w:type="page"/>
      </w:r>
    </w:p>
    <w:p w:rsidR="00917028" w:rsidRDefault="00917028" w:rsidP="00917028">
      <w:pPr>
        <w:pStyle w:val="Rfrenceinterinstitutionnelle"/>
        <w:rPr>
          <w:noProof/>
        </w:rPr>
      </w:pPr>
      <w:r w:rsidRPr="00917028">
        <w:t>2021/0198 (NLE)</w:t>
      </w:r>
    </w:p>
    <w:p w:rsidR="004451DE" w:rsidRDefault="00917028" w:rsidP="00917028">
      <w:pPr>
        <w:pStyle w:val="Statut"/>
        <w:rPr>
          <w:noProof/>
        </w:rPr>
      </w:pPr>
      <w:r w:rsidRPr="00917028">
        <w:t>Návrh</w:t>
      </w:r>
    </w:p>
    <w:p w:rsidR="004451DE" w:rsidRDefault="00917028" w:rsidP="00917028">
      <w:pPr>
        <w:pStyle w:val="Typedudocument"/>
        <w:rPr>
          <w:noProof/>
        </w:rPr>
      </w:pPr>
      <w:r w:rsidRPr="00917028">
        <w:t>ROZHODNUTIE RADY,</w:t>
      </w:r>
    </w:p>
    <w:p w:rsidR="004451DE" w:rsidRDefault="00917028" w:rsidP="00917028">
      <w:pPr>
        <w:pStyle w:val="Titreobjet"/>
        <w:rPr>
          <w:noProof/>
        </w:rPr>
      </w:pPr>
      <w:r w:rsidRPr="00917028">
        <w:t>ktorým sa členské štáty oprávňujú prijať v záujme Európskej únie pristúpenie Tuniska k Haagskemu dohovoru z roku 1980 o občianskoprávnych aspektoch medzinárodných únosov detí</w:t>
      </w:r>
    </w:p>
    <w:p w:rsidR="004451DE" w:rsidRDefault="00917028">
      <w:pPr>
        <w:pStyle w:val="Institutionquiagit"/>
        <w:rPr>
          <w:noProof/>
        </w:rPr>
      </w:pPr>
      <w:r>
        <w:rPr>
          <w:noProof/>
        </w:rPr>
        <w:t>R</w:t>
      </w:r>
      <w:r>
        <w:rPr>
          <w:noProof/>
        </w:rPr>
        <w:t>ADA EURÓPSKEJ ÚNIE,</w:t>
      </w:r>
    </w:p>
    <w:p w:rsidR="004451DE" w:rsidRDefault="00917028">
      <w:pPr>
        <w:rPr>
          <w:noProof/>
        </w:rPr>
      </w:pPr>
      <w:r>
        <w:rPr>
          <w:noProof/>
        </w:rPr>
        <w:t xml:space="preserve">so zreteľom na Zmluvu o fungovaní Európskej únie, </w:t>
      </w:r>
      <w:r>
        <w:rPr>
          <w:noProof/>
        </w:rPr>
        <w:t>a najmä na jej článok 81 ods. 3 v spojení s článkom 218 ods. 6,</w:t>
      </w:r>
    </w:p>
    <w:p w:rsidR="004451DE" w:rsidRDefault="00917028">
      <w:pPr>
        <w:rPr>
          <w:noProof/>
        </w:rPr>
      </w:pPr>
      <w:r>
        <w:rPr>
          <w:noProof/>
        </w:rPr>
        <w:t>so zreteľom na návrh Európskej komisie,</w:t>
      </w:r>
    </w:p>
    <w:p w:rsidR="004451DE" w:rsidRDefault="00917028">
      <w:pPr>
        <w:rPr>
          <w:noProof/>
        </w:rPr>
      </w:pPr>
      <w:r>
        <w:rPr>
          <w:noProof/>
        </w:rPr>
        <w:t>so zreteľom na stanovisko Európskeho parlamentu</w:t>
      </w:r>
      <w:r>
        <w:rPr>
          <w:rStyle w:val="FootnoteReference"/>
          <w:noProof/>
        </w:rPr>
        <w:footnoteReference w:id="4"/>
      </w:r>
      <w:r>
        <w:rPr>
          <w:noProof/>
        </w:rPr>
        <w:t>,</w:t>
      </w:r>
    </w:p>
    <w:p w:rsidR="004451DE" w:rsidRDefault="00917028">
      <w:pPr>
        <w:rPr>
          <w:noProof/>
        </w:rPr>
      </w:pPr>
      <w:r>
        <w:rPr>
          <w:noProof/>
        </w:rPr>
        <w:t>keďže:</w:t>
      </w:r>
    </w:p>
    <w:p w:rsidR="004451DE" w:rsidRDefault="00917028"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Európska únia si stanovila za jeden zo svojich cieľov presadzovanie ochrany práv dieťaťa, a</w:t>
      </w:r>
      <w:r>
        <w:rPr>
          <w:noProof/>
        </w:rPr>
        <w:t>ko sa uvádza v článku 3 Zmluvy o Európskej únii. Opatrenia na ochranu detí pred neoprávneným premiestnením alebo zadržiavaním sú zásadnou súčasťou tejto politiky.</w:t>
      </w:r>
    </w:p>
    <w:p w:rsidR="004451DE" w:rsidRDefault="00917028"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Rada prijala nariadenie (ES) č. 2201/2003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(ďalej len „nariadenie Brusel IIa“), ktorého cieľom je chrániť deti pred škodlivými účinkami neoprávneného premiestnenia alebo zadržiavania a stanoviť postupy na zabezpečenie ich okamžitého návratu do štátu ich obvyklého pobytu, ako aj zabezpečiť ochranu </w:t>
      </w:r>
      <w:r>
        <w:rPr>
          <w:noProof/>
        </w:rPr>
        <w:t>práv styku a opatrovníckych práv.</w:t>
      </w:r>
    </w:p>
    <w:p w:rsidR="004451DE" w:rsidRDefault="00917028"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Nariadením Brusel IIa sa dopĺňa a posilňuje Haagsky dohovor z 25. októbra 1980 o občianskoprávnych aspektoch medzinárodných únosov detí (ďalej aj „Haagsky dohovor z roku 1980“), ktorým sa na medzinárodnej úrovni stanov</w:t>
      </w:r>
      <w:r>
        <w:rPr>
          <w:noProof/>
        </w:rPr>
        <w:t>uje systém povinností a spolupráce medzi zmluvnými štátmi a medzi ústrednými orgánmi a ktorý má za cieľ zabezpečiť okamžitý návrat neoprávnene premiestnených alebo zadržiavaných detí.</w:t>
      </w:r>
    </w:p>
    <w:p w:rsidR="004451DE" w:rsidRDefault="00917028"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Všetky členské štáty Únie sú zmluvnými stranami Haagskeho dohovoru z</w:t>
      </w:r>
      <w:r>
        <w:rPr>
          <w:noProof/>
        </w:rPr>
        <w:t> roku 1980.</w:t>
      </w:r>
    </w:p>
    <w:p w:rsidR="004451DE" w:rsidRDefault="00917028"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Únia nabáda tretie štáty, aby pristúpili k Haagskemu dohovoru z roku 1980, a podporuje správne vykonávanie Haagskeho dohovoru z roku 1980 okrem iného spoločnou účasťou s členskými štátmi v osobitných výboroch, ktoré pravidelne zvoláva Haags</w:t>
      </w:r>
      <w:r>
        <w:rPr>
          <w:noProof/>
        </w:rPr>
        <w:t>ka konferencia medzinárodného práva súkromného.</w:t>
      </w:r>
    </w:p>
    <w:p w:rsidR="004451DE" w:rsidRDefault="00917028"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Spoločný právny rámec platný vo vzťahu medzi členskými štátmi Únie a tretími štátmi by mohol byť najlepším riešením pre citlivé prípady medzinárodných únosov detí.</w:t>
      </w:r>
    </w:p>
    <w:p w:rsidR="004451DE" w:rsidRDefault="00917028"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V Haagskom dohovore z roku 1980 sa s</w:t>
      </w:r>
      <w:r>
        <w:rPr>
          <w:noProof/>
        </w:rPr>
        <w:t>tanovuje, že sa uplatňuje medzi pristupujúcim štátom a tými zmluvnými štátmi, ktoré vyhlásili, že toto pristúpenie prijali.</w:t>
      </w:r>
    </w:p>
    <w:p w:rsidR="004451DE" w:rsidRDefault="00917028"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Haagsky dohovor z roku 1980 neumožňuje organizáciám regionálnej hospodárskej integrácie, akou je Únia, stať sa jeho zmluvnou str</w:t>
      </w:r>
      <w:r>
        <w:rPr>
          <w:noProof/>
        </w:rPr>
        <w:t>anou. Únia preto nemôže pristúpiť k uvedenému dohovoru a ani uložiť vyhlásenie o prijatí pristupujúceho štátu.</w:t>
      </w:r>
    </w:p>
    <w:p w:rsidR="004451DE" w:rsidRDefault="00917028"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Podľa stanoviska Súdneho dvora Európskej únie 1/13 patria vyhlásenia o prijatí podľa Haagskeho dohovoru z roku 1980 do výlučnej vonkajšej prá</w:t>
      </w:r>
      <w:r>
        <w:rPr>
          <w:noProof/>
        </w:rPr>
        <w:t>vomoci Únie.</w:t>
      </w:r>
    </w:p>
    <w:p w:rsidR="004451DE" w:rsidRDefault="00917028"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Tunisko 10. júla 2017 uložilo svoju listinu o pristúpení k Haagskemu dohovoru z roku 1980. Dohovor nadobudol v Tunisku platnosť 1. októbra 2017.</w:t>
      </w:r>
    </w:p>
    <w:p w:rsidR="004451DE" w:rsidRDefault="00917028"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Posúdenie situácie v Tunisku viedlo k záveru, že členské štáty Európskej únie sú v pozíc</w:t>
      </w:r>
      <w:r>
        <w:rPr>
          <w:noProof/>
        </w:rPr>
        <w:t>ii, aby prijali v záujme Únie pristúpenie Tuniska podľa podmienok Haagskeho dohovoru z roku 1980.</w:t>
      </w:r>
    </w:p>
    <w:p w:rsidR="004451DE" w:rsidRDefault="00917028"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>Preto by sa členské štáty Európskej únie mali oprávniť, aby v záujme Únie uložili svoje vyhlásenie o prijatí pristúpenia Tuniska v súlade s podmienkami u</w:t>
      </w:r>
      <w:r>
        <w:rPr>
          <w:noProof/>
        </w:rPr>
        <w:t>vedenými v tomto rozhodnutí.</w:t>
      </w:r>
    </w:p>
    <w:p w:rsidR="004451DE" w:rsidRDefault="00917028"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>Írsko je viazané nariadením Brusel IIa, a preto sa zúčastňuje na prijímaní a uplatňovaní tohto rozhodnutia.</w:t>
      </w:r>
    </w:p>
    <w:p w:rsidR="004451DE" w:rsidRDefault="00917028">
      <w:pPr>
        <w:pStyle w:val="ManualConsidrant"/>
        <w:rPr>
          <w:noProof/>
        </w:rPr>
      </w:pPr>
      <w:r>
        <w:t>(14)</w:t>
      </w:r>
      <w:r>
        <w:tab/>
      </w:r>
      <w:r>
        <w:rPr>
          <w:noProof/>
        </w:rPr>
        <w:t xml:space="preserve">V súlade s článkami 1 a 2 Protokolu (č. 22) o postavení Dánska, ktorý je pripojený k Zmluve o Európskej únii </w:t>
      </w:r>
      <w:r>
        <w:rPr>
          <w:noProof/>
        </w:rPr>
        <w:t>a Zmluve o fungovaní Európskej únie, sa Dánsko nezúčastňuje na prijatí tohto rozhodnutia, nie je ním viazané ani nepodlieha jeho uplatňovaniu,</w:t>
      </w:r>
    </w:p>
    <w:p w:rsidR="004451DE" w:rsidRDefault="00917028">
      <w:pPr>
        <w:pStyle w:val="Formuledadoption"/>
        <w:rPr>
          <w:noProof/>
        </w:rPr>
      </w:pPr>
      <w:r>
        <w:rPr>
          <w:noProof/>
        </w:rPr>
        <w:t>PRIJALA TOTO ROZHODNUTIE:</w:t>
      </w:r>
    </w:p>
    <w:p w:rsidR="004451DE" w:rsidRDefault="00917028">
      <w:pPr>
        <w:pStyle w:val="Titrearticle"/>
        <w:rPr>
          <w:noProof/>
        </w:rPr>
      </w:pPr>
      <w:r>
        <w:rPr>
          <w:noProof/>
        </w:rPr>
        <w:t>Článok 1</w:t>
      </w:r>
    </w:p>
    <w:p w:rsidR="004451DE" w:rsidRDefault="00917028">
      <w:pPr>
        <w:rPr>
          <w:noProof/>
        </w:rPr>
      </w:pPr>
      <w:r>
        <w:rPr>
          <w:noProof/>
        </w:rPr>
        <w:t>Členské štáty Európskej únie sa týmto oprávňujú prijať v záujme Únie pristúpen</w:t>
      </w:r>
      <w:r>
        <w:rPr>
          <w:noProof/>
        </w:rPr>
        <w:t>ie Tuniska k Haagskemu dohovoru z 25. októbra 1980 o občianskoprávnych aspektoch medzinárodných únosov detí („Haagsky dohovor z roku 1980“).</w:t>
      </w:r>
    </w:p>
    <w:p w:rsidR="004451DE" w:rsidRDefault="00917028">
      <w:pPr>
        <w:rPr>
          <w:noProof/>
        </w:rPr>
      </w:pPr>
      <w:r>
        <w:rPr>
          <w:noProof/>
        </w:rPr>
        <w:t>Členské štáty Európskej únie uložia najneskôr do … [dvanásť mesiacov odo dňa prijatia tohto rozhodnutia] vyhlásenie</w:t>
      </w:r>
      <w:r>
        <w:rPr>
          <w:noProof/>
        </w:rPr>
        <w:t xml:space="preserve"> o tom, že v záujme Únie prijímajú pristúpenie Tuniska k Haagskemu dohovoru z roku 1980, a to v tomto znení:</w:t>
      </w:r>
    </w:p>
    <w:p w:rsidR="004451DE" w:rsidRDefault="00917028">
      <w:pPr>
        <w:rPr>
          <w:noProof/>
        </w:rPr>
      </w:pPr>
      <w:r>
        <w:rPr>
          <w:noProof/>
        </w:rPr>
        <w:t>„[ČLENSKÝ ŠTÁT – úplný názov] vyhlasuje, že prijíma pristúpenie Tuniska k Haagskemu dohovoru z 25. októbra 1980 o občianskoprávnych aspektoch medzi</w:t>
      </w:r>
      <w:r>
        <w:rPr>
          <w:noProof/>
        </w:rPr>
        <w:t>národných únosov detí v súlade s rozhodnutím Rady (EÚ) 2021/…“.</w:t>
      </w:r>
    </w:p>
    <w:p w:rsidR="004451DE" w:rsidRDefault="00917028">
      <w:pPr>
        <w:rPr>
          <w:noProof/>
        </w:rPr>
      </w:pPr>
      <w:r>
        <w:rPr>
          <w:noProof/>
        </w:rPr>
        <w:t>Členské štáty Európskej únie informujú Radu a Komisiu o uložení svojho vyhlásenia o prijatí pristúpenia Tuniska a oznámia Komisii znenie uvedeného vyhlásenia do dvoch mesiacov od jeho uloženia</w:t>
      </w:r>
      <w:r>
        <w:rPr>
          <w:noProof/>
        </w:rPr>
        <w:t>.</w:t>
      </w:r>
    </w:p>
    <w:p w:rsidR="004451DE" w:rsidRDefault="00917028">
      <w:pPr>
        <w:pStyle w:val="Titrearticle"/>
        <w:keepNext w:val="0"/>
        <w:rPr>
          <w:noProof/>
        </w:rPr>
      </w:pPr>
      <w:r>
        <w:rPr>
          <w:noProof/>
        </w:rPr>
        <w:t>Článok 2</w:t>
      </w:r>
    </w:p>
    <w:p w:rsidR="004451DE" w:rsidRDefault="00917028">
      <w:pPr>
        <w:keepLines/>
        <w:rPr>
          <w:noProof/>
        </w:rPr>
      </w:pPr>
      <w:r>
        <w:rPr>
          <w:noProof/>
        </w:rPr>
        <w:t>Toto rozhodnutie nadobúda účinnosť  dňom po jeho uverejnení v </w:t>
      </w:r>
      <w:r>
        <w:rPr>
          <w:i/>
          <w:noProof/>
        </w:rPr>
        <w:t>Úradnom vestníku Európskej únie</w:t>
      </w:r>
      <w:r>
        <w:rPr>
          <w:noProof/>
        </w:rPr>
        <w:t>.</w:t>
      </w:r>
    </w:p>
    <w:p w:rsidR="004451DE" w:rsidRDefault="00917028">
      <w:pPr>
        <w:pStyle w:val="Titrearticle"/>
        <w:rPr>
          <w:noProof/>
        </w:rPr>
      </w:pPr>
      <w:r>
        <w:rPr>
          <w:noProof/>
        </w:rPr>
        <w:t>Článok 3</w:t>
      </w:r>
    </w:p>
    <w:p w:rsidR="004451DE" w:rsidRDefault="00917028">
      <w:pPr>
        <w:keepNext/>
        <w:keepLines/>
        <w:rPr>
          <w:noProof/>
        </w:rPr>
      </w:pPr>
      <w:r>
        <w:rPr>
          <w:noProof/>
        </w:rPr>
        <w:t>Toto rozhodnutie je určené členským štátom.</w:t>
      </w:r>
    </w:p>
    <w:p w:rsidR="004451DE" w:rsidRDefault="00917028" w:rsidP="00917028">
      <w:pPr>
        <w:pStyle w:val="Fait"/>
        <w:rPr>
          <w:noProof/>
        </w:rPr>
      </w:pPr>
      <w:r w:rsidRPr="00917028">
        <w:t>V Bruseli</w:t>
      </w:r>
    </w:p>
    <w:p w:rsidR="004451DE" w:rsidRDefault="00917028">
      <w:pPr>
        <w:pStyle w:val="Institutionquisigne"/>
        <w:rPr>
          <w:noProof/>
        </w:rPr>
      </w:pPr>
      <w:r>
        <w:rPr>
          <w:noProof/>
        </w:rPr>
        <w:tab/>
      </w:r>
      <w:r>
        <w:rPr>
          <w:noProof/>
        </w:rPr>
        <w:t>Za Radu</w:t>
      </w:r>
    </w:p>
    <w:p w:rsidR="004451DE" w:rsidRPr="00917028" w:rsidRDefault="00917028">
      <w:pPr>
        <w:pStyle w:val="Personnequisigne"/>
        <w:rPr>
          <w:noProof/>
        </w:rPr>
      </w:pPr>
      <w:r>
        <w:rPr>
          <w:noProof/>
        </w:rPr>
        <w:tab/>
        <w:t>predseda/predsedníčka</w:t>
      </w:r>
    </w:p>
    <w:sectPr w:rsidR="004451DE" w:rsidRPr="00917028" w:rsidSect="00917028"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DE" w:rsidRDefault="00917028">
      <w:pPr>
        <w:spacing w:before="0" w:after="0"/>
      </w:pPr>
      <w:r>
        <w:separator/>
      </w:r>
    </w:p>
  </w:endnote>
  <w:endnote w:type="continuationSeparator" w:id="0">
    <w:p w:rsidR="004451DE" w:rsidRDefault="009170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Footer"/>
      <w:rPr>
        <w:rFonts w:ascii="Arial" w:hAnsi="Arial" w:cs="Arial"/>
        <w:b/>
        <w:sz w:val="48"/>
      </w:rPr>
    </w:pPr>
    <w:r w:rsidRPr="00917028">
      <w:rPr>
        <w:rFonts w:ascii="Arial" w:hAnsi="Arial" w:cs="Arial"/>
        <w:b/>
        <w:sz w:val="48"/>
      </w:rPr>
      <w:t>SK</w:t>
    </w:r>
    <w:r w:rsidRPr="00917028">
      <w:rPr>
        <w:rFonts w:ascii="Arial" w:hAnsi="Arial" w:cs="Arial"/>
        <w:b/>
        <w:sz w:val="48"/>
      </w:rPr>
      <w:tab/>
    </w:r>
    <w:r w:rsidRPr="00917028">
      <w:rPr>
        <w:rFonts w:ascii="Arial" w:hAnsi="Arial" w:cs="Arial"/>
        <w:b/>
        <w:sz w:val="48"/>
      </w:rPr>
      <w:tab/>
    </w:r>
    <w:r w:rsidRPr="00917028">
      <w:tab/>
    </w:r>
    <w:r w:rsidRPr="00917028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Footer"/>
      <w:rPr>
        <w:rFonts w:ascii="Arial" w:hAnsi="Arial" w:cs="Arial"/>
        <w:b/>
        <w:sz w:val="48"/>
      </w:rPr>
    </w:pPr>
    <w:r w:rsidRPr="00917028">
      <w:rPr>
        <w:rFonts w:ascii="Arial" w:hAnsi="Arial" w:cs="Arial"/>
        <w:b/>
        <w:sz w:val="48"/>
      </w:rPr>
      <w:t>SK</w:t>
    </w:r>
    <w:r w:rsidRPr="0091702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917028">
      <w:tab/>
    </w:r>
    <w:r w:rsidRPr="00917028">
      <w:rPr>
        <w:rFonts w:ascii="Arial" w:hAnsi="Arial" w:cs="Arial"/>
        <w:b/>
        <w:sz w:val="48"/>
      </w:rPr>
      <w:t>SK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DE" w:rsidRDefault="00917028">
      <w:pPr>
        <w:spacing w:before="0" w:after="0"/>
      </w:pPr>
      <w:r>
        <w:separator/>
      </w:r>
    </w:p>
  </w:footnote>
  <w:footnote w:type="continuationSeparator" w:id="0">
    <w:p w:rsidR="004451DE" w:rsidRDefault="00917028">
      <w:pPr>
        <w:spacing w:before="0" w:after="0"/>
      </w:pPr>
      <w:r>
        <w:continuationSeparator/>
      </w:r>
    </w:p>
  </w:footnote>
  <w:footnote w:id="1">
    <w:p w:rsidR="004451DE" w:rsidRDefault="00917028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Bolo prijatých 18 rozhodnutí Rady, ktorými sa členské štáty oprávňujú prijať pristúpenie k Haagskemu dohovoru z roku 1980 v prípade </w:t>
      </w:r>
      <w:r>
        <w:rPr>
          <w:b/>
        </w:rPr>
        <w:t>Andorry</w:t>
      </w:r>
      <w:r>
        <w:t xml:space="preserve"> (rozhodnutie Rady 2015/1023 prijaté 15. júna 2015); </w:t>
      </w:r>
      <w:r>
        <w:rPr>
          <w:b/>
        </w:rPr>
        <w:t>Seychel</w:t>
      </w:r>
      <w:r>
        <w:t xml:space="preserve"> (rozhodnutie Rady 2015/2354 prijaté 10. decembra 2015); </w:t>
      </w:r>
      <w:r>
        <w:rPr>
          <w:b/>
        </w:rPr>
        <w:t>Ruska</w:t>
      </w:r>
      <w:r>
        <w:t xml:space="preserve"> (rozhodnutie Rady 2015/2355 prijaté 10. decembra 2015); </w:t>
      </w:r>
      <w:r>
        <w:rPr>
          <w:b/>
        </w:rPr>
        <w:t>Albánska</w:t>
      </w:r>
      <w:r>
        <w:t xml:space="preserve"> (rozhodnutie Rady 2015/2356 prijaté 10. decembra 2015); </w:t>
      </w:r>
      <w:r>
        <w:rPr>
          <w:b/>
        </w:rPr>
        <w:t>Singapuru</w:t>
      </w:r>
      <w:r>
        <w:t xml:space="preserve"> (rozhodnutie Rady 2015/1024 prijaté 15. júna 2015); </w:t>
      </w:r>
      <w:r>
        <w:rPr>
          <w:b/>
        </w:rPr>
        <w:t>Maroka</w:t>
      </w:r>
      <w:r>
        <w:t xml:space="preserve"> (rozhodnutie Rady 2015/2357 prijaté 10. decembra 2015); </w:t>
      </w:r>
      <w:r>
        <w:rPr>
          <w:b/>
        </w:rPr>
        <w:t>Armé</w:t>
      </w:r>
      <w:r>
        <w:rPr>
          <w:b/>
        </w:rPr>
        <w:t>nska</w:t>
      </w:r>
      <w:r>
        <w:t xml:space="preserve"> (rozhodnutie Rady 2015/2358 prijaté 10. decembra 2015); </w:t>
      </w:r>
      <w:r>
        <w:rPr>
          <w:b/>
        </w:rPr>
        <w:t>Kórejskej republiky (</w:t>
      </w:r>
      <w:r>
        <w:t>rozhodnutie Rady 2016/2313</w:t>
      </w:r>
      <w:r>
        <w:rPr>
          <w:b/>
        </w:rPr>
        <w:t xml:space="preserve"> </w:t>
      </w:r>
      <w:r>
        <w:t>prijaté 8. decembra 2016</w:t>
      </w:r>
      <w:r>
        <w:rPr>
          <w:b/>
        </w:rPr>
        <w:t>)</w:t>
      </w:r>
      <w:r>
        <w:t xml:space="preserve">, </w:t>
      </w:r>
      <w:r>
        <w:rPr>
          <w:b/>
        </w:rPr>
        <w:t>Kazachstanu (</w:t>
      </w:r>
      <w:r>
        <w:t>rozhodnutie Rady</w:t>
      </w:r>
      <w:r>
        <w:rPr>
          <w:b/>
        </w:rPr>
        <w:t xml:space="preserve"> </w:t>
      </w:r>
      <w:r>
        <w:t>2016/2311</w:t>
      </w:r>
      <w:r>
        <w:rPr>
          <w:b/>
        </w:rPr>
        <w:t xml:space="preserve"> </w:t>
      </w:r>
      <w:r>
        <w:t>prijaté 8. 12. 2016</w:t>
      </w:r>
      <w:r>
        <w:rPr>
          <w:b/>
        </w:rPr>
        <w:t>),</w:t>
      </w:r>
      <w:r>
        <w:t xml:space="preserve"> </w:t>
      </w:r>
      <w:r>
        <w:rPr>
          <w:b/>
        </w:rPr>
        <w:t>Peru (</w:t>
      </w:r>
      <w:r>
        <w:t>rozhodnutie Rady 2016/2312 prijaté 8. 12. 2016</w:t>
      </w:r>
      <w:r>
        <w:rPr>
          <w:b/>
        </w:rPr>
        <w:t>); Gru</w:t>
      </w:r>
      <w:r>
        <w:rPr>
          <w:b/>
        </w:rPr>
        <w:t>zínska</w:t>
      </w:r>
      <w:r>
        <w:t xml:space="preserve"> a </w:t>
      </w:r>
      <w:r>
        <w:rPr>
          <w:b/>
        </w:rPr>
        <w:t xml:space="preserve">Južnej Afriky </w:t>
      </w:r>
      <w:r>
        <w:t>[rozhodnutie Rady (EÚ) 2017/2462 z 18. decembra 2017</w:t>
      </w:r>
      <w:r>
        <w:rPr>
          <w:b/>
          <w:bCs/>
        </w:rPr>
        <w:t>];</w:t>
      </w:r>
      <w:r>
        <w:rPr>
          <w:b/>
        </w:rPr>
        <w:t xml:space="preserve"> Čile, Islandu a Bahám</w:t>
      </w:r>
      <w:r>
        <w:t xml:space="preserve"> [rozhodnutie Rady (EÚ) 2017/2424 z 18. decembra 2017];</w:t>
      </w:r>
      <w:r>
        <w:rPr>
          <w:b/>
          <w:sz w:val="24"/>
          <w:szCs w:val="24"/>
        </w:rPr>
        <w:t xml:space="preserve"> </w:t>
      </w:r>
      <w:r>
        <w:rPr>
          <w:b/>
          <w:bCs/>
        </w:rPr>
        <w:t>Panamy, Uruguaju, Kolumbie a </w:t>
      </w:r>
      <w:r>
        <w:rPr>
          <w:b/>
        </w:rPr>
        <w:t>Salvádoru</w:t>
      </w:r>
      <w:r>
        <w:t xml:space="preserve"> [rozhodnutie Rady (EÚ) 2017/2464 z 18. decembra 2017];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San Mar</w:t>
      </w:r>
      <w:r>
        <w:rPr>
          <w:b/>
          <w:bCs/>
        </w:rPr>
        <w:t>ína [</w:t>
      </w:r>
      <w:r>
        <w:t>rozhodnutie Rady (EÚ) 2017/2463 z 18. decembra 2017];</w:t>
      </w:r>
      <w:r>
        <w:rPr>
          <w:b/>
        </w:rPr>
        <w:t xml:space="preserve"> </w:t>
      </w:r>
      <w:r>
        <w:rPr>
          <w:b/>
          <w:bCs/>
        </w:rPr>
        <w:t xml:space="preserve">Dominikánskej republiky </w:t>
      </w:r>
      <w:r>
        <w:t xml:space="preserve">[rozhodnutie Rady (EÚ) 2019/305 z 18. februára 2019]; </w:t>
      </w:r>
      <w:r>
        <w:rPr>
          <w:b/>
          <w:bCs/>
        </w:rPr>
        <w:t>Ekvádoru a Ukrajiny</w:t>
      </w:r>
      <w:r>
        <w:t xml:space="preserve"> [rozhodnutie Rady (EÚ) 2019/306 z 18. februára 2019]; </w:t>
      </w:r>
      <w:r>
        <w:rPr>
          <w:b/>
          <w:bCs/>
        </w:rPr>
        <w:t xml:space="preserve">Hondurasu </w:t>
      </w:r>
      <w:r>
        <w:t>[rozhodnutie Rady (EÚ) 2019/307 z 1</w:t>
      </w:r>
      <w:r>
        <w:t xml:space="preserve">8. februára 2019]; </w:t>
      </w:r>
      <w:r>
        <w:rPr>
          <w:b/>
          <w:bCs/>
        </w:rPr>
        <w:t>Bieloruska</w:t>
      </w:r>
      <w:r>
        <w:t xml:space="preserve"> a </w:t>
      </w:r>
      <w:r>
        <w:rPr>
          <w:b/>
          <w:bCs/>
        </w:rPr>
        <w:t>Uzbekistanu</w:t>
      </w:r>
      <w:r>
        <w:t xml:space="preserve"> [rozhodnutie Rady (EÚ) 2019/308 z 18. februára 2019].</w:t>
      </w:r>
    </w:p>
    <w:p w:rsidR="004451DE" w:rsidRDefault="004451DE">
      <w:pPr>
        <w:pStyle w:val="FootnoteText"/>
      </w:pPr>
    </w:p>
  </w:footnote>
  <w:footnote w:id="2">
    <w:p w:rsidR="004451DE" w:rsidRDefault="00917028">
      <w:pPr>
        <w:pStyle w:val="FootnoteText"/>
      </w:pPr>
      <w:r>
        <w:rPr>
          <w:rStyle w:val="FootnoteReference"/>
        </w:rPr>
        <w:footnoteRef/>
      </w:r>
      <w:r>
        <w:tab/>
        <w:t>Smernica Európskeho parlamentu a Rady 2008/52/ES</w:t>
      </w:r>
      <w:r>
        <w:rPr>
          <w:b/>
          <w:bCs/>
        </w:rPr>
        <w:t xml:space="preserve"> z </w:t>
      </w:r>
      <w:r>
        <w:t>21. mája 2008 o určitých aspektoch mediácie v občianskych a obchodných veciach (Ú. v. EÚ L 136, 24.5.200</w:t>
      </w:r>
      <w:r>
        <w:t>8, s. 3);</w:t>
      </w:r>
    </w:p>
    <w:p w:rsidR="004451DE" w:rsidRDefault="004451DE">
      <w:pPr>
        <w:pStyle w:val="FootnoteText"/>
      </w:pPr>
    </w:p>
  </w:footnote>
  <w:footnote w:id="3">
    <w:p w:rsidR="004451DE" w:rsidRDefault="00917028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https://www.hcch.net/en/publications-and-studies/details4/?pid=5568&amp;dtid=3</w:t>
        </w:r>
      </w:hyperlink>
    </w:p>
    <w:p w:rsidR="004451DE" w:rsidRDefault="004451DE">
      <w:pPr>
        <w:pStyle w:val="FootnoteText"/>
      </w:pPr>
    </w:p>
  </w:footnote>
  <w:footnote w:id="4">
    <w:p w:rsidR="004451DE" w:rsidRDefault="00917028">
      <w:pPr>
        <w:pStyle w:val="FootnoteText"/>
      </w:pPr>
      <w:r>
        <w:rPr>
          <w:rStyle w:val="FootnoteReference"/>
        </w:rPr>
        <w:footnoteRef/>
      </w:r>
      <w:r>
        <w:tab/>
        <w:t>Ú. v. EÚ C , , s. .</w:t>
      </w:r>
    </w:p>
  </w:footnote>
  <w:footnote w:id="5">
    <w:p w:rsidR="004451DE" w:rsidRDefault="00917028">
      <w:pPr>
        <w:pStyle w:val="FootnoteText"/>
      </w:pPr>
      <w:r>
        <w:rPr>
          <w:rStyle w:val="FootnoteReference"/>
        </w:rPr>
        <w:footnoteRef/>
      </w:r>
      <w:r>
        <w:tab/>
        <w:t>Nariadenie Rady (ES) č. 2201/2003 z 27. novembra 200</w:t>
      </w:r>
      <w:r>
        <w:t>3 o súdnej právomoci a uznávaní a výkone rozsudkov v manželských veciach a vo veciach rodičovských práv a povinností, ktorým sa zrušuje nariadenie (ES) č. 1347/2000 (Ú. v. EÚ L 338, 23.12.2003, s. 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28" w:rsidRPr="00917028" w:rsidRDefault="00917028" w:rsidP="00917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11214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E3EC51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1BE7D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91A0B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7206D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B7227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3F68D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8E4222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6-29 09:44:01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RRIGENDUM" w:val="CORRIGENDUM_x000b_This documents replaces COM(2021) 371 final of 6.07.2021_x000b_Addition of the inter-institutional reference_x000b__x000b_The text shall read as follows:"/>
    <w:docVar w:name="LW_COVERPAGE_EXISTS" w:val="True"/>
    <w:docVar w:name="LW_COVERPAGE_GUID" w:val="FC200EFE-F68C-4BDB-A3D4-8AAD4D47E698"/>
    <w:docVar w:name="LW_COVERPAGE_TYPE" w:val="1"/>
    <w:docVar w:name="LW_CROSSREFERENCE" w:val="&lt;UNUSED&gt;"/>
    <w:docVar w:name="LW_DocType" w:val="COM"/>
    <w:docVar w:name="LW_EMISSION" w:val="7. 7. 2021"/>
    <w:docVar w:name="LW_EMISSION_ISODATE" w:val="2021-07-07"/>
    <w:docVar w:name="LW_EMISSION_LOCATION" w:val="BRX"/>
    <w:docVar w:name="LW_EMISSION_PREFIX" w:val="V Bruseli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EXP.MOTIFS.NEW" w:val="EM_PL_"/>
    <w:docVar w:name="LW_ID_STATUT" w:val="SJ-019"/>
    <w:docVar w:name="LW_INTERETEEE.CP" w:val="&lt;UNUSED&gt;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98"/>
    <w:docVar w:name="LW_REF.II.NEW.CP_YEAR" w:val="2021"/>
    <w:docVar w:name="LW_REF.INST.NEW" w:val="COM"/>
    <w:docVar w:name="LW_REF.INST.NEW_ADOPTED" w:val="final/2"/>
    <w:docVar w:name="LW_REF.INST.NEW_TEXT" w:val="(2021) 37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Návrh"/>
    <w:docVar w:name="LW_SUPERTITRE" w:val="&lt;UNUSED&gt;"/>
    <w:docVar w:name="LW_TITRE.OBJ.CP" w:val="ktorým sa \u269?lenské \u353?táty opráv\u328?ujú prija\u357? v záujme Európskej únie pristúpenie Tuniska k Haagskemu dohovoru z roku 1980 o ob\u269?ianskoprávnych aspektoch medzinárodných únosov detí"/>
    <w:docVar w:name="LW_TYPE.DOC.CP" w:val="ROZHODNUTIE RADY,"/>
    <w:docVar w:name="LwApiVersions" w:val="LW4CoDe 1.23.0.0; LW 8.0, Build 20210114"/>
  </w:docVars>
  <w:rsids>
    <w:rsidRoot w:val="004451DE"/>
    <w:rsid w:val="004451DE"/>
    <w:rsid w:val="009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361FAD1-EAE2-42FD-9038-069D1932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k-SK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k-SK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1702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17028"/>
    <w:rPr>
      <w:rFonts w:ascii="Times New Roman" w:hAnsi="Times New Roman" w:cs="Times New Roman"/>
      <w:sz w:val="24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91702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17028"/>
    <w:rPr>
      <w:rFonts w:ascii="Times New Roman" w:hAnsi="Times New Roman" w:cs="Times New Roman"/>
      <w:sz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sk-SK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1702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1702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170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1702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170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cch.net/en/publications-and-studies/details4/?pid=5568&amp;dtid=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9EA6A9-C4DD-4314-8890-C6A235C0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5</TotalTime>
  <Pages>9</Pages>
  <Words>2311</Words>
  <Characters>13870</Characters>
  <Application>Microsoft Office Word</Application>
  <DocSecurity>0</DocSecurity>
  <Lines>239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TORRE UNGUREANU Ana-Claudia (SG)</cp:lastModifiedBy>
  <cp:revision>35</cp:revision>
  <dcterms:created xsi:type="dcterms:W3CDTF">2021-06-28T07:42:00Z</dcterms:created>
  <dcterms:modified xsi:type="dcterms:W3CDTF">2021-07-07T10:12:00Z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SJ-019</vt:lpwstr>
  </property>
  <property fmtid="{D5CDD505-2E9C-101B-9397-08002B2CF9AE}" pid="10" name="DQCStatus">
    <vt:lpwstr>Yellow (DQC version 03)</vt:lpwstr>
  </property>
</Properties>
</file>